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4C6CA" w14:textId="7827FD8F" w:rsidR="00236E6D" w:rsidRPr="00352875" w:rsidRDefault="00943F78" w:rsidP="003770BF">
      <w:pPr>
        <w:spacing w:line="480" w:lineRule="auto"/>
        <w:jc w:val="center"/>
        <w:rPr>
          <w:rFonts w:ascii="Times New Roman" w:hAnsi="Times New Roman" w:cs="Times New Roman"/>
          <w:b/>
          <w:bCs/>
          <w:sz w:val="28"/>
          <w:szCs w:val="28"/>
        </w:rPr>
      </w:pPr>
      <w:bookmarkStart w:id="0" w:name="_Hlk161739964"/>
      <w:r w:rsidRPr="00352875">
        <w:rPr>
          <w:rFonts w:ascii="Times New Roman" w:hAnsi="Times New Roman" w:cs="Times New Roman"/>
          <w:b/>
          <w:bCs/>
          <w:color w:val="000000"/>
          <w:sz w:val="28"/>
          <w:szCs w:val="28"/>
        </w:rPr>
        <w:t xml:space="preserve">The Value of </w:t>
      </w:r>
      <w:r w:rsidR="009A7854">
        <w:rPr>
          <w:rFonts w:ascii="Times New Roman" w:hAnsi="Times New Roman" w:cs="Times New Roman"/>
          <w:b/>
          <w:bCs/>
          <w:color w:val="000000"/>
          <w:sz w:val="28"/>
          <w:szCs w:val="28"/>
        </w:rPr>
        <w:t xml:space="preserve">Home </w:t>
      </w:r>
      <w:r w:rsidRPr="00352875">
        <w:rPr>
          <w:rFonts w:ascii="Times New Roman" w:hAnsi="Times New Roman" w:cs="Times New Roman"/>
          <w:b/>
          <w:bCs/>
          <w:color w:val="000000"/>
          <w:sz w:val="28"/>
          <w:szCs w:val="28"/>
        </w:rPr>
        <w:t>Charging Infrastructure to Electric Vehicle Adoption</w:t>
      </w:r>
      <w:bookmarkEnd w:id="0"/>
    </w:p>
    <w:p w14:paraId="6C8001AF" w14:textId="77777777" w:rsidR="003770BF" w:rsidRDefault="003770BF" w:rsidP="003770BF">
      <w:pPr>
        <w:spacing w:line="480" w:lineRule="auto"/>
        <w:jc w:val="center"/>
        <w:rPr>
          <w:rFonts w:ascii="Times New Roman" w:hAnsi="Times New Roman" w:cs="Times New Roman"/>
          <w:b/>
          <w:bCs/>
          <w:sz w:val="28"/>
          <w:szCs w:val="28"/>
        </w:rPr>
      </w:pPr>
    </w:p>
    <w:p w14:paraId="278F082E" w14:textId="77777777" w:rsidR="003770BF" w:rsidRDefault="003770BF" w:rsidP="003770BF">
      <w:pPr>
        <w:spacing w:line="480" w:lineRule="auto"/>
        <w:jc w:val="center"/>
        <w:rPr>
          <w:rFonts w:ascii="Times New Roman" w:hAnsi="Times New Roman" w:cs="Times New Roman"/>
          <w:b/>
          <w:bCs/>
          <w:sz w:val="28"/>
          <w:szCs w:val="28"/>
        </w:rPr>
      </w:pPr>
    </w:p>
    <w:p w14:paraId="364750C8" w14:textId="77777777" w:rsidR="003770BF" w:rsidRDefault="003770BF" w:rsidP="003770BF">
      <w:pPr>
        <w:spacing w:line="480" w:lineRule="auto"/>
        <w:jc w:val="center"/>
        <w:rPr>
          <w:rFonts w:ascii="Times New Roman" w:hAnsi="Times New Roman" w:cs="Times New Roman"/>
          <w:b/>
          <w:bCs/>
          <w:sz w:val="28"/>
          <w:szCs w:val="28"/>
        </w:rPr>
      </w:pPr>
    </w:p>
    <w:p w14:paraId="4A3E046B" w14:textId="77777777" w:rsidR="003770BF" w:rsidRDefault="003770BF" w:rsidP="003770BF">
      <w:pPr>
        <w:spacing w:line="480" w:lineRule="auto"/>
        <w:jc w:val="center"/>
        <w:rPr>
          <w:rFonts w:ascii="Times New Roman" w:hAnsi="Times New Roman" w:cs="Times New Roman"/>
          <w:b/>
          <w:bCs/>
          <w:sz w:val="28"/>
          <w:szCs w:val="28"/>
        </w:rPr>
      </w:pPr>
    </w:p>
    <w:p w14:paraId="4F052836" w14:textId="77777777" w:rsidR="003770BF" w:rsidRDefault="003770BF" w:rsidP="003770BF">
      <w:pPr>
        <w:spacing w:line="480" w:lineRule="auto"/>
        <w:jc w:val="center"/>
        <w:rPr>
          <w:rFonts w:ascii="Times New Roman" w:hAnsi="Times New Roman" w:cs="Times New Roman"/>
          <w:b/>
          <w:bCs/>
          <w:sz w:val="28"/>
          <w:szCs w:val="28"/>
        </w:rPr>
      </w:pPr>
    </w:p>
    <w:p w14:paraId="23F60B4D" w14:textId="77777777" w:rsidR="003770BF" w:rsidRDefault="003770BF" w:rsidP="003770BF">
      <w:pPr>
        <w:spacing w:line="480" w:lineRule="auto"/>
        <w:jc w:val="center"/>
        <w:rPr>
          <w:rFonts w:ascii="Times New Roman" w:hAnsi="Times New Roman" w:cs="Times New Roman"/>
          <w:b/>
          <w:bCs/>
          <w:sz w:val="28"/>
          <w:szCs w:val="28"/>
        </w:rPr>
      </w:pPr>
    </w:p>
    <w:p w14:paraId="634B025B" w14:textId="483C5E94" w:rsidR="00236E6D" w:rsidRPr="003770BF" w:rsidRDefault="009C755C" w:rsidP="003770BF">
      <w:pPr>
        <w:spacing w:line="480" w:lineRule="auto"/>
        <w:jc w:val="center"/>
        <w:rPr>
          <w:rFonts w:ascii="Times New Roman" w:hAnsi="Times New Roman" w:cs="Times New Roman"/>
          <w:sz w:val="28"/>
          <w:szCs w:val="28"/>
        </w:rPr>
      </w:pPr>
      <w:r w:rsidRPr="003770BF">
        <w:rPr>
          <w:rFonts w:ascii="Times New Roman" w:hAnsi="Times New Roman" w:cs="Times New Roman"/>
          <w:sz w:val="28"/>
          <w:szCs w:val="28"/>
        </w:rPr>
        <w:t>A Thesis Presented for</w:t>
      </w:r>
      <w:r w:rsidR="008865B6" w:rsidRPr="003770BF">
        <w:rPr>
          <w:rFonts w:ascii="Times New Roman" w:hAnsi="Times New Roman" w:cs="Times New Roman"/>
          <w:sz w:val="28"/>
          <w:szCs w:val="28"/>
        </w:rPr>
        <w:t xml:space="preserve"> the</w:t>
      </w:r>
    </w:p>
    <w:p w14:paraId="4FA64821" w14:textId="77777777" w:rsidR="009C755C" w:rsidRPr="003770BF" w:rsidRDefault="009C755C" w:rsidP="003770BF">
      <w:pPr>
        <w:spacing w:line="480" w:lineRule="auto"/>
        <w:jc w:val="center"/>
        <w:rPr>
          <w:rFonts w:ascii="Times New Roman" w:hAnsi="Times New Roman" w:cs="Times New Roman"/>
          <w:sz w:val="28"/>
          <w:szCs w:val="28"/>
        </w:rPr>
      </w:pPr>
      <w:r w:rsidRPr="003770BF">
        <w:rPr>
          <w:rFonts w:ascii="Times New Roman" w:hAnsi="Times New Roman" w:cs="Times New Roman"/>
          <w:sz w:val="28"/>
          <w:szCs w:val="28"/>
        </w:rPr>
        <w:t>Master of Science</w:t>
      </w:r>
    </w:p>
    <w:p w14:paraId="392A097B" w14:textId="77777777" w:rsidR="009C755C" w:rsidRPr="003770BF" w:rsidRDefault="009C755C" w:rsidP="003770BF">
      <w:pPr>
        <w:spacing w:line="480" w:lineRule="auto"/>
        <w:jc w:val="center"/>
        <w:rPr>
          <w:rFonts w:ascii="Times New Roman" w:hAnsi="Times New Roman" w:cs="Times New Roman"/>
          <w:sz w:val="28"/>
          <w:szCs w:val="28"/>
        </w:rPr>
      </w:pPr>
      <w:r w:rsidRPr="003770BF">
        <w:rPr>
          <w:rFonts w:ascii="Times New Roman" w:hAnsi="Times New Roman" w:cs="Times New Roman"/>
          <w:sz w:val="28"/>
          <w:szCs w:val="28"/>
        </w:rPr>
        <w:t>Degree</w:t>
      </w:r>
    </w:p>
    <w:p w14:paraId="4BFA0C00" w14:textId="7994233C" w:rsidR="00236E6D" w:rsidRPr="003770BF" w:rsidRDefault="009C755C" w:rsidP="003770BF">
      <w:pPr>
        <w:spacing w:line="480" w:lineRule="auto"/>
        <w:jc w:val="center"/>
        <w:rPr>
          <w:rFonts w:ascii="Times New Roman" w:hAnsi="Times New Roman" w:cs="Times New Roman"/>
          <w:sz w:val="28"/>
          <w:szCs w:val="28"/>
        </w:rPr>
      </w:pPr>
      <w:r w:rsidRPr="003770BF">
        <w:rPr>
          <w:rFonts w:ascii="Times New Roman" w:hAnsi="Times New Roman" w:cs="Times New Roman"/>
          <w:sz w:val="28"/>
          <w:szCs w:val="28"/>
        </w:rPr>
        <w:t>The University of Tennessee, Knoxville</w:t>
      </w:r>
    </w:p>
    <w:p w14:paraId="3D680272" w14:textId="77777777" w:rsidR="003770BF" w:rsidRPr="003770BF" w:rsidRDefault="003770BF" w:rsidP="003770BF">
      <w:pPr>
        <w:spacing w:line="480" w:lineRule="auto"/>
        <w:jc w:val="center"/>
        <w:rPr>
          <w:rFonts w:ascii="Times New Roman" w:hAnsi="Times New Roman" w:cs="Times New Roman"/>
          <w:sz w:val="28"/>
          <w:szCs w:val="28"/>
        </w:rPr>
      </w:pPr>
    </w:p>
    <w:p w14:paraId="648B54AC" w14:textId="77777777" w:rsidR="003770BF" w:rsidRDefault="003770BF" w:rsidP="003770BF">
      <w:pPr>
        <w:spacing w:line="480" w:lineRule="auto"/>
        <w:jc w:val="center"/>
        <w:rPr>
          <w:rFonts w:ascii="Times New Roman" w:hAnsi="Times New Roman" w:cs="Times New Roman"/>
          <w:sz w:val="28"/>
          <w:szCs w:val="28"/>
        </w:rPr>
      </w:pPr>
    </w:p>
    <w:p w14:paraId="30136143" w14:textId="77777777" w:rsidR="003770BF" w:rsidRDefault="003770BF" w:rsidP="003770BF">
      <w:pPr>
        <w:spacing w:line="480" w:lineRule="auto"/>
        <w:jc w:val="center"/>
        <w:rPr>
          <w:rFonts w:ascii="Times New Roman" w:hAnsi="Times New Roman" w:cs="Times New Roman"/>
          <w:sz w:val="28"/>
          <w:szCs w:val="28"/>
        </w:rPr>
      </w:pPr>
    </w:p>
    <w:p w14:paraId="0AA6F7D8" w14:textId="77777777" w:rsidR="003770BF" w:rsidRDefault="003770BF" w:rsidP="003770BF">
      <w:pPr>
        <w:spacing w:line="480" w:lineRule="auto"/>
        <w:jc w:val="center"/>
        <w:rPr>
          <w:rFonts w:ascii="Times New Roman" w:hAnsi="Times New Roman" w:cs="Times New Roman"/>
          <w:sz w:val="28"/>
          <w:szCs w:val="28"/>
        </w:rPr>
      </w:pPr>
    </w:p>
    <w:p w14:paraId="47090DE8" w14:textId="77777777" w:rsidR="00E157DC" w:rsidRPr="003770BF" w:rsidRDefault="00E157DC" w:rsidP="003770BF">
      <w:pPr>
        <w:spacing w:line="480" w:lineRule="auto"/>
        <w:jc w:val="center"/>
        <w:rPr>
          <w:rFonts w:ascii="Times New Roman" w:hAnsi="Times New Roman" w:cs="Times New Roman"/>
          <w:sz w:val="28"/>
          <w:szCs w:val="28"/>
        </w:rPr>
      </w:pPr>
    </w:p>
    <w:p w14:paraId="52AB27E7" w14:textId="06E0AEBA" w:rsidR="00236E6D" w:rsidRPr="003770BF" w:rsidRDefault="00D122B2" w:rsidP="003770BF">
      <w:pPr>
        <w:spacing w:line="480" w:lineRule="auto"/>
        <w:jc w:val="center"/>
        <w:rPr>
          <w:rFonts w:ascii="Times New Roman" w:hAnsi="Times New Roman" w:cs="Times New Roman"/>
          <w:sz w:val="28"/>
          <w:szCs w:val="28"/>
        </w:rPr>
      </w:pPr>
      <w:r w:rsidRPr="003770BF">
        <w:rPr>
          <w:rFonts w:ascii="Times New Roman" w:hAnsi="Times New Roman" w:cs="Times New Roman"/>
          <w:sz w:val="28"/>
          <w:szCs w:val="28"/>
        </w:rPr>
        <w:t>Lauren Pate</w:t>
      </w:r>
    </w:p>
    <w:p w14:paraId="14E19E39" w14:textId="49FD5C80" w:rsidR="00D24308" w:rsidRDefault="00D24308" w:rsidP="00D24308">
      <w:pPr>
        <w:spacing w:line="480" w:lineRule="auto"/>
        <w:jc w:val="center"/>
        <w:rPr>
          <w:rFonts w:ascii="Times New Roman" w:hAnsi="Times New Roman" w:cs="Times New Roman"/>
          <w:sz w:val="28"/>
          <w:szCs w:val="28"/>
        </w:rPr>
      </w:pPr>
      <w:r>
        <w:rPr>
          <w:rFonts w:ascii="Times New Roman" w:hAnsi="Times New Roman" w:cs="Times New Roman"/>
          <w:sz w:val="28"/>
          <w:szCs w:val="28"/>
        </w:rPr>
        <w:t>December</w:t>
      </w:r>
      <w:r w:rsidR="00CE02A7" w:rsidRPr="003770BF">
        <w:rPr>
          <w:rFonts w:ascii="Times New Roman" w:hAnsi="Times New Roman" w:cs="Times New Roman"/>
          <w:sz w:val="28"/>
          <w:szCs w:val="28"/>
        </w:rPr>
        <w:t xml:space="preserve"> </w:t>
      </w:r>
      <w:r w:rsidR="00206090" w:rsidRPr="003770BF">
        <w:rPr>
          <w:rFonts w:ascii="Times New Roman" w:hAnsi="Times New Roman" w:cs="Times New Roman"/>
          <w:sz w:val="28"/>
          <w:szCs w:val="28"/>
        </w:rPr>
        <w:t>20</w:t>
      </w:r>
      <w:r w:rsidR="00EA16CC">
        <w:rPr>
          <w:rFonts w:ascii="Times New Roman" w:hAnsi="Times New Roman" w:cs="Times New Roman"/>
          <w:sz w:val="28"/>
          <w:szCs w:val="28"/>
        </w:rPr>
        <w:t>24</w:t>
      </w:r>
    </w:p>
    <w:p w14:paraId="2E7FB75E" w14:textId="3A77663E" w:rsidR="00D24308" w:rsidRDefault="00D24308" w:rsidP="00D24308">
      <w:pPr>
        <w:pStyle w:val="Heading1"/>
      </w:pPr>
      <w:bookmarkStart w:id="1" w:name="_Toc174455320"/>
      <w:r>
        <w:lastRenderedPageBreak/>
        <w:t>Abstract</w:t>
      </w:r>
      <w:bookmarkEnd w:id="1"/>
    </w:p>
    <w:p w14:paraId="74AA4FA3" w14:textId="77777777" w:rsidR="00D24308" w:rsidRDefault="00D24308" w:rsidP="00D24308">
      <w:pPr>
        <w:spacing w:line="480" w:lineRule="auto"/>
        <w:rPr>
          <w:rFonts w:ascii="Times New Roman" w:hAnsi="Times New Roman" w:cs="Times New Roman"/>
        </w:rPr>
      </w:pPr>
      <w:r w:rsidRPr="00100D2A">
        <w:rPr>
          <w:rFonts w:ascii="Times New Roman" w:hAnsi="Times New Roman" w:cs="Times New Roman"/>
        </w:rPr>
        <w:t>This study aims to estimate the relationship between home-based charging availability and electric vehicle (EV) ownership using revealed preference methodology. Additionally, we seek to quantify the willingness to pay (WTP) for home-based charging annually over the lifespan of a vehicle.</w:t>
      </w:r>
      <w:r>
        <w:rPr>
          <w:rFonts w:ascii="Times New Roman" w:hAnsi="Times New Roman" w:cs="Times New Roman"/>
        </w:rPr>
        <w:t xml:space="preserve"> </w:t>
      </w:r>
      <w:r w:rsidRPr="00100D2A">
        <w:rPr>
          <w:rFonts w:ascii="Times New Roman" w:hAnsi="Times New Roman" w:cs="Times New Roman"/>
        </w:rPr>
        <w:t xml:space="preserve">We use a </w:t>
      </w:r>
      <w:r>
        <w:rPr>
          <w:rFonts w:ascii="Times New Roman" w:hAnsi="Times New Roman" w:cs="Times New Roman"/>
        </w:rPr>
        <w:t>discrete choice linear probability</w:t>
      </w:r>
      <w:r w:rsidRPr="00100D2A">
        <w:rPr>
          <w:rFonts w:ascii="Times New Roman" w:hAnsi="Times New Roman" w:cs="Times New Roman"/>
        </w:rPr>
        <w:t xml:space="preserve"> model to estimate the marginal effect of home charging availability on EV ownership.</w:t>
      </w:r>
      <w:r w:rsidRPr="00100D2A">
        <w:t xml:space="preserve"> </w:t>
      </w:r>
      <w:r w:rsidRPr="00100D2A">
        <w:rPr>
          <w:rFonts w:ascii="Times New Roman" w:hAnsi="Times New Roman" w:cs="Times New Roman"/>
        </w:rPr>
        <w:t>Our model considers household characteristics, income levels, and location.</w:t>
      </w:r>
      <w:r>
        <w:rPr>
          <w:rFonts w:ascii="Times New Roman" w:hAnsi="Times New Roman" w:cs="Times New Roman"/>
        </w:rPr>
        <w:t xml:space="preserve"> </w:t>
      </w:r>
      <w:r w:rsidRPr="00100D2A">
        <w:rPr>
          <w:rFonts w:ascii="Times New Roman" w:hAnsi="Times New Roman" w:cs="Times New Roman"/>
        </w:rPr>
        <w:t xml:space="preserve">We calculate </w:t>
      </w:r>
      <w:r>
        <w:rPr>
          <w:rFonts w:ascii="Times New Roman" w:hAnsi="Times New Roman" w:cs="Times New Roman"/>
        </w:rPr>
        <w:t>willingness-to-pay (</w:t>
      </w:r>
      <w:r w:rsidRPr="00100D2A">
        <w:rPr>
          <w:rFonts w:ascii="Times New Roman" w:hAnsi="Times New Roman" w:cs="Times New Roman"/>
        </w:rPr>
        <w:t>WTP</w:t>
      </w:r>
      <w:r>
        <w:rPr>
          <w:rFonts w:ascii="Times New Roman" w:hAnsi="Times New Roman" w:cs="Times New Roman"/>
        </w:rPr>
        <w:t>)</w:t>
      </w:r>
      <w:r w:rsidRPr="00100D2A">
        <w:rPr>
          <w:rFonts w:ascii="Times New Roman" w:hAnsi="Times New Roman" w:cs="Times New Roman"/>
        </w:rPr>
        <w:t xml:space="preserve"> for home-based charging in both monetary terms and equivalent foregone convenience based on</w:t>
      </w:r>
      <w:r>
        <w:rPr>
          <w:rFonts w:ascii="Times New Roman" w:hAnsi="Times New Roman" w:cs="Times New Roman"/>
        </w:rPr>
        <w:t xml:space="preserve"> an assumed</w:t>
      </w:r>
      <w:r w:rsidRPr="00100D2A">
        <w:rPr>
          <w:rFonts w:ascii="Times New Roman" w:hAnsi="Times New Roman" w:cs="Times New Roman"/>
        </w:rPr>
        <w:t xml:space="preserve"> hourly wage.</w:t>
      </w:r>
      <w:r>
        <w:rPr>
          <w:rFonts w:ascii="Times New Roman" w:hAnsi="Times New Roman" w:cs="Times New Roman"/>
        </w:rPr>
        <w:t xml:space="preserve"> We find that m</w:t>
      </w:r>
      <w:r w:rsidRPr="00100D2A">
        <w:rPr>
          <w:rFonts w:ascii="Times New Roman" w:hAnsi="Times New Roman" w:cs="Times New Roman"/>
        </w:rPr>
        <w:t>edian-to-high income households exhibit</w:t>
      </w:r>
      <w:r>
        <w:rPr>
          <w:rFonts w:ascii="Times New Roman" w:hAnsi="Times New Roman" w:cs="Times New Roman"/>
        </w:rPr>
        <w:t xml:space="preserve"> a </w:t>
      </w:r>
      <w:r w:rsidRPr="00100D2A">
        <w:rPr>
          <w:rFonts w:ascii="Times New Roman" w:hAnsi="Times New Roman" w:cs="Times New Roman"/>
        </w:rPr>
        <w:t>higher WTP for home-based charging.</w:t>
      </w:r>
      <w:r>
        <w:rPr>
          <w:rFonts w:ascii="Times New Roman" w:hAnsi="Times New Roman" w:cs="Times New Roman"/>
        </w:rPr>
        <w:t xml:space="preserve"> </w:t>
      </w:r>
      <w:r w:rsidRPr="00100D2A">
        <w:rPr>
          <w:rFonts w:ascii="Times New Roman" w:hAnsi="Times New Roman" w:cs="Times New Roman"/>
        </w:rPr>
        <w:t xml:space="preserve">Low-income households have </w:t>
      </w:r>
      <w:r>
        <w:rPr>
          <w:rFonts w:ascii="Times New Roman" w:hAnsi="Times New Roman" w:cs="Times New Roman"/>
        </w:rPr>
        <w:t>significantly</w:t>
      </w:r>
      <w:r w:rsidRPr="00100D2A">
        <w:rPr>
          <w:rFonts w:ascii="Times New Roman" w:hAnsi="Times New Roman" w:cs="Times New Roman"/>
        </w:rPr>
        <w:t xml:space="preserve"> lower WTP, reflecting differences in consumer valuation.</w:t>
      </w:r>
      <w:r>
        <w:rPr>
          <w:rFonts w:ascii="Times New Roman" w:hAnsi="Times New Roman" w:cs="Times New Roman"/>
        </w:rPr>
        <w:t xml:space="preserve"> </w:t>
      </w:r>
      <w:r w:rsidRPr="00100D2A">
        <w:rPr>
          <w:rFonts w:ascii="Times New Roman" w:hAnsi="Times New Roman" w:cs="Times New Roman"/>
        </w:rPr>
        <w:t>The estimated annualized WTP for home-based charging</w:t>
      </w:r>
      <w:r>
        <w:rPr>
          <w:rFonts w:ascii="Times New Roman" w:hAnsi="Times New Roman" w:cs="Times New Roman"/>
        </w:rPr>
        <w:t xml:space="preserve"> r</w:t>
      </w:r>
      <w:r w:rsidRPr="00100D2A">
        <w:rPr>
          <w:rFonts w:ascii="Times New Roman" w:hAnsi="Times New Roman" w:cs="Times New Roman"/>
        </w:rPr>
        <w:t>ange</w:t>
      </w:r>
      <w:r>
        <w:rPr>
          <w:rFonts w:ascii="Times New Roman" w:hAnsi="Times New Roman" w:cs="Times New Roman"/>
        </w:rPr>
        <w:t>s</w:t>
      </w:r>
      <w:r w:rsidRPr="00100D2A">
        <w:rPr>
          <w:rFonts w:ascii="Times New Roman" w:hAnsi="Times New Roman" w:cs="Times New Roman"/>
        </w:rPr>
        <w:t xml:space="preserve"> from $302 to $1,033</w:t>
      </w:r>
      <w:r>
        <w:rPr>
          <w:rFonts w:ascii="Times New Roman" w:hAnsi="Times New Roman" w:cs="Times New Roman"/>
        </w:rPr>
        <w:t xml:space="preserve"> among low-income households and $1,913 to $13,868 annually for median  income households. While the difference in magnitude for WTP for home-based charging infrastructure (HBCI) may seem significant, we estimate foregone convenience using an assumption in respondents’ hourly wage. We find the equivalent foregone time from not possessing home-charging infrastructure only results in a 1-10 hour weekly difference. </w:t>
      </w:r>
      <w:r w:rsidRPr="00100D2A">
        <w:rPr>
          <w:rFonts w:ascii="Times New Roman" w:hAnsi="Times New Roman" w:cs="Times New Roman"/>
        </w:rPr>
        <w:t>Home-based charging infrastructure plays a crucial role in EV adoption.</w:t>
      </w:r>
      <w:r>
        <w:rPr>
          <w:rFonts w:ascii="Times New Roman" w:hAnsi="Times New Roman" w:cs="Times New Roman"/>
        </w:rPr>
        <w:t xml:space="preserve"> </w:t>
      </w:r>
      <w:r w:rsidRPr="00100D2A">
        <w:rPr>
          <w:rFonts w:ascii="Times New Roman" w:hAnsi="Times New Roman" w:cs="Times New Roman"/>
        </w:rPr>
        <w:t xml:space="preserve">Policymakers, city planners, and </w:t>
      </w:r>
      <w:r>
        <w:rPr>
          <w:rFonts w:ascii="Times New Roman" w:hAnsi="Times New Roman" w:cs="Times New Roman"/>
        </w:rPr>
        <w:t xml:space="preserve">private </w:t>
      </w:r>
      <w:r w:rsidRPr="00100D2A">
        <w:rPr>
          <w:rFonts w:ascii="Times New Roman" w:hAnsi="Times New Roman" w:cs="Times New Roman"/>
        </w:rPr>
        <w:t xml:space="preserve">developers should </w:t>
      </w:r>
      <w:r>
        <w:rPr>
          <w:rFonts w:ascii="Times New Roman" w:hAnsi="Times New Roman" w:cs="Times New Roman"/>
        </w:rPr>
        <w:t xml:space="preserve">all </w:t>
      </w:r>
      <w:r w:rsidRPr="00100D2A">
        <w:rPr>
          <w:rFonts w:ascii="Times New Roman" w:hAnsi="Times New Roman" w:cs="Times New Roman"/>
        </w:rPr>
        <w:t xml:space="preserve">consider </w:t>
      </w:r>
      <w:r>
        <w:rPr>
          <w:rFonts w:ascii="Times New Roman" w:hAnsi="Times New Roman" w:cs="Times New Roman"/>
        </w:rPr>
        <w:t xml:space="preserve">consumer </w:t>
      </w:r>
      <w:r w:rsidRPr="00100D2A">
        <w:rPr>
          <w:rFonts w:ascii="Times New Roman" w:hAnsi="Times New Roman" w:cs="Times New Roman"/>
        </w:rPr>
        <w:t xml:space="preserve">WTP </w:t>
      </w:r>
      <w:r>
        <w:rPr>
          <w:rFonts w:ascii="Times New Roman" w:hAnsi="Times New Roman" w:cs="Times New Roman"/>
        </w:rPr>
        <w:t xml:space="preserve">for HBCI </w:t>
      </w:r>
      <w:r w:rsidRPr="00100D2A">
        <w:rPr>
          <w:rFonts w:ascii="Times New Roman" w:hAnsi="Times New Roman" w:cs="Times New Roman"/>
        </w:rPr>
        <w:t>when designing charging networks.</w:t>
      </w:r>
    </w:p>
    <w:p w14:paraId="63DF0110" w14:textId="3742516A" w:rsidR="00D24308" w:rsidRDefault="00D24308" w:rsidP="00D24308">
      <w:pPr>
        <w:spacing w:line="480" w:lineRule="auto"/>
        <w:rPr>
          <w:rFonts w:ascii="Times New Roman" w:hAnsi="Times New Roman" w:cs="Times New Roman"/>
          <w:sz w:val="28"/>
          <w:szCs w:val="28"/>
        </w:rPr>
        <w:sectPr w:rsidR="00D24308" w:rsidSect="00AC5AD1">
          <w:headerReference w:type="even" r:id="rId8"/>
          <w:headerReference w:type="default" r:id="rId9"/>
          <w:footerReference w:type="first" r:id="rId10"/>
          <w:pgSz w:w="12240" w:h="15840" w:code="1"/>
          <w:pgMar w:top="1440" w:right="1800" w:bottom="1872" w:left="1800" w:header="720" w:footer="1440" w:gutter="0"/>
          <w:pgNumType w:fmt="lowerRoman" w:start="1"/>
          <w:cols w:space="720"/>
          <w:noEndnote/>
          <w:titlePg/>
          <w:docGrid w:linePitch="360"/>
        </w:sectPr>
      </w:pPr>
    </w:p>
    <w:sdt>
      <w:sdtPr>
        <w:rPr>
          <w:rFonts w:ascii="Arial" w:hAnsi="Arial" w:cs="Arial"/>
          <w:b w:val="0"/>
          <w:caps w:val="0"/>
        </w:rPr>
        <w:id w:val="750699996"/>
        <w:docPartObj>
          <w:docPartGallery w:val="Table of Contents"/>
          <w:docPartUnique/>
        </w:docPartObj>
      </w:sdtPr>
      <w:sdtEndPr>
        <w:rPr>
          <w:bCs/>
          <w:noProof/>
        </w:rPr>
      </w:sdtEndPr>
      <w:sdtContent>
        <w:p w14:paraId="2647403C" w14:textId="603251FF" w:rsidR="00721EEA" w:rsidRPr="00EF6261" w:rsidRDefault="00721EEA" w:rsidP="00EA16CC">
          <w:pPr>
            <w:pStyle w:val="TOCHeading"/>
          </w:pPr>
          <w:r w:rsidRPr="00EF6261">
            <w:t>Ta</w:t>
          </w:r>
          <w:r w:rsidR="00D24308">
            <w:t>B</w:t>
          </w:r>
          <w:r w:rsidRPr="00EF6261">
            <w:t>le of Contents</w:t>
          </w:r>
        </w:p>
        <w:p w14:paraId="31F369B2" w14:textId="6A051C29" w:rsidR="00EF6261" w:rsidRPr="00EF6261" w:rsidRDefault="00721EEA">
          <w:pPr>
            <w:pStyle w:val="TOC1"/>
            <w:tabs>
              <w:tab w:val="right" w:leader="dot" w:pos="8630"/>
            </w:tabs>
            <w:rPr>
              <w:rFonts w:ascii="Times New Roman" w:eastAsiaTheme="minorEastAsia" w:hAnsi="Times New Roman" w:cs="Times New Roman"/>
              <w:noProof/>
              <w:kern w:val="2"/>
              <w14:ligatures w14:val="standardContextual"/>
            </w:rPr>
          </w:pPr>
          <w:r w:rsidRPr="00EF6261">
            <w:rPr>
              <w:rFonts w:ascii="Times New Roman" w:hAnsi="Times New Roman" w:cs="Times New Roman"/>
            </w:rPr>
            <w:fldChar w:fldCharType="begin"/>
          </w:r>
          <w:r w:rsidRPr="00EF6261">
            <w:rPr>
              <w:rFonts w:ascii="Times New Roman" w:hAnsi="Times New Roman" w:cs="Times New Roman"/>
            </w:rPr>
            <w:instrText xml:space="preserve"> TOC \o "1-3" \h \z \u </w:instrText>
          </w:r>
          <w:r w:rsidRPr="00EF6261">
            <w:rPr>
              <w:rFonts w:ascii="Times New Roman" w:hAnsi="Times New Roman" w:cs="Times New Roman"/>
            </w:rPr>
            <w:fldChar w:fldCharType="separate"/>
          </w:r>
          <w:hyperlink w:anchor="_Toc174455321" w:history="1">
            <w:r w:rsidR="00EF6261" w:rsidRPr="00EF6261">
              <w:rPr>
                <w:rStyle w:val="Hyperlink"/>
                <w:rFonts w:ascii="Times New Roman" w:hAnsi="Times New Roman" w:cs="Times New Roman"/>
                <w:noProof/>
              </w:rPr>
              <w:t>C</w:t>
            </w:r>
            <w:r w:rsidR="00EF6261">
              <w:rPr>
                <w:rStyle w:val="Hyperlink"/>
                <w:rFonts w:ascii="Times New Roman" w:hAnsi="Times New Roman" w:cs="Times New Roman"/>
                <w:noProof/>
              </w:rPr>
              <w:t>HAPTER ONE</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_Toc174455321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1</w:t>
            </w:r>
            <w:r w:rsidR="00EF6261" w:rsidRPr="00EF6261">
              <w:rPr>
                <w:rFonts w:ascii="Times New Roman" w:hAnsi="Times New Roman" w:cs="Times New Roman"/>
                <w:noProof/>
                <w:webHidden/>
              </w:rPr>
              <w:fldChar w:fldCharType="end"/>
            </w:r>
          </w:hyperlink>
        </w:p>
        <w:p w14:paraId="622AA13C" w14:textId="06D391E4"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22" w:history="1">
            <w:r w:rsidR="00EF6261" w:rsidRPr="00EF6261">
              <w:rPr>
                <w:rStyle w:val="Hyperlink"/>
                <w:rFonts w:ascii="Times New Roman" w:hAnsi="Times New Roman" w:cs="Times New Roman"/>
                <w:noProof/>
              </w:rPr>
              <w:t>I</w:t>
            </w:r>
            <w:r w:rsidR="00EF6261">
              <w:rPr>
                <w:rStyle w:val="Hyperlink"/>
                <w:rFonts w:ascii="Times New Roman" w:hAnsi="Times New Roman" w:cs="Times New Roman"/>
                <w:noProof/>
              </w:rPr>
              <w:t>NTRODUCTION</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_Toc174455322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1</w:t>
            </w:r>
            <w:r w:rsidR="00EF6261" w:rsidRPr="00EF6261">
              <w:rPr>
                <w:rFonts w:ascii="Times New Roman" w:hAnsi="Times New Roman" w:cs="Times New Roman"/>
                <w:noProof/>
                <w:webHidden/>
              </w:rPr>
              <w:fldChar w:fldCharType="end"/>
            </w:r>
          </w:hyperlink>
        </w:p>
        <w:p w14:paraId="18787741" w14:textId="2BA4D360"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23" w:history="1">
            <w:r w:rsidR="00EF6261" w:rsidRPr="00EF6261">
              <w:rPr>
                <w:rStyle w:val="Hyperlink"/>
                <w:rFonts w:ascii="Times New Roman" w:hAnsi="Times New Roman" w:cs="Times New Roman"/>
                <w:noProof/>
              </w:rPr>
              <w:t>Challenges to Electric Vehicle Adoption</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_Toc174455323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1</w:t>
            </w:r>
            <w:r w:rsidR="00EF6261" w:rsidRPr="00EF6261">
              <w:rPr>
                <w:rFonts w:ascii="Times New Roman" w:hAnsi="Times New Roman" w:cs="Times New Roman"/>
                <w:noProof/>
                <w:webHidden/>
              </w:rPr>
              <w:fldChar w:fldCharType="end"/>
            </w:r>
          </w:hyperlink>
        </w:p>
        <w:p w14:paraId="6083C723" w14:textId="5BCA6754"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24" w:history="1">
            <w:r w:rsidR="00EF6261" w:rsidRPr="00EF6261">
              <w:rPr>
                <w:rStyle w:val="Hyperlink"/>
                <w:rFonts w:ascii="Times New Roman" w:hAnsi="Times New Roman" w:cs="Times New Roman"/>
                <w:noProof/>
              </w:rPr>
              <w:t>Objectives</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_Toc174455324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3</w:t>
            </w:r>
            <w:r w:rsidR="00EF6261" w:rsidRPr="00EF6261">
              <w:rPr>
                <w:rFonts w:ascii="Times New Roman" w:hAnsi="Times New Roman" w:cs="Times New Roman"/>
                <w:noProof/>
                <w:webHidden/>
              </w:rPr>
              <w:fldChar w:fldCharType="end"/>
            </w:r>
          </w:hyperlink>
        </w:p>
        <w:p w14:paraId="3A7B7157" w14:textId="16CAD73F"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25" w:history="1">
            <w:r w:rsidR="00EF6261" w:rsidRPr="00EF6261">
              <w:rPr>
                <w:rStyle w:val="Hyperlink"/>
                <w:rFonts w:ascii="Times New Roman" w:hAnsi="Times New Roman" w:cs="Times New Roman"/>
                <w:noProof/>
              </w:rPr>
              <w:t>C</w:t>
            </w:r>
            <w:r w:rsidR="00EF6261">
              <w:rPr>
                <w:rStyle w:val="Hyperlink"/>
                <w:rFonts w:ascii="Times New Roman" w:hAnsi="Times New Roman" w:cs="Times New Roman"/>
                <w:noProof/>
              </w:rPr>
              <w:t>HAPTER TWO</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_Toc174455325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4</w:t>
            </w:r>
            <w:r w:rsidR="00EF6261" w:rsidRPr="00EF6261">
              <w:rPr>
                <w:rFonts w:ascii="Times New Roman" w:hAnsi="Times New Roman" w:cs="Times New Roman"/>
                <w:noProof/>
                <w:webHidden/>
              </w:rPr>
              <w:fldChar w:fldCharType="end"/>
            </w:r>
          </w:hyperlink>
        </w:p>
        <w:p w14:paraId="2CB7F877" w14:textId="4AB521DF"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26" w:history="1">
            <w:r w:rsidR="00EF6261" w:rsidRPr="00EF6261">
              <w:rPr>
                <w:rStyle w:val="Hyperlink"/>
                <w:rFonts w:ascii="Times New Roman" w:hAnsi="Times New Roman" w:cs="Times New Roman"/>
                <w:noProof/>
              </w:rPr>
              <w:t>L</w:t>
            </w:r>
            <w:r w:rsidR="00EF6261">
              <w:rPr>
                <w:rStyle w:val="Hyperlink"/>
                <w:rFonts w:ascii="Times New Roman" w:hAnsi="Times New Roman" w:cs="Times New Roman"/>
                <w:noProof/>
              </w:rPr>
              <w:t>ITERATURE REVIEW</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_Toc174455326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4</w:t>
            </w:r>
            <w:r w:rsidR="00EF6261" w:rsidRPr="00EF6261">
              <w:rPr>
                <w:rFonts w:ascii="Times New Roman" w:hAnsi="Times New Roman" w:cs="Times New Roman"/>
                <w:noProof/>
                <w:webHidden/>
              </w:rPr>
              <w:fldChar w:fldCharType="end"/>
            </w:r>
          </w:hyperlink>
        </w:p>
        <w:p w14:paraId="28C3A940" w14:textId="58C22436"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27" w:history="1">
            <w:r w:rsidR="00EF6261" w:rsidRPr="00EF6261">
              <w:rPr>
                <w:rStyle w:val="Hyperlink"/>
                <w:rFonts w:ascii="Times New Roman" w:hAnsi="Times New Roman" w:cs="Times New Roman"/>
                <w:noProof/>
              </w:rPr>
              <w:t>Public Charging Infrastructure</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_Toc174455327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4</w:t>
            </w:r>
            <w:r w:rsidR="00EF6261" w:rsidRPr="00EF6261">
              <w:rPr>
                <w:rFonts w:ascii="Times New Roman" w:hAnsi="Times New Roman" w:cs="Times New Roman"/>
                <w:noProof/>
                <w:webHidden/>
              </w:rPr>
              <w:fldChar w:fldCharType="end"/>
            </w:r>
          </w:hyperlink>
        </w:p>
        <w:p w14:paraId="7540C2AE" w14:textId="71DAC4A2"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28" w:history="1">
            <w:r w:rsidR="00EF6261" w:rsidRPr="00EF6261">
              <w:rPr>
                <w:rStyle w:val="Hyperlink"/>
                <w:rFonts w:ascii="Times New Roman" w:hAnsi="Times New Roman" w:cs="Times New Roman"/>
                <w:noProof/>
              </w:rPr>
              <w:t>Residential Charging Infrastructure</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_Toc174455328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4</w:t>
            </w:r>
            <w:r w:rsidR="00EF6261" w:rsidRPr="00EF6261">
              <w:rPr>
                <w:rFonts w:ascii="Times New Roman" w:hAnsi="Times New Roman" w:cs="Times New Roman"/>
                <w:noProof/>
                <w:webHidden/>
              </w:rPr>
              <w:fldChar w:fldCharType="end"/>
            </w:r>
          </w:hyperlink>
        </w:p>
        <w:p w14:paraId="50798386" w14:textId="23791B63"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29" w:history="1">
            <w:r w:rsidR="00EF6261" w:rsidRPr="00EF6261">
              <w:rPr>
                <w:rStyle w:val="Hyperlink"/>
                <w:rFonts w:ascii="Times New Roman" w:hAnsi="Times New Roman" w:cs="Times New Roman"/>
                <w:noProof/>
              </w:rPr>
              <w:t>C</w:t>
            </w:r>
            <w:r w:rsidR="00EF6261">
              <w:rPr>
                <w:rStyle w:val="Hyperlink"/>
                <w:rFonts w:ascii="Times New Roman" w:hAnsi="Times New Roman" w:cs="Times New Roman"/>
                <w:noProof/>
              </w:rPr>
              <w:t>HAPTER THREE</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_Toc174455329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6</w:t>
            </w:r>
            <w:r w:rsidR="00EF6261" w:rsidRPr="00EF6261">
              <w:rPr>
                <w:rFonts w:ascii="Times New Roman" w:hAnsi="Times New Roman" w:cs="Times New Roman"/>
                <w:noProof/>
                <w:webHidden/>
              </w:rPr>
              <w:fldChar w:fldCharType="end"/>
            </w:r>
          </w:hyperlink>
        </w:p>
        <w:p w14:paraId="60B77E53" w14:textId="75201A33"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30" w:history="1">
            <w:r w:rsidR="00EF6261" w:rsidRPr="00EF6261">
              <w:rPr>
                <w:rStyle w:val="Hyperlink"/>
                <w:rFonts w:ascii="Times New Roman" w:hAnsi="Times New Roman" w:cs="Times New Roman"/>
                <w:noProof/>
              </w:rPr>
              <w:t>C</w:t>
            </w:r>
            <w:r w:rsidR="00EF6261">
              <w:rPr>
                <w:rStyle w:val="Hyperlink"/>
                <w:rFonts w:ascii="Times New Roman" w:hAnsi="Times New Roman" w:cs="Times New Roman"/>
                <w:noProof/>
              </w:rPr>
              <w:t>ONCEPTUAL FRAMEWORK</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_Toc174455330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6</w:t>
            </w:r>
            <w:r w:rsidR="00EF6261" w:rsidRPr="00EF6261">
              <w:rPr>
                <w:rFonts w:ascii="Times New Roman" w:hAnsi="Times New Roman" w:cs="Times New Roman"/>
                <w:noProof/>
                <w:webHidden/>
              </w:rPr>
              <w:fldChar w:fldCharType="end"/>
            </w:r>
          </w:hyperlink>
        </w:p>
        <w:p w14:paraId="2052DDCC" w14:textId="0F55ED7B"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32" w:history="1">
            <w:r w:rsidR="00EF6261" w:rsidRPr="00EF6261">
              <w:rPr>
                <w:rStyle w:val="Hyperlink"/>
                <w:rFonts w:ascii="Times New Roman" w:hAnsi="Times New Roman" w:cs="Times New Roman"/>
                <w:noProof/>
              </w:rPr>
              <w:t>C</w:t>
            </w:r>
            <w:r w:rsidR="00EF6261">
              <w:rPr>
                <w:rStyle w:val="Hyperlink"/>
                <w:rFonts w:ascii="Times New Roman" w:hAnsi="Times New Roman" w:cs="Times New Roman"/>
                <w:noProof/>
              </w:rPr>
              <w:t>HAPTER FOUR</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_Toc174455332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9</w:t>
            </w:r>
            <w:r w:rsidR="00EF6261" w:rsidRPr="00EF6261">
              <w:rPr>
                <w:rFonts w:ascii="Times New Roman" w:hAnsi="Times New Roman" w:cs="Times New Roman"/>
                <w:noProof/>
                <w:webHidden/>
              </w:rPr>
              <w:fldChar w:fldCharType="end"/>
            </w:r>
          </w:hyperlink>
        </w:p>
        <w:p w14:paraId="2613ABCF" w14:textId="618269B4"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33" w:history="1">
            <w:r w:rsidR="00EF6261" w:rsidRPr="00EF6261">
              <w:rPr>
                <w:rStyle w:val="Hyperlink"/>
                <w:rFonts w:ascii="Times New Roman" w:hAnsi="Times New Roman" w:cs="Times New Roman"/>
                <w:noProof/>
              </w:rPr>
              <w:t>M</w:t>
            </w:r>
            <w:r w:rsidR="00EF6261">
              <w:rPr>
                <w:rStyle w:val="Hyperlink"/>
                <w:rFonts w:ascii="Times New Roman" w:hAnsi="Times New Roman" w:cs="Times New Roman"/>
                <w:noProof/>
              </w:rPr>
              <w:t>ETHODS AND PROCEDURES</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_Toc174455333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9</w:t>
            </w:r>
            <w:r w:rsidR="00EF6261" w:rsidRPr="00EF6261">
              <w:rPr>
                <w:rFonts w:ascii="Times New Roman" w:hAnsi="Times New Roman" w:cs="Times New Roman"/>
                <w:noProof/>
                <w:webHidden/>
              </w:rPr>
              <w:fldChar w:fldCharType="end"/>
            </w:r>
          </w:hyperlink>
        </w:p>
        <w:p w14:paraId="5BB2EFBA" w14:textId="124124A8"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34" w:history="1">
            <w:r w:rsidR="00EF6261" w:rsidRPr="00EF6261">
              <w:rPr>
                <w:rStyle w:val="Hyperlink"/>
                <w:rFonts w:ascii="Times New Roman" w:hAnsi="Times New Roman" w:cs="Times New Roman"/>
                <w:noProof/>
              </w:rPr>
              <w:t>Data Description</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_Toc174455334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9</w:t>
            </w:r>
            <w:r w:rsidR="00EF6261" w:rsidRPr="00EF6261">
              <w:rPr>
                <w:rFonts w:ascii="Times New Roman" w:hAnsi="Times New Roman" w:cs="Times New Roman"/>
                <w:noProof/>
                <w:webHidden/>
              </w:rPr>
              <w:fldChar w:fldCharType="end"/>
            </w:r>
          </w:hyperlink>
        </w:p>
        <w:p w14:paraId="6FD8639B" w14:textId="61E7195C"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36" w:history="1">
            <w:r w:rsidR="00EF6261" w:rsidRPr="00EF6261">
              <w:rPr>
                <w:rStyle w:val="Hyperlink"/>
                <w:rFonts w:ascii="Times New Roman" w:hAnsi="Times New Roman" w:cs="Times New Roman"/>
                <w:noProof/>
              </w:rPr>
              <w:t>Methods</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_Toc174455336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11</w:t>
            </w:r>
            <w:r w:rsidR="00EF6261" w:rsidRPr="00EF6261">
              <w:rPr>
                <w:rFonts w:ascii="Times New Roman" w:hAnsi="Times New Roman" w:cs="Times New Roman"/>
                <w:noProof/>
                <w:webHidden/>
              </w:rPr>
              <w:fldChar w:fldCharType="end"/>
            </w:r>
          </w:hyperlink>
        </w:p>
        <w:p w14:paraId="45F0CB33" w14:textId="0D61970C"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38" w:history="1">
            <w:r w:rsidR="00EF6261" w:rsidRPr="00EF6261">
              <w:rPr>
                <w:rStyle w:val="Hyperlink"/>
                <w:rFonts w:ascii="Times New Roman" w:hAnsi="Times New Roman" w:cs="Times New Roman"/>
                <w:noProof/>
              </w:rPr>
              <w:t>C</w:t>
            </w:r>
            <w:r w:rsidR="00DB6A1B">
              <w:rPr>
                <w:rStyle w:val="Hyperlink"/>
                <w:rFonts w:ascii="Times New Roman" w:hAnsi="Times New Roman" w:cs="Times New Roman"/>
                <w:noProof/>
              </w:rPr>
              <w:t>HAPTER FIVE</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_Toc174455338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16</w:t>
            </w:r>
            <w:r w:rsidR="00EF6261" w:rsidRPr="00EF6261">
              <w:rPr>
                <w:rFonts w:ascii="Times New Roman" w:hAnsi="Times New Roman" w:cs="Times New Roman"/>
                <w:noProof/>
                <w:webHidden/>
              </w:rPr>
              <w:fldChar w:fldCharType="end"/>
            </w:r>
          </w:hyperlink>
        </w:p>
        <w:p w14:paraId="41B044C9" w14:textId="4CFE1A12"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39" w:history="1">
            <w:r w:rsidR="00EF6261" w:rsidRPr="00EF6261">
              <w:rPr>
                <w:rStyle w:val="Hyperlink"/>
                <w:rFonts w:ascii="Times New Roman" w:hAnsi="Times New Roman" w:cs="Times New Roman"/>
                <w:noProof/>
              </w:rPr>
              <w:t>R</w:t>
            </w:r>
            <w:r w:rsidR="00DB6A1B">
              <w:rPr>
                <w:rStyle w:val="Hyperlink"/>
                <w:rFonts w:ascii="Times New Roman" w:hAnsi="Times New Roman" w:cs="Times New Roman"/>
                <w:noProof/>
              </w:rPr>
              <w:t>ESULTS</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_Toc174455339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16</w:t>
            </w:r>
            <w:r w:rsidR="00EF6261" w:rsidRPr="00EF6261">
              <w:rPr>
                <w:rFonts w:ascii="Times New Roman" w:hAnsi="Times New Roman" w:cs="Times New Roman"/>
                <w:noProof/>
                <w:webHidden/>
              </w:rPr>
              <w:fldChar w:fldCharType="end"/>
            </w:r>
          </w:hyperlink>
        </w:p>
        <w:p w14:paraId="224BA405" w14:textId="306EAA39"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40" w:history="1">
            <w:r w:rsidR="00EF6261" w:rsidRPr="00EF6261">
              <w:rPr>
                <w:rStyle w:val="Hyperlink"/>
                <w:rFonts w:ascii="Times New Roman" w:hAnsi="Times New Roman" w:cs="Times New Roman"/>
                <w:noProof/>
              </w:rPr>
              <w:t>Analysis</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_Toc174455340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16</w:t>
            </w:r>
            <w:r w:rsidR="00EF6261" w:rsidRPr="00EF6261">
              <w:rPr>
                <w:rFonts w:ascii="Times New Roman" w:hAnsi="Times New Roman" w:cs="Times New Roman"/>
                <w:noProof/>
                <w:webHidden/>
              </w:rPr>
              <w:fldChar w:fldCharType="end"/>
            </w:r>
          </w:hyperlink>
        </w:p>
        <w:p w14:paraId="4AE014DB" w14:textId="2D8C6CE6" w:rsidR="00EF6261" w:rsidRPr="00EF6261" w:rsidRDefault="00722492">
          <w:pPr>
            <w:pStyle w:val="TOC2"/>
            <w:tabs>
              <w:tab w:val="right" w:leader="dot" w:pos="8630"/>
            </w:tabs>
            <w:rPr>
              <w:rFonts w:ascii="Times New Roman" w:eastAsiaTheme="minorEastAsia" w:hAnsi="Times New Roman" w:cs="Times New Roman"/>
              <w:noProof/>
              <w:kern w:val="2"/>
              <w14:ligatures w14:val="standardContextual"/>
            </w:rPr>
          </w:pPr>
          <w:hyperlink w:anchor="_Toc174455341" w:history="1">
            <w:r w:rsidR="00EF6261" w:rsidRPr="00EF6261">
              <w:rPr>
                <w:rStyle w:val="Hyperlink"/>
                <w:rFonts w:ascii="Times New Roman" w:hAnsi="Times New Roman" w:cs="Times New Roman"/>
                <w:noProof/>
              </w:rPr>
              <w:t>Discussion</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_Toc174455341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20</w:t>
            </w:r>
            <w:r w:rsidR="00EF6261" w:rsidRPr="00EF6261">
              <w:rPr>
                <w:rFonts w:ascii="Times New Roman" w:hAnsi="Times New Roman" w:cs="Times New Roman"/>
                <w:noProof/>
                <w:webHidden/>
              </w:rPr>
              <w:fldChar w:fldCharType="end"/>
            </w:r>
          </w:hyperlink>
        </w:p>
        <w:p w14:paraId="64DA83F8" w14:textId="7FF3DF8A"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43" w:history="1">
            <w:r w:rsidR="00EF6261" w:rsidRPr="00EF6261">
              <w:rPr>
                <w:rStyle w:val="Hyperlink"/>
                <w:rFonts w:ascii="Times New Roman" w:hAnsi="Times New Roman" w:cs="Times New Roman"/>
                <w:noProof/>
              </w:rPr>
              <w:t>REFERENCES</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_Toc174455343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22</w:t>
            </w:r>
            <w:r w:rsidR="00EF6261" w:rsidRPr="00EF6261">
              <w:rPr>
                <w:rFonts w:ascii="Times New Roman" w:hAnsi="Times New Roman" w:cs="Times New Roman"/>
                <w:noProof/>
                <w:webHidden/>
              </w:rPr>
              <w:fldChar w:fldCharType="end"/>
            </w:r>
          </w:hyperlink>
        </w:p>
        <w:p w14:paraId="2E05ACC4" w14:textId="576417B7"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44" w:history="1">
            <w:r w:rsidR="00EF6261" w:rsidRPr="00EF6261">
              <w:rPr>
                <w:rStyle w:val="Hyperlink"/>
                <w:rFonts w:ascii="Times New Roman" w:hAnsi="Times New Roman" w:cs="Times New Roman"/>
                <w:noProof/>
              </w:rPr>
              <w:t>A</w:t>
            </w:r>
            <w:r w:rsidR="00DB6A1B">
              <w:rPr>
                <w:rStyle w:val="Hyperlink"/>
                <w:rFonts w:ascii="Times New Roman" w:hAnsi="Times New Roman" w:cs="Times New Roman"/>
                <w:noProof/>
              </w:rPr>
              <w:t>PPENDIX</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_Toc174455344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30</w:t>
            </w:r>
            <w:r w:rsidR="00EF6261" w:rsidRPr="00EF6261">
              <w:rPr>
                <w:rFonts w:ascii="Times New Roman" w:hAnsi="Times New Roman" w:cs="Times New Roman"/>
                <w:noProof/>
                <w:webHidden/>
              </w:rPr>
              <w:fldChar w:fldCharType="end"/>
            </w:r>
          </w:hyperlink>
        </w:p>
        <w:p w14:paraId="62D81BFF" w14:textId="5FCF5F24" w:rsidR="00EF6261" w:rsidRPr="00EF6261" w:rsidRDefault="00722492">
          <w:pPr>
            <w:pStyle w:val="TOC1"/>
            <w:tabs>
              <w:tab w:val="right" w:leader="dot" w:pos="8630"/>
            </w:tabs>
            <w:rPr>
              <w:rFonts w:ascii="Times New Roman" w:eastAsiaTheme="minorEastAsia" w:hAnsi="Times New Roman" w:cs="Times New Roman"/>
              <w:noProof/>
              <w:kern w:val="2"/>
              <w14:ligatures w14:val="standardContextual"/>
            </w:rPr>
          </w:pPr>
          <w:hyperlink w:anchor="_Toc174455349" w:history="1">
            <w:r w:rsidR="00EF6261" w:rsidRPr="00EF6261">
              <w:rPr>
                <w:rStyle w:val="Hyperlink"/>
                <w:rFonts w:ascii="Times New Roman" w:hAnsi="Times New Roman" w:cs="Times New Roman"/>
                <w:noProof/>
              </w:rPr>
              <w:t>VITA</w:t>
            </w:r>
            <w:r w:rsidR="00EF6261" w:rsidRPr="00EF6261">
              <w:rPr>
                <w:rFonts w:ascii="Times New Roman" w:hAnsi="Times New Roman" w:cs="Times New Roman"/>
                <w:noProof/>
                <w:webHidden/>
              </w:rPr>
              <w:tab/>
            </w:r>
            <w:r w:rsidR="00EF6261" w:rsidRPr="00EF6261">
              <w:rPr>
                <w:rFonts w:ascii="Times New Roman" w:hAnsi="Times New Roman" w:cs="Times New Roman"/>
                <w:noProof/>
                <w:webHidden/>
              </w:rPr>
              <w:fldChar w:fldCharType="begin"/>
            </w:r>
            <w:r w:rsidR="00EF6261" w:rsidRPr="00EF6261">
              <w:rPr>
                <w:rFonts w:ascii="Times New Roman" w:hAnsi="Times New Roman" w:cs="Times New Roman"/>
                <w:noProof/>
                <w:webHidden/>
              </w:rPr>
              <w:instrText xml:space="preserve"> PAGEREF _Toc174455349 \h </w:instrText>
            </w:r>
            <w:r w:rsidR="00EF6261" w:rsidRPr="00EF6261">
              <w:rPr>
                <w:rFonts w:ascii="Times New Roman" w:hAnsi="Times New Roman" w:cs="Times New Roman"/>
                <w:noProof/>
                <w:webHidden/>
              </w:rPr>
            </w:r>
            <w:r w:rsidR="00EF6261" w:rsidRPr="00EF6261">
              <w:rPr>
                <w:rFonts w:ascii="Times New Roman" w:hAnsi="Times New Roman" w:cs="Times New Roman"/>
                <w:noProof/>
                <w:webHidden/>
              </w:rPr>
              <w:fldChar w:fldCharType="separate"/>
            </w:r>
            <w:r w:rsidR="009C244F">
              <w:rPr>
                <w:rFonts w:ascii="Times New Roman" w:hAnsi="Times New Roman" w:cs="Times New Roman"/>
                <w:noProof/>
                <w:webHidden/>
              </w:rPr>
              <w:t>3</w:t>
            </w:r>
            <w:r w:rsidR="00A008FE">
              <w:rPr>
                <w:rFonts w:ascii="Times New Roman" w:hAnsi="Times New Roman" w:cs="Times New Roman"/>
                <w:noProof/>
                <w:webHidden/>
              </w:rPr>
              <w:t>4</w:t>
            </w:r>
            <w:r w:rsidR="00EF6261" w:rsidRPr="00EF6261">
              <w:rPr>
                <w:rFonts w:ascii="Times New Roman" w:hAnsi="Times New Roman" w:cs="Times New Roman"/>
                <w:noProof/>
                <w:webHidden/>
              </w:rPr>
              <w:fldChar w:fldCharType="end"/>
            </w:r>
          </w:hyperlink>
        </w:p>
        <w:p w14:paraId="16780714" w14:textId="17B6FE59" w:rsidR="00721EEA" w:rsidRPr="00100D2A" w:rsidRDefault="00721EEA" w:rsidP="00384647">
          <w:pPr>
            <w:spacing w:line="276" w:lineRule="auto"/>
            <w:rPr>
              <w:rFonts w:ascii="Times New Roman" w:hAnsi="Times New Roman" w:cs="Times New Roman"/>
            </w:rPr>
          </w:pPr>
          <w:r w:rsidRPr="00EF6261">
            <w:rPr>
              <w:rFonts w:ascii="Times New Roman" w:hAnsi="Times New Roman" w:cs="Times New Roman"/>
              <w:b/>
              <w:bCs/>
              <w:noProof/>
            </w:rPr>
            <w:fldChar w:fldCharType="end"/>
          </w:r>
        </w:p>
      </w:sdtContent>
    </w:sdt>
    <w:p w14:paraId="7B4376E9" w14:textId="77777777" w:rsidR="003F7FED" w:rsidRPr="00100D2A" w:rsidRDefault="003F7FED" w:rsidP="00384647">
      <w:pPr>
        <w:spacing w:line="276" w:lineRule="auto"/>
        <w:rPr>
          <w:rFonts w:ascii="Times New Roman" w:hAnsi="Times New Roman" w:cs="Times New Roman"/>
        </w:rPr>
      </w:pPr>
    </w:p>
    <w:p w14:paraId="6CA2BFB8" w14:textId="77777777" w:rsidR="00327754" w:rsidRPr="00100D2A" w:rsidRDefault="00327754" w:rsidP="007F7A99">
      <w:pPr>
        <w:jc w:val="center"/>
        <w:rPr>
          <w:rFonts w:ascii="Times New Roman" w:hAnsi="Times New Roman" w:cs="Times New Roman"/>
          <w:b/>
          <w:bCs/>
        </w:rPr>
      </w:pPr>
    </w:p>
    <w:p w14:paraId="0AB76803" w14:textId="11B932BC" w:rsidR="00327754" w:rsidRPr="00100D2A" w:rsidRDefault="00327754" w:rsidP="00EA16CC">
      <w:pPr>
        <w:pStyle w:val="TOCHeading"/>
        <w:rPr>
          <w:noProof/>
        </w:rPr>
      </w:pPr>
      <w:bookmarkStart w:id="2" w:name="_GoBack"/>
      <w:bookmarkEnd w:id="2"/>
    </w:p>
    <w:p w14:paraId="71E7A1FF" w14:textId="77777777" w:rsidR="00327754" w:rsidRPr="00240CD4" w:rsidRDefault="00327754" w:rsidP="007F7A99">
      <w:pPr>
        <w:jc w:val="center"/>
        <w:rPr>
          <w:rFonts w:ascii="Times New Roman" w:hAnsi="Times New Roman" w:cs="Times New Roman"/>
          <w:b/>
          <w:bCs/>
        </w:rPr>
      </w:pPr>
    </w:p>
    <w:p w14:paraId="6C77CCF7" w14:textId="420BB289" w:rsidR="008126CF" w:rsidRDefault="008126CF" w:rsidP="008126CF">
      <w:pPr>
        <w:rPr>
          <w:rFonts w:ascii="Times New Roman" w:hAnsi="Times New Roman" w:cs="Times New Roman"/>
          <w:b/>
          <w:bCs/>
        </w:rPr>
      </w:pPr>
    </w:p>
    <w:p w14:paraId="36ECC9B7" w14:textId="77777777" w:rsidR="00D24308" w:rsidRDefault="00D24308" w:rsidP="008126CF">
      <w:pPr>
        <w:rPr>
          <w:rFonts w:ascii="Times New Roman" w:hAnsi="Times New Roman" w:cs="Times New Roman"/>
          <w:b/>
          <w:bCs/>
        </w:rPr>
      </w:pPr>
    </w:p>
    <w:p w14:paraId="586AD19C" w14:textId="77777777" w:rsidR="00D24308" w:rsidRDefault="00D24308" w:rsidP="008126CF">
      <w:pPr>
        <w:rPr>
          <w:rFonts w:ascii="Times New Roman" w:hAnsi="Times New Roman" w:cs="Times New Roman"/>
          <w:b/>
          <w:bCs/>
        </w:rPr>
      </w:pPr>
    </w:p>
    <w:p w14:paraId="104FAFE9" w14:textId="77777777" w:rsidR="00D24308" w:rsidRDefault="00D24308" w:rsidP="008126CF">
      <w:pPr>
        <w:rPr>
          <w:rFonts w:ascii="Times New Roman" w:hAnsi="Times New Roman" w:cs="Times New Roman"/>
          <w:b/>
          <w:bCs/>
        </w:rPr>
      </w:pPr>
    </w:p>
    <w:p w14:paraId="40F41FAB" w14:textId="77777777" w:rsidR="00D24308" w:rsidRDefault="00D24308" w:rsidP="008126CF">
      <w:pPr>
        <w:rPr>
          <w:rFonts w:ascii="Times New Roman" w:hAnsi="Times New Roman" w:cs="Times New Roman"/>
          <w:b/>
          <w:bCs/>
        </w:rPr>
      </w:pPr>
    </w:p>
    <w:p w14:paraId="067DBFE7" w14:textId="77777777" w:rsidR="00D24308" w:rsidRDefault="00D24308" w:rsidP="008126CF">
      <w:pPr>
        <w:rPr>
          <w:rFonts w:ascii="Times New Roman" w:hAnsi="Times New Roman" w:cs="Times New Roman"/>
          <w:b/>
          <w:bCs/>
        </w:rPr>
      </w:pPr>
    </w:p>
    <w:p w14:paraId="6ECBB27C" w14:textId="77777777" w:rsidR="00D24308" w:rsidRDefault="00D24308" w:rsidP="008126CF">
      <w:pPr>
        <w:rPr>
          <w:rFonts w:ascii="Times New Roman" w:hAnsi="Times New Roman" w:cs="Times New Roman"/>
          <w:b/>
          <w:bCs/>
        </w:rPr>
      </w:pPr>
    </w:p>
    <w:p w14:paraId="523A60B0" w14:textId="77777777" w:rsidR="00D24308" w:rsidRDefault="00D24308" w:rsidP="008126CF">
      <w:pPr>
        <w:rPr>
          <w:rFonts w:ascii="Times New Roman" w:hAnsi="Times New Roman" w:cs="Times New Roman"/>
          <w:b/>
          <w:bCs/>
        </w:rPr>
      </w:pPr>
    </w:p>
    <w:p w14:paraId="15A3C14D" w14:textId="77777777" w:rsidR="00D24308" w:rsidRDefault="00D24308" w:rsidP="008126CF">
      <w:pPr>
        <w:rPr>
          <w:rFonts w:ascii="Times New Roman" w:hAnsi="Times New Roman" w:cs="Times New Roman"/>
          <w:b/>
          <w:bCs/>
        </w:rPr>
      </w:pPr>
    </w:p>
    <w:p w14:paraId="2D88BC68" w14:textId="77777777" w:rsidR="00D24308" w:rsidRDefault="00D24308" w:rsidP="008126CF">
      <w:pPr>
        <w:rPr>
          <w:rFonts w:ascii="Times New Roman" w:hAnsi="Times New Roman" w:cs="Times New Roman"/>
          <w:b/>
          <w:bCs/>
        </w:rPr>
      </w:pPr>
    </w:p>
    <w:p w14:paraId="3229CA44" w14:textId="77777777" w:rsidR="00D24308" w:rsidRDefault="00D24308" w:rsidP="008126CF">
      <w:pPr>
        <w:rPr>
          <w:rFonts w:ascii="Times New Roman" w:hAnsi="Times New Roman" w:cs="Times New Roman"/>
          <w:b/>
          <w:bCs/>
        </w:rPr>
      </w:pPr>
    </w:p>
    <w:p w14:paraId="20ED1909" w14:textId="77777777" w:rsidR="00D24308" w:rsidRDefault="00D24308" w:rsidP="008126CF">
      <w:pPr>
        <w:rPr>
          <w:rFonts w:ascii="Times New Roman" w:hAnsi="Times New Roman" w:cs="Times New Roman"/>
          <w:b/>
          <w:bCs/>
        </w:rPr>
      </w:pPr>
    </w:p>
    <w:p w14:paraId="4DF42470" w14:textId="77777777" w:rsidR="00D24308" w:rsidRDefault="00D24308" w:rsidP="008126CF">
      <w:pPr>
        <w:rPr>
          <w:rFonts w:ascii="Times New Roman" w:hAnsi="Times New Roman" w:cs="Times New Roman"/>
          <w:b/>
          <w:bCs/>
        </w:rPr>
      </w:pPr>
    </w:p>
    <w:p w14:paraId="0AF80E75" w14:textId="77777777" w:rsidR="00E157DC" w:rsidRDefault="00E157DC" w:rsidP="00E157DC">
      <w:pPr>
        <w:rPr>
          <w:rFonts w:ascii="Times New Roman" w:hAnsi="Times New Roman" w:cs="Times New Roman"/>
          <w:b/>
          <w:bCs/>
        </w:rPr>
      </w:pPr>
    </w:p>
    <w:p w14:paraId="6635BA29" w14:textId="36B9A4E7" w:rsidR="00236E6D" w:rsidRPr="007F7A99" w:rsidRDefault="00236E6D" w:rsidP="00E157DC">
      <w:pPr>
        <w:jc w:val="center"/>
        <w:rPr>
          <w:rFonts w:ascii="Times New Roman" w:hAnsi="Times New Roman" w:cs="Times New Roman"/>
          <w:b/>
          <w:bCs/>
        </w:rPr>
      </w:pPr>
      <w:r w:rsidRPr="009D2AA9">
        <w:rPr>
          <w:rFonts w:ascii="Times New Roman" w:hAnsi="Times New Roman" w:cs="Times New Roman"/>
          <w:b/>
          <w:bCs/>
        </w:rPr>
        <w:lastRenderedPageBreak/>
        <w:t>LIST OF TABLES</w:t>
      </w:r>
    </w:p>
    <w:p w14:paraId="2C7D01CB" w14:textId="500D43A4" w:rsidR="008D2BC8" w:rsidRPr="008D2BC8" w:rsidRDefault="008D2BC8" w:rsidP="008D2BC8">
      <w:pPr>
        <w:pStyle w:val="TOC1"/>
        <w:tabs>
          <w:tab w:val="right" w:leader="dot" w:pos="8630"/>
        </w:tabs>
        <w:rPr>
          <w:rFonts w:ascii="Times New Roman" w:eastAsiaTheme="minorEastAsia" w:hAnsi="Times New Roman" w:cs="Times New Roman"/>
          <w:noProof/>
          <w:kern w:val="2"/>
          <w14:ligatures w14:val="standardContextual"/>
        </w:rPr>
      </w:pPr>
      <w:r w:rsidRPr="008D2BC8">
        <w:rPr>
          <w:rFonts w:ascii="Times New Roman" w:hAnsi="Times New Roman" w:cs="Times New Roman"/>
        </w:rPr>
        <w:fldChar w:fldCharType="begin"/>
      </w:r>
      <w:r w:rsidRPr="008D2BC8">
        <w:rPr>
          <w:rFonts w:ascii="Times New Roman" w:hAnsi="Times New Roman" w:cs="Times New Roman"/>
        </w:rPr>
        <w:instrText xml:space="preserve"> TOC \o "1-3" \h \z \u </w:instrText>
      </w:r>
      <w:r w:rsidRPr="008D2BC8">
        <w:rPr>
          <w:rFonts w:ascii="Times New Roman" w:hAnsi="Times New Roman" w:cs="Times New Roman"/>
        </w:rPr>
        <w:fldChar w:fldCharType="separate"/>
      </w:r>
    </w:p>
    <w:p w14:paraId="4DEA5450" w14:textId="3A7CD591" w:rsidR="00ED7808" w:rsidRPr="00ED7808" w:rsidRDefault="00722492" w:rsidP="00ED7808">
      <w:pPr>
        <w:pStyle w:val="TOC2"/>
        <w:tabs>
          <w:tab w:val="right" w:leader="dot" w:pos="8630"/>
        </w:tabs>
        <w:rPr>
          <w:rFonts w:ascii="Times New Roman" w:eastAsiaTheme="minorEastAsia" w:hAnsi="Times New Roman" w:cs="Times New Roman"/>
          <w:noProof/>
          <w:kern w:val="2"/>
          <w14:ligatures w14:val="standardContextual"/>
        </w:rPr>
      </w:pPr>
      <w:hyperlink w:anchor="_Toc174454608" w:history="1">
        <w:r w:rsidR="00ED7808" w:rsidRPr="00ED7808">
          <w:rPr>
            <w:rStyle w:val="Hyperlink"/>
            <w:rFonts w:ascii="Times New Roman" w:eastAsia="Aptos" w:hAnsi="Times New Roman" w:cs="Times New Roman"/>
            <w:noProof/>
          </w:rPr>
          <w:t>Table 1. Variables from RECS</w:t>
        </w:r>
        <w:r w:rsidR="00ED7808" w:rsidRPr="00ED7808">
          <w:rPr>
            <w:rFonts w:ascii="Times New Roman" w:hAnsi="Times New Roman" w:cs="Times New Roman"/>
            <w:noProof/>
            <w:webHidden/>
          </w:rPr>
          <w:tab/>
        </w:r>
        <w:r w:rsidR="00ED7808" w:rsidRPr="00ED7808">
          <w:rPr>
            <w:rFonts w:ascii="Times New Roman" w:hAnsi="Times New Roman" w:cs="Times New Roman"/>
            <w:noProof/>
            <w:webHidden/>
          </w:rPr>
          <w:fldChar w:fldCharType="begin"/>
        </w:r>
        <w:r w:rsidR="00ED7808" w:rsidRPr="00ED7808">
          <w:rPr>
            <w:rFonts w:ascii="Times New Roman" w:hAnsi="Times New Roman" w:cs="Times New Roman"/>
            <w:noProof/>
            <w:webHidden/>
          </w:rPr>
          <w:instrText xml:space="preserve"> PAGEREF _Toc174454608 \h </w:instrText>
        </w:r>
        <w:r w:rsidR="00ED7808" w:rsidRPr="00ED7808">
          <w:rPr>
            <w:rFonts w:ascii="Times New Roman" w:hAnsi="Times New Roman" w:cs="Times New Roman"/>
            <w:noProof/>
            <w:webHidden/>
          </w:rPr>
        </w:r>
        <w:r w:rsidR="00ED7808" w:rsidRPr="00ED7808">
          <w:rPr>
            <w:rFonts w:ascii="Times New Roman" w:hAnsi="Times New Roman" w:cs="Times New Roman"/>
            <w:noProof/>
            <w:webHidden/>
          </w:rPr>
          <w:fldChar w:fldCharType="separate"/>
        </w:r>
        <w:r w:rsidR="009C244F">
          <w:rPr>
            <w:rFonts w:ascii="Times New Roman" w:hAnsi="Times New Roman" w:cs="Times New Roman"/>
            <w:noProof/>
            <w:webHidden/>
          </w:rPr>
          <w:t>10</w:t>
        </w:r>
        <w:r w:rsidR="00ED7808" w:rsidRPr="00ED7808">
          <w:rPr>
            <w:rFonts w:ascii="Times New Roman" w:hAnsi="Times New Roman" w:cs="Times New Roman"/>
            <w:noProof/>
            <w:webHidden/>
          </w:rPr>
          <w:fldChar w:fldCharType="end"/>
        </w:r>
      </w:hyperlink>
    </w:p>
    <w:p w14:paraId="0338943C" w14:textId="19F7EE9A" w:rsidR="00ED7808" w:rsidRPr="00ED7808" w:rsidRDefault="00722492" w:rsidP="00ED7808">
      <w:pPr>
        <w:pStyle w:val="TOC2"/>
        <w:tabs>
          <w:tab w:val="right" w:leader="dot" w:pos="8630"/>
        </w:tabs>
        <w:rPr>
          <w:rFonts w:ascii="Times New Roman" w:eastAsiaTheme="minorEastAsia" w:hAnsi="Times New Roman" w:cs="Times New Roman"/>
          <w:noProof/>
          <w:kern w:val="2"/>
          <w14:ligatures w14:val="standardContextual"/>
        </w:rPr>
      </w:pPr>
      <w:hyperlink w:anchor="_Toc174454610" w:history="1">
        <w:r w:rsidR="00ED7808" w:rsidRPr="00ED7808">
          <w:rPr>
            <w:rStyle w:val="Hyperlink"/>
            <w:rFonts w:ascii="Times New Roman" w:eastAsia="Garamond" w:hAnsi="Times New Roman" w:cs="Times New Roman"/>
            <w:noProof/>
          </w:rPr>
          <w:t>Table 2. Home Charging Capability and EV Ownership</w:t>
        </w:r>
        <w:r w:rsidR="00ED7808" w:rsidRPr="00ED7808">
          <w:rPr>
            <w:rFonts w:ascii="Times New Roman" w:hAnsi="Times New Roman" w:cs="Times New Roman"/>
            <w:noProof/>
            <w:webHidden/>
          </w:rPr>
          <w:tab/>
        </w:r>
        <w:r w:rsidR="00ED7808" w:rsidRPr="00ED7808">
          <w:rPr>
            <w:rFonts w:ascii="Times New Roman" w:hAnsi="Times New Roman" w:cs="Times New Roman"/>
            <w:noProof/>
            <w:webHidden/>
          </w:rPr>
          <w:fldChar w:fldCharType="begin"/>
        </w:r>
        <w:r w:rsidR="00ED7808" w:rsidRPr="00ED7808">
          <w:rPr>
            <w:rFonts w:ascii="Times New Roman" w:hAnsi="Times New Roman" w:cs="Times New Roman"/>
            <w:noProof/>
            <w:webHidden/>
          </w:rPr>
          <w:instrText xml:space="preserve"> PAGEREF _Toc174454610 \h </w:instrText>
        </w:r>
        <w:r w:rsidR="00ED7808" w:rsidRPr="00ED7808">
          <w:rPr>
            <w:rFonts w:ascii="Times New Roman" w:hAnsi="Times New Roman" w:cs="Times New Roman"/>
            <w:noProof/>
            <w:webHidden/>
          </w:rPr>
        </w:r>
        <w:r w:rsidR="00ED7808" w:rsidRPr="00ED7808">
          <w:rPr>
            <w:rFonts w:ascii="Times New Roman" w:hAnsi="Times New Roman" w:cs="Times New Roman"/>
            <w:noProof/>
            <w:webHidden/>
          </w:rPr>
          <w:fldChar w:fldCharType="separate"/>
        </w:r>
        <w:r w:rsidR="009C244F">
          <w:rPr>
            <w:rFonts w:ascii="Times New Roman" w:hAnsi="Times New Roman" w:cs="Times New Roman"/>
            <w:noProof/>
            <w:webHidden/>
          </w:rPr>
          <w:t>12</w:t>
        </w:r>
        <w:r w:rsidR="00ED7808" w:rsidRPr="00ED7808">
          <w:rPr>
            <w:rFonts w:ascii="Times New Roman" w:hAnsi="Times New Roman" w:cs="Times New Roman"/>
            <w:noProof/>
            <w:webHidden/>
          </w:rPr>
          <w:fldChar w:fldCharType="end"/>
        </w:r>
      </w:hyperlink>
    </w:p>
    <w:p w14:paraId="3F367C89" w14:textId="47034A09" w:rsidR="00ED7808" w:rsidRPr="00ED7808" w:rsidRDefault="00722492" w:rsidP="00ED7808">
      <w:pPr>
        <w:pStyle w:val="TOC2"/>
        <w:tabs>
          <w:tab w:val="right" w:leader="dot" w:pos="8630"/>
        </w:tabs>
        <w:rPr>
          <w:rFonts w:ascii="Times New Roman" w:eastAsiaTheme="minorEastAsia" w:hAnsi="Times New Roman" w:cs="Times New Roman"/>
          <w:noProof/>
          <w:kern w:val="2"/>
          <w14:ligatures w14:val="standardContextual"/>
        </w:rPr>
      </w:pPr>
      <w:hyperlink w:anchor="_Toc174454617" w:history="1">
        <w:r w:rsidR="00ED7808" w:rsidRPr="00ED7808">
          <w:rPr>
            <w:rStyle w:val="Hyperlink"/>
            <w:rFonts w:ascii="Times New Roman" w:hAnsi="Times New Roman" w:cs="Times New Roman"/>
            <w:noProof/>
          </w:rPr>
          <w:t>Table 3. Regression Results with Low Income Interaction</w:t>
        </w:r>
        <w:r w:rsidR="00ED7808" w:rsidRPr="00ED7808">
          <w:rPr>
            <w:rFonts w:ascii="Times New Roman" w:hAnsi="Times New Roman" w:cs="Times New Roman"/>
            <w:noProof/>
            <w:webHidden/>
          </w:rPr>
          <w:tab/>
        </w:r>
        <w:r w:rsidR="00ED7808" w:rsidRPr="00ED7808">
          <w:rPr>
            <w:rFonts w:ascii="Times New Roman" w:hAnsi="Times New Roman" w:cs="Times New Roman"/>
            <w:noProof/>
            <w:webHidden/>
          </w:rPr>
          <w:fldChar w:fldCharType="begin"/>
        </w:r>
        <w:r w:rsidR="00ED7808" w:rsidRPr="00ED7808">
          <w:rPr>
            <w:rFonts w:ascii="Times New Roman" w:hAnsi="Times New Roman" w:cs="Times New Roman"/>
            <w:noProof/>
            <w:webHidden/>
          </w:rPr>
          <w:instrText xml:space="preserve"> PAGEREF _Toc174454617 \h </w:instrText>
        </w:r>
        <w:r w:rsidR="00ED7808" w:rsidRPr="00ED7808">
          <w:rPr>
            <w:rFonts w:ascii="Times New Roman" w:hAnsi="Times New Roman" w:cs="Times New Roman"/>
            <w:noProof/>
            <w:webHidden/>
          </w:rPr>
        </w:r>
        <w:r w:rsidR="00ED7808" w:rsidRPr="00ED7808">
          <w:rPr>
            <w:rFonts w:ascii="Times New Roman" w:hAnsi="Times New Roman" w:cs="Times New Roman"/>
            <w:noProof/>
            <w:webHidden/>
          </w:rPr>
          <w:fldChar w:fldCharType="separate"/>
        </w:r>
        <w:r w:rsidR="009C244F">
          <w:rPr>
            <w:rFonts w:ascii="Times New Roman" w:hAnsi="Times New Roman" w:cs="Times New Roman"/>
            <w:noProof/>
            <w:webHidden/>
          </w:rPr>
          <w:t>30</w:t>
        </w:r>
        <w:r w:rsidR="00ED7808" w:rsidRPr="00ED7808">
          <w:rPr>
            <w:rFonts w:ascii="Times New Roman" w:hAnsi="Times New Roman" w:cs="Times New Roman"/>
            <w:noProof/>
            <w:webHidden/>
          </w:rPr>
          <w:fldChar w:fldCharType="end"/>
        </w:r>
      </w:hyperlink>
    </w:p>
    <w:p w14:paraId="285463CB" w14:textId="708F7E81" w:rsidR="00ED7808" w:rsidRPr="00ED7808" w:rsidRDefault="00722492" w:rsidP="00ED7808">
      <w:pPr>
        <w:pStyle w:val="TOC2"/>
        <w:tabs>
          <w:tab w:val="right" w:leader="dot" w:pos="8630"/>
        </w:tabs>
        <w:rPr>
          <w:rFonts w:ascii="Times New Roman" w:eastAsiaTheme="minorEastAsia" w:hAnsi="Times New Roman" w:cs="Times New Roman"/>
          <w:noProof/>
          <w:kern w:val="2"/>
          <w14:ligatures w14:val="standardContextual"/>
        </w:rPr>
      </w:pPr>
      <w:hyperlink w:anchor="_Toc174454618" w:history="1">
        <w:r w:rsidR="00ED7808" w:rsidRPr="00ED7808">
          <w:rPr>
            <w:rStyle w:val="Hyperlink"/>
            <w:rFonts w:ascii="Times New Roman" w:hAnsi="Times New Roman" w:cs="Times New Roman"/>
            <w:noProof/>
          </w:rPr>
          <w:t>Table 4. Median Income Household WTP (β = 0.023)</w:t>
        </w:r>
        <w:r w:rsidR="00ED7808" w:rsidRPr="00ED7808">
          <w:rPr>
            <w:rFonts w:ascii="Times New Roman" w:hAnsi="Times New Roman" w:cs="Times New Roman"/>
            <w:noProof/>
            <w:webHidden/>
          </w:rPr>
          <w:tab/>
        </w:r>
        <w:r w:rsidR="00ED7808" w:rsidRPr="00ED7808">
          <w:rPr>
            <w:rFonts w:ascii="Times New Roman" w:hAnsi="Times New Roman" w:cs="Times New Roman"/>
            <w:noProof/>
            <w:webHidden/>
          </w:rPr>
          <w:fldChar w:fldCharType="begin"/>
        </w:r>
        <w:r w:rsidR="00ED7808" w:rsidRPr="00ED7808">
          <w:rPr>
            <w:rFonts w:ascii="Times New Roman" w:hAnsi="Times New Roman" w:cs="Times New Roman"/>
            <w:noProof/>
            <w:webHidden/>
          </w:rPr>
          <w:instrText xml:space="preserve"> PAGEREF _Toc174454618 \h </w:instrText>
        </w:r>
        <w:r w:rsidR="00ED7808" w:rsidRPr="00ED7808">
          <w:rPr>
            <w:rFonts w:ascii="Times New Roman" w:hAnsi="Times New Roman" w:cs="Times New Roman"/>
            <w:noProof/>
            <w:webHidden/>
          </w:rPr>
        </w:r>
        <w:r w:rsidR="00ED7808" w:rsidRPr="00ED7808">
          <w:rPr>
            <w:rFonts w:ascii="Times New Roman" w:hAnsi="Times New Roman" w:cs="Times New Roman"/>
            <w:noProof/>
            <w:webHidden/>
          </w:rPr>
          <w:fldChar w:fldCharType="separate"/>
        </w:r>
        <w:r w:rsidR="009C244F">
          <w:rPr>
            <w:rFonts w:ascii="Times New Roman" w:hAnsi="Times New Roman" w:cs="Times New Roman"/>
            <w:noProof/>
            <w:webHidden/>
          </w:rPr>
          <w:t>31</w:t>
        </w:r>
        <w:r w:rsidR="00ED7808" w:rsidRPr="00ED7808">
          <w:rPr>
            <w:rFonts w:ascii="Times New Roman" w:hAnsi="Times New Roman" w:cs="Times New Roman"/>
            <w:noProof/>
            <w:webHidden/>
          </w:rPr>
          <w:fldChar w:fldCharType="end"/>
        </w:r>
      </w:hyperlink>
    </w:p>
    <w:p w14:paraId="48853C49" w14:textId="1386DF3C" w:rsidR="00ED7808" w:rsidRPr="00ED7808" w:rsidRDefault="00722492" w:rsidP="00ED7808">
      <w:pPr>
        <w:pStyle w:val="TOC2"/>
        <w:tabs>
          <w:tab w:val="right" w:leader="dot" w:pos="8630"/>
        </w:tabs>
        <w:rPr>
          <w:rFonts w:ascii="Times New Roman" w:eastAsiaTheme="minorEastAsia" w:hAnsi="Times New Roman" w:cs="Times New Roman"/>
          <w:noProof/>
          <w:kern w:val="2"/>
          <w14:ligatures w14:val="standardContextual"/>
        </w:rPr>
      </w:pPr>
      <w:hyperlink w:anchor="_Toc174454619" w:history="1">
        <w:r w:rsidR="00ED7808" w:rsidRPr="00ED7808">
          <w:rPr>
            <w:rStyle w:val="Hyperlink"/>
            <w:rFonts w:ascii="Times New Roman" w:hAnsi="Times New Roman" w:cs="Times New Roman"/>
            <w:noProof/>
          </w:rPr>
          <w:t>Table 5. Low-Income WTP (β = 0.004)</w:t>
        </w:r>
        <w:r w:rsidR="00ED7808" w:rsidRPr="00ED7808">
          <w:rPr>
            <w:rFonts w:ascii="Times New Roman" w:hAnsi="Times New Roman" w:cs="Times New Roman"/>
            <w:noProof/>
            <w:webHidden/>
          </w:rPr>
          <w:tab/>
        </w:r>
        <w:r w:rsidR="00ED7808" w:rsidRPr="00ED7808">
          <w:rPr>
            <w:rFonts w:ascii="Times New Roman" w:hAnsi="Times New Roman" w:cs="Times New Roman"/>
            <w:noProof/>
            <w:webHidden/>
          </w:rPr>
          <w:fldChar w:fldCharType="begin"/>
        </w:r>
        <w:r w:rsidR="00ED7808" w:rsidRPr="00ED7808">
          <w:rPr>
            <w:rFonts w:ascii="Times New Roman" w:hAnsi="Times New Roman" w:cs="Times New Roman"/>
            <w:noProof/>
            <w:webHidden/>
          </w:rPr>
          <w:instrText xml:space="preserve"> PAGEREF _Toc174454619 \h </w:instrText>
        </w:r>
        <w:r w:rsidR="00ED7808" w:rsidRPr="00ED7808">
          <w:rPr>
            <w:rFonts w:ascii="Times New Roman" w:hAnsi="Times New Roman" w:cs="Times New Roman"/>
            <w:noProof/>
            <w:webHidden/>
          </w:rPr>
        </w:r>
        <w:r w:rsidR="00ED7808" w:rsidRPr="00ED7808">
          <w:rPr>
            <w:rFonts w:ascii="Times New Roman" w:hAnsi="Times New Roman" w:cs="Times New Roman"/>
            <w:noProof/>
            <w:webHidden/>
          </w:rPr>
          <w:fldChar w:fldCharType="separate"/>
        </w:r>
        <w:r w:rsidR="009C244F">
          <w:rPr>
            <w:rFonts w:ascii="Times New Roman" w:hAnsi="Times New Roman" w:cs="Times New Roman"/>
            <w:noProof/>
            <w:webHidden/>
          </w:rPr>
          <w:t>32</w:t>
        </w:r>
        <w:r w:rsidR="00ED7808" w:rsidRPr="00ED7808">
          <w:rPr>
            <w:rFonts w:ascii="Times New Roman" w:hAnsi="Times New Roman" w:cs="Times New Roman"/>
            <w:noProof/>
            <w:webHidden/>
          </w:rPr>
          <w:fldChar w:fldCharType="end"/>
        </w:r>
      </w:hyperlink>
    </w:p>
    <w:p w14:paraId="3A6698AF" w14:textId="75A3B21F" w:rsidR="00ED7808" w:rsidRPr="00ED7808" w:rsidRDefault="00722492" w:rsidP="00ED7808">
      <w:pPr>
        <w:pStyle w:val="TOC2"/>
        <w:tabs>
          <w:tab w:val="right" w:leader="dot" w:pos="8630"/>
        </w:tabs>
        <w:rPr>
          <w:rFonts w:ascii="Times New Roman" w:eastAsiaTheme="minorEastAsia" w:hAnsi="Times New Roman" w:cs="Times New Roman"/>
          <w:noProof/>
          <w:kern w:val="2"/>
          <w14:ligatures w14:val="standardContextual"/>
        </w:rPr>
      </w:pPr>
      <w:hyperlink w:anchor="_Toc174454620" w:history="1">
        <w:r w:rsidR="00ED7808" w:rsidRPr="00ED7808">
          <w:rPr>
            <w:rStyle w:val="Hyperlink"/>
            <w:rFonts w:ascii="Times New Roman" w:hAnsi="Times New Roman" w:cs="Times New Roman"/>
            <w:noProof/>
          </w:rPr>
          <w:t>Table 6. Difference in willingness to pay for home charging in equivalent hours.</w:t>
        </w:r>
        <w:r w:rsidR="00ED7808" w:rsidRPr="00ED7808">
          <w:rPr>
            <w:rFonts w:ascii="Times New Roman" w:hAnsi="Times New Roman" w:cs="Times New Roman"/>
            <w:noProof/>
            <w:webHidden/>
          </w:rPr>
          <w:tab/>
        </w:r>
        <w:r w:rsidR="00ED7808" w:rsidRPr="00ED7808">
          <w:rPr>
            <w:rFonts w:ascii="Times New Roman" w:hAnsi="Times New Roman" w:cs="Times New Roman"/>
            <w:noProof/>
            <w:webHidden/>
          </w:rPr>
          <w:fldChar w:fldCharType="begin"/>
        </w:r>
        <w:r w:rsidR="00ED7808" w:rsidRPr="00ED7808">
          <w:rPr>
            <w:rFonts w:ascii="Times New Roman" w:hAnsi="Times New Roman" w:cs="Times New Roman"/>
            <w:noProof/>
            <w:webHidden/>
          </w:rPr>
          <w:instrText xml:space="preserve"> PAGEREF _Toc174454620 \h </w:instrText>
        </w:r>
        <w:r w:rsidR="00ED7808" w:rsidRPr="00ED7808">
          <w:rPr>
            <w:rFonts w:ascii="Times New Roman" w:hAnsi="Times New Roman" w:cs="Times New Roman"/>
            <w:noProof/>
            <w:webHidden/>
          </w:rPr>
        </w:r>
        <w:r w:rsidR="00ED7808" w:rsidRPr="00ED7808">
          <w:rPr>
            <w:rFonts w:ascii="Times New Roman" w:hAnsi="Times New Roman" w:cs="Times New Roman"/>
            <w:noProof/>
            <w:webHidden/>
          </w:rPr>
          <w:fldChar w:fldCharType="separate"/>
        </w:r>
        <w:r w:rsidR="009C244F">
          <w:rPr>
            <w:rFonts w:ascii="Times New Roman" w:hAnsi="Times New Roman" w:cs="Times New Roman"/>
            <w:noProof/>
            <w:webHidden/>
          </w:rPr>
          <w:t>32</w:t>
        </w:r>
        <w:r w:rsidR="00ED7808" w:rsidRPr="00ED7808">
          <w:rPr>
            <w:rFonts w:ascii="Times New Roman" w:hAnsi="Times New Roman" w:cs="Times New Roman"/>
            <w:noProof/>
            <w:webHidden/>
          </w:rPr>
          <w:fldChar w:fldCharType="end"/>
        </w:r>
      </w:hyperlink>
    </w:p>
    <w:p w14:paraId="7458418D" w14:textId="0F378122" w:rsidR="00236E6D" w:rsidRPr="009D2AA9" w:rsidRDefault="008D2B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8D2BC8">
        <w:rPr>
          <w:rFonts w:ascii="Times New Roman" w:hAnsi="Times New Roman" w:cs="Times New Roman"/>
        </w:rPr>
        <w:fldChar w:fldCharType="end"/>
      </w:r>
    </w:p>
    <w:p w14:paraId="19CD63D5" w14:textId="77777777" w:rsidR="00236E6D" w:rsidRPr="009D2AA9" w:rsidRDefault="00236E6D">
      <w:pPr>
        <w:spacing w:line="2" w:lineRule="exact"/>
        <w:rPr>
          <w:rFonts w:ascii="Times New Roman" w:hAnsi="Times New Roman" w:cs="Times New Roman"/>
        </w:rPr>
      </w:pPr>
    </w:p>
    <w:p w14:paraId="777BB386" w14:textId="77777777" w:rsidR="00236E6D" w:rsidRPr="009D2AA9" w:rsidRDefault="00236E6D">
      <w:pPr>
        <w:spacing w:line="2" w:lineRule="exact"/>
        <w:rPr>
          <w:rFonts w:ascii="Times New Roman" w:hAnsi="Times New Roman" w:cs="Times New Roman"/>
        </w:rPr>
      </w:pPr>
    </w:p>
    <w:p w14:paraId="5FA31104" w14:textId="77777777" w:rsidR="00236E6D" w:rsidRPr="009D2AA9" w:rsidRDefault="00236E6D">
      <w:pPr>
        <w:pStyle w:val="Level1"/>
        <w:tabs>
          <w:tab w:val="right" w:leader="dot" w:pos="8228"/>
        </w:tabs>
        <w:ind w:left="0"/>
        <w:rPr>
          <w:rFonts w:cs="Times New Roman"/>
          <w:b/>
          <w:bCs/>
        </w:rPr>
      </w:pPr>
    </w:p>
    <w:p w14:paraId="440D127C" w14:textId="4CCF4B61" w:rsidR="00384647" w:rsidRDefault="00236E6D" w:rsidP="009019C7">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lastRenderedPageBreak/>
        <w:t>LIST OF FIGURES</w:t>
      </w:r>
    </w:p>
    <w:p w14:paraId="1967A0EB" w14:textId="77777777" w:rsidR="00384647" w:rsidRPr="009D2AA9" w:rsidRDefault="00384647" w:rsidP="00384647">
      <w:pPr>
        <w:spacing w:line="276" w:lineRule="auto"/>
        <w:jc w:val="center"/>
        <w:rPr>
          <w:rFonts w:ascii="Times New Roman" w:hAnsi="Times New Roman" w:cs="Times New Roman"/>
          <w:b/>
        </w:rPr>
      </w:pPr>
    </w:p>
    <w:bookmarkStart w:id="3" w:name="_Toc165394412"/>
    <w:bookmarkStart w:id="4" w:name="_Toc420995890"/>
    <w:bookmarkStart w:id="5" w:name="_Toc422997477"/>
    <w:p w14:paraId="5F5FB85A" w14:textId="186CE6F4" w:rsidR="006B475A" w:rsidRPr="00ED7808" w:rsidRDefault="006B475A" w:rsidP="006B475A">
      <w:pPr>
        <w:pStyle w:val="TOC2"/>
        <w:tabs>
          <w:tab w:val="right" w:leader="dot" w:pos="8630"/>
        </w:tabs>
        <w:rPr>
          <w:rFonts w:ascii="Times New Roman" w:eastAsiaTheme="minorEastAsia" w:hAnsi="Times New Roman" w:cs="Times New Roman"/>
          <w:noProof/>
          <w:kern w:val="2"/>
          <w14:ligatures w14:val="standardContextual"/>
        </w:rPr>
      </w:pPr>
      <w:r w:rsidRPr="00ED7808">
        <w:rPr>
          <w:rStyle w:val="Hyperlink"/>
          <w:rFonts w:ascii="Times New Roman" w:hAnsi="Times New Roman" w:cs="Times New Roman"/>
          <w:noProof/>
        </w:rPr>
        <w:fldChar w:fldCharType="begin"/>
      </w:r>
      <w:r w:rsidRPr="00ED7808">
        <w:rPr>
          <w:rStyle w:val="Hyperlink"/>
          <w:rFonts w:ascii="Times New Roman" w:hAnsi="Times New Roman" w:cs="Times New Roman"/>
          <w:noProof/>
        </w:rPr>
        <w:instrText xml:space="preserve"> </w:instrText>
      </w:r>
      <w:r w:rsidRPr="00ED7808">
        <w:rPr>
          <w:rFonts w:ascii="Times New Roman" w:hAnsi="Times New Roman" w:cs="Times New Roman"/>
          <w:noProof/>
        </w:rPr>
        <w:instrText>HYPERLINK \l "_Toc174454604"</w:instrText>
      </w:r>
      <w:r w:rsidRPr="00ED7808">
        <w:rPr>
          <w:rStyle w:val="Hyperlink"/>
          <w:rFonts w:ascii="Times New Roman" w:hAnsi="Times New Roman" w:cs="Times New Roman"/>
          <w:noProof/>
        </w:rPr>
        <w:instrText xml:space="preserve"> </w:instrText>
      </w:r>
      <w:r w:rsidRPr="00ED7808">
        <w:rPr>
          <w:rStyle w:val="Hyperlink"/>
          <w:rFonts w:ascii="Times New Roman" w:hAnsi="Times New Roman" w:cs="Times New Roman"/>
          <w:noProof/>
        </w:rPr>
        <w:fldChar w:fldCharType="separate"/>
      </w:r>
      <w:r w:rsidRPr="00ED7808">
        <w:rPr>
          <w:rStyle w:val="Hyperlink"/>
          <w:rFonts w:ascii="Times New Roman" w:hAnsi="Times New Roman" w:cs="Times New Roman"/>
          <w:noProof/>
        </w:rPr>
        <w:t>Figure 1. Converting estimates to willingness to pay for home-based charging.</w:t>
      </w:r>
      <w:r w:rsidRPr="00ED7808">
        <w:rPr>
          <w:rFonts w:ascii="Times New Roman" w:hAnsi="Times New Roman" w:cs="Times New Roman"/>
          <w:noProof/>
          <w:webHidden/>
        </w:rPr>
        <w:tab/>
      </w:r>
      <w:r w:rsidRPr="00ED7808">
        <w:rPr>
          <w:rFonts w:ascii="Times New Roman" w:hAnsi="Times New Roman" w:cs="Times New Roman"/>
          <w:noProof/>
          <w:webHidden/>
        </w:rPr>
        <w:fldChar w:fldCharType="begin"/>
      </w:r>
      <w:r w:rsidRPr="00ED7808">
        <w:rPr>
          <w:rFonts w:ascii="Times New Roman" w:hAnsi="Times New Roman" w:cs="Times New Roman"/>
          <w:noProof/>
          <w:webHidden/>
        </w:rPr>
        <w:instrText xml:space="preserve"> PAGEREF _Toc174454604 \h </w:instrText>
      </w:r>
      <w:r w:rsidRPr="00ED7808">
        <w:rPr>
          <w:rFonts w:ascii="Times New Roman" w:hAnsi="Times New Roman" w:cs="Times New Roman"/>
          <w:noProof/>
          <w:webHidden/>
        </w:rPr>
      </w:r>
      <w:r w:rsidRPr="00ED7808">
        <w:rPr>
          <w:rFonts w:ascii="Times New Roman" w:hAnsi="Times New Roman" w:cs="Times New Roman"/>
          <w:noProof/>
          <w:webHidden/>
        </w:rPr>
        <w:fldChar w:fldCharType="separate"/>
      </w:r>
      <w:r w:rsidR="009C244F">
        <w:rPr>
          <w:rFonts w:ascii="Times New Roman" w:hAnsi="Times New Roman" w:cs="Times New Roman"/>
          <w:noProof/>
          <w:webHidden/>
        </w:rPr>
        <w:t>8</w:t>
      </w:r>
      <w:r w:rsidRPr="00ED7808">
        <w:rPr>
          <w:rFonts w:ascii="Times New Roman" w:hAnsi="Times New Roman" w:cs="Times New Roman"/>
          <w:noProof/>
          <w:webHidden/>
        </w:rPr>
        <w:fldChar w:fldCharType="end"/>
      </w:r>
      <w:r w:rsidRPr="00ED7808">
        <w:rPr>
          <w:rStyle w:val="Hyperlink"/>
          <w:rFonts w:ascii="Times New Roman" w:hAnsi="Times New Roman" w:cs="Times New Roman"/>
          <w:noProof/>
        </w:rPr>
        <w:fldChar w:fldCharType="end"/>
      </w:r>
    </w:p>
    <w:p w14:paraId="6F7DC536" w14:textId="7D03D089" w:rsidR="00ED7808" w:rsidRPr="00ED7808" w:rsidRDefault="00722492" w:rsidP="00ED7808">
      <w:pPr>
        <w:pStyle w:val="TOC2"/>
        <w:tabs>
          <w:tab w:val="right" w:leader="dot" w:pos="8630"/>
        </w:tabs>
        <w:rPr>
          <w:rFonts w:ascii="Times New Roman" w:eastAsiaTheme="minorEastAsia" w:hAnsi="Times New Roman" w:cs="Times New Roman"/>
          <w:noProof/>
          <w:kern w:val="2"/>
          <w14:ligatures w14:val="standardContextual"/>
        </w:rPr>
      </w:pPr>
      <w:hyperlink w:anchor="_Toc174454615" w:history="1">
        <w:r w:rsidR="00ED7808" w:rsidRPr="00ED7808">
          <w:rPr>
            <w:rStyle w:val="Hyperlink"/>
            <w:rFonts w:ascii="Times New Roman" w:hAnsi="Times New Roman" w:cs="Times New Roman"/>
            <w:noProof/>
          </w:rPr>
          <w:t>Figure 2. Cumulative Growth of EV Charging Stations</w:t>
        </w:r>
        <w:r w:rsidR="00ED7808" w:rsidRPr="00ED7808">
          <w:rPr>
            <w:rFonts w:ascii="Times New Roman" w:hAnsi="Times New Roman" w:cs="Times New Roman"/>
            <w:noProof/>
            <w:webHidden/>
          </w:rPr>
          <w:tab/>
        </w:r>
        <w:r w:rsidR="00ED7808" w:rsidRPr="00ED7808">
          <w:rPr>
            <w:rFonts w:ascii="Times New Roman" w:hAnsi="Times New Roman" w:cs="Times New Roman"/>
            <w:noProof/>
            <w:webHidden/>
          </w:rPr>
          <w:fldChar w:fldCharType="begin"/>
        </w:r>
        <w:r w:rsidR="00ED7808" w:rsidRPr="00ED7808">
          <w:rPr>
            <w:rFonts w:ascii="Times New Roman" w:hAnsi="Times New Roman" w:cs="Times New Roman"/>
            <w:noProof/>
            <w:webHidden/>
          </w:rPr>
          <w:instrText xml:space="preserve"> PAGEREF _Toc174454615 \h </w:instrText>
        </w:r>
        <w:r w:rsidR="00ED7808" w:rsidRPr="00ED7808">
          <w:rPr>
            <w:rFonts w:ascii="Times New Roman" w:hAnsi="Times New Roman" w:cs="Times New Roman"/>
            <w:noProof/>
            <w:webHidden/>
          </w:rPr>
        </w:r>
        <w:r w:rsidR="00ED7808" w:rsidRPr="00ED7808">
          <w:rPr>
            <w:rFonts w:ascii="Times New Roman" w:hAnsi="Times New Roman" w:cs="Times New Roman"/>
            <w:noProof/>
            <w:webHidden/>
          </w:rPr>
          <w:fldChar w:fldCharType="separate"/>
        </w:r>
        <w:r w:rsidR="009C244F">
          <w:rPr>
            <w:rFonts w:ascii="Times New Roman" w:hAnsi="Times New Roman" w:cs="Times New Roman"/>
            <w:noProof/>
            <w:webHidden/>
          </w:rPr>
          <w:t>21</w:t>
        </w:r>
        <w:r w:rsidR="00ED7808" w:rsidRPr="00ED7808">
          <w:rPr>
            <w:rFonts w:ascii="Times New Roman" w:hAnsi="Times New Roman" w:cs="Times New Roman"/>
            <w:noProof/>
            <w:webHidden/>
          </w:rPr>
          <w:fldChar w:fldCharType="end"/>
        </w:r>
      </w:hyperlink>
    </w:p>
    <w:p w14:paraId="20693000" w14:textId="6808DC1C" w:rsidR="0059466E" w:rsidRDefault="0059466E" w:rsidP="0059466E"/>
    <w:p w14:paraId="3C978143" w14:textId="77777777" w:rsidR="0059466E" w:rsidRDefault="0059466E" w:rsidP="0059466E"/>
    <w:p w14:paraId="6BEFF851" w14:textId="24AA6F9D" w:rsidR="00AA4E8B" w:rsidRDefault="00AA4E8B">
      <w:bookmarkStart w:id="6" w:name="_Toc174455321"/>
    </w:p>
    <w:p w14:paraId="4B046D0A" w14:textId="77777777" w:rsidR="00EA16CC" w:rsidRDefault="00EA16CC"/>
    <w:p w14:paraId="0E559F71" w14:textId="77777777" w:rsidR="00EA16CC" w:rsidRDefault="00EA16CC"/>
    <w:p w14:paraId="2AA963C6" w14:textId="77777777" w:rsidR="00EA16CC" w:rsidRDefault="00EA16CC"/>
    <w:p w14:paraId="2EB9198E" w14:textId="77777777" w:rsidR="00EA16CC" w:rsidRDefault="00EA16CC"/>
    <w:p w14:paraId="05CDFE4A" w14:textId="77777777" w:rsidR="00EA16CC" w:rsidRDefault="00EA16CC"/>
    <w:p w14:paraId="21115EAE" w14:textId="77777777" w:rsidR="00EA16CC" w:rsidRDefault="00EA16CC"/>
    <w:p w14:paraId="288C80DD" w14:textId="77777777" w:rsidR="00EA16CC" w:rsidRDefault="00EA16CC"/>
    <w:p w14:paraId="5D5CC131" w14:textId="77777777" w:rsidR="00EA16CC" w:rsidRDefault="00EA16CC"/>
    <w:p w14:paraId="3D13C192" w14:textId="77777777" w:rsidR="00EA16CC" w:rsidRDefault="00EA16CC"/>
    <w:p w14:paraId="27DA9F3D" w14:textId="77777777" w:rsidR="00EA16CC" w:rsidRDefault="00EA16CC"/>
    <w:p w14:paraId="0701C31C" w14:textId="77777777" w:rsidR="00EA16CC" w:rsidRDefault="00EA16CC"/>
    <w:p w14:paraId="3C668090" w14:textId="77777777" w:rsidR="00EA16CC" w:rsidRDefault="00EA16CC"/>
    <w:p w14:paraId="2CAC56CA" w14:textId="77777777" w:rsidR="00EA16CC" w:rsidRDefault="00EA16CC"/>
    <w:p w14:paraId="5619488E" w14:textId="77777777" w:rsidR="00EA16CC" w:rsidRDefault="00EA16CC"/>
    <w:p w14:paraId="049B5E91" w14:textId="77777777" w:rsidR="00EA16CC" w:rsidRDefault="00EA16CC"/>
    <w:p w14:paraId="0501083A" w14:textId="77777777" w:rsidR="00EA16CC" w:rsidRDefault="00EA16CC"/>
    <w:p w14:paraId="46E6AEFF" w14:textId="77777777" w:rsidR="00EA16CC" w:rsidRDefault="00EA16CC"/>
    <w:p w14:paraId="5EB17032" w14:textId="77777777" w:rsidR="00EA16CC" w:rsidRDefault="00EA16CC"/>
    <w:p w14:paraId="60C9914A" w14:textId="77777777" w:rsidR="00EA16CC" w:rsidRDefault="00EA16CC"/>
    <w:p w14:paraId="020EE2BD" w14:textId="77777777" w:rsidR="00EA16CC" w:rsidRDefault="00EA16CC"/>
    <w:p w14:paraId="495DE544" w14:textId="77777777" w:rsidR="00EA16CC" w:rsidRDefault="00EA16CC"/>
    <w:p w14:paraId="27C89E05" w14:textId="77777777" w:rsidR="00EA16CC" w:rsidRDefault="00EA16CC"/>
    <w:p w14:paraId="2D95119D" w14:textId="77777777" w:rsidR="00EA16CC" w:rsidRDefault="00EA16CC"/>
    <w:p w14:paraId="5FA4F0F1" w14:textId="77777777" w:rsidR="00EA16CC" w:rsidRDefault="00EA16CC"/>
    <w:p w14:paraId="2DCFDE0C" w14:textId="77777777" w:rsidR="00EA16CC" w:rsidRDefault="00EA16CC"/>
    <w:p w14:paraId="286BE8A6" w14:textId="77777777" w:rsidR="00EA16CC" w:rsidRDefault="00EA16CC"/>
    <w:p w14:paraId="0BDDAB3C" w14:textId="77777777" w:rsidR="00EA16CC" w:rsidRDefault="00EA16CC"/>
    <w:p w14:paraId="3923EC9C" w14:textId="77777777" w:rsidR="00EA16CC" w:rsidRDefault="00EA16CC"/>
    <w:p w14:paraId="4C30C9F6" w14:textId="77777777" w:rsidR="00EA16CC" w:rsidRDefault="00EA16CC"/>
    <w:p w14:paraId="2DE98D6F" w14:textId="77777777" w:rsidR="00EA16CC" w:rsidRDefault="00EA16CC"/>
    <w:p w14:paraId="7CDE7526" w14:textId="77777777" w:rsidR="00EA16CC" w:rsidRDefault="00EA16CC"/>
    <w:p w14:paraId="487FAEC9" w14:textId="77777777" w:rsidR="00EA16CC" w:rsidRDefault="00EA16CC"/>
    <w:p w14:paraId="5BC585CD" w14:textId="77777777" w:rsidR="00EA16CC" w:rsidRDefault="00EA16CC"/>
    <w:p w14:paraId="0EB3FC2B" w14:textId="77777777" w:rsidR="00EA16CC" w:rsidRDefault="00EA16CC"/>
    <w:p w14:paraId="7CB83E69" w14:textId="77777777" w:rsidR="004D0842" w:rsidRDefault="004D0842">
      <w:pPr>
        <w:sectPr w:rsidR="004D0842" w:rsidSect="008607A7">
          <w:footerReference w:type="default" r:id="rId11"/>
          <w:pgSz w:w="12240" w:h="15840" w:code="1"/>
          <w:pgMar w:top="1440" w:right="1800" w:bottom="1872" w:left="1800" w:header="720" w:footer="1440" w:gutter="0"/>
          <w:pgNumType w:fmt="lowerRoman"/>
          <w:cols w:space="720"/>
          <w:noEndnote/>
          <w:docGrid w:linePitch="360"/>
        </w:sectPr>
      </w:pPr>
    </w:p>
    <w:p w14:paraId="1D34C368" w14:textId="5A077A69" w:rsidR="004F08CE" w:rsidRPr="00210BC5" w:rsidRDefault="005B64F7" w:rsidP="00191AE2">
      <w:pPr>
        <w:pStyle w:val="Heading1"/>
      </w:pPr>
      <w:r w:rsidRPr="00210BC5">
        <w:lastRenderedPageBreak/>
        <w:t xml:space="preserve">Chapter </w:t>
      </w:r>
      <w:bookmarkStart w:id="7" w:name="_Toc427156460"/>
      <w:bookmarkEnd w:id="3"/>
      <w:bookmarkEnd w:id="4"/>
      <w:bookmarkEnd w:id="5"/>
      <w:bookmarkEnd w:id="7"/>
      <w:r w:rsidR="00ED7808">
        <w:t>one</w:t>
      </w:r>
      <w:bookmarkEnd w:id="6"/>
    </w:p>
    <w:p w14:paraId="7E6E4004" w14:textId="574611CB" w:rsidR="00C8068C" w:rsidRPr="00210BC5" w:rsidRDefault="009019C7" w:rsidP="0059466E">
      <w:pPr>
        <w:pStyle w:val="Heading1"/>
      </w:pPr>
      <w:bookmarkStart w:id="8" w:name="_Toc174455322"/>
      <w:r w:rsidRPr="00210BC5">
        <w:t>Introduction</w:t>
      </w:r>
      <w:bookmarkEnd w:id="8"/>
    </w:p>
    <w:p w14:paraId="0EB85956" w14:textId="5B2F0761" w:rsidR="004005A2" w:rsidRPr="008712FB" w:rsidRDefault="004005A2" w:rsidP="00100D2A">
      <w:pPr>
        <w:pStyle w:val="Heading2"/>
        <w:jc w:val="left"/>
      </w:pPr>
      <w:bookmarkStart w:id="9" w:name="_Toc165394416"/>
      <w:bookmarkStart w:id="10" w:name="_Toc174455323"/>
      <w:r w:rsidRPr="008712FB">
        <w:t xml:space="preserve">Challenges </w:t>
      </w:r>
      <w:r w:rsidR="00FB0FAC">
        <w:t>t</w:t>
      </w:r>
      <w:r w:rsidRPr="008712FB">
        <w:t xml:space="preserve">o Electric Vehicle </w:t>
      </w:r>
      <w:bookmarkEnd w:id="9"/>
      <w:r w:rsidR="002E7674">
        <w:t>Adoption</w:t>
      </w:r>
      <w:bookmarkEnd w:id="10"/>
    </w:p>
    <w:p w14:paraId="36295DB2" w14:textId="2D9F078A" w:rsidR="00100D2A" w:rsidRDefault="004005A2" w:rsidP="00100D2A">
      <w:pPr>
        <w:spacing w:line="480" w:lineRule="auto"/>
        <w:ind w:firstLine="720"/>
        <w:rPr>
          <w:rFonts w:ascii="Times New Roman" w:hAnsi="Times New Roman" w:cs="Times New Roman"/>
        </w:rPr>
      </w:pPr>
      <w:r>
        <w:rPr>
          <w:rFonts w:ascii="Times New Roman" w:hAnsi="Times New Roman" w:cs="Times New Roman"/>
        </w:rPr>
        <w:t>Prior research establishes well</w:t>
      </w:r>
      <w:r w:rsidR="004C2518">
        <w:rPr>
          <w:rFonts w:ascii="Times New Roman" w:hAnsi="Times New Roman" w:cs="Times New Roman"/>
        </w:rPr>
        <w:t>-</w:t>
      </w:r>
      <w:r>
        <w:rPr>
          <w:rFonts w:ascii="Times New Roman" w:hAnsi="Times New Roman" w:cs="Times New Roman"/>
        </w:rPr>
        <w:t xml:space="preserve">known obstacles to EV adoption in the United States and </w:t>
      </w:r>
      <w:r w:rsidR="007C36B0">
        <w:rPr>
          <w:rFonts w:ascii="Times New Roman" w:hAnsi="Times New Roman" w:cs="Times New Roman"/>
        </w:rPr>
        <w:t>around the world</w:t>
      </w:r>
      <w:r>
        <w:rPr>
          <w:rFonts w:ascii="Times New Roman" w:hAnsi="Times New Roman" w:cs="Times New Roman"/>
        </w:rPr>
        <w:t>.</w:t>
      </w:r>
      <w:r w:rsidR="001C263C">
        <w:rPr>
          <w:rFonts w:ascii="Times New Roman" w:hAnsi="Times New Roman" w:cs="Times New Roman"/>
        </w:rPr>
        <w:t xml:space="preserve"> EVs </w:t>
      </w:r>
      <w:r w:rsidR="007C36B0">
        <w:rPr>
          <w:rFonts w:ascii="Times New Roman" w:hAnsi="Times New Roman" w:cs="Times New Roman"/>
        </w:rPr>
        <w:t xml:space="preserve">tend to have </w:t>
      </w:r>
      <w:r w:rsidR="001C263C">
        <w:rPr>
          <w:rFonts w:ascii="Times New Roman" w:hAnsi="Times New Roman" w:cs="Times New Roman"/>
        </w:rPr>
        <w:t xml:space="preserve">a higher upfront cost compared to internal combustion engine vehicles (ICEVs). </w:t>
      </w:r>
      <w:r w:rsidR="001642C8">
        <w:rPr>
          <w:rFonts w:ascii="Times New Roman" w:hAnsi="Times New Roman" w:cs="Times New Roman"/>
        </w:rPr>
        <w:t>While EVs</w:t>
      </w:r>
      <w:r w:rsidR="00067017">
        <w:rPr>
          <w:rFonts w:ascii="Times New Roman" w:hAnsi="Times New Roman" w:cs="Times New Roman"/>
        </w:rPr>
        <w:t xml:space="preserve"> may</w:t>
      </w:r>
      <w:r w:rsidR="001642C8">
        <w:rPr>
          <w:rFonts w:ascii="Times New Roman" w:hAnsi="Times New Roman" w:cs="Times New Roman"/>
        </w:rPr>
        <w:t xml:space="preserve"> provide lower operating costs throughout the life of </w:t>
      </w:r>
      <w:r w:rsidR="00067017">
        <w:rPr>
          <w:rFonts w:ascii="Times New Roman" w:hAnsi="Times New Roman" w:cs="Times New Roman"/>
        </w:rPr>
        <w:t>a</w:t>
      </w:r>
      <w:r w:rsidR="001642C8">
        <w:rPr>
          <w:rFonts w:ascii="Times New Roman" w:hAnsi="Times New Roman" w:cs="Times New Roman"/>
        </w:rPr>
        <w:t xml:space="preserve"> vehicle, the higher upfront price</w:t>
      </w:r>
      <w:r w:rsidR="00BA4798">
        <w:rPr>
          <w:rFonts w:ascii="Times New Roman" w:hAnsi="Times New Roman" w:cs="Times New Roman"/>
        </w:rPr>
        <w:t xml:space="preserve"> </w:t>
      </w:r>
      <w:r w:rsidR="001642C8">
        <w:rPr>
          <w:rFonts w:ascii="Times New Roman" w:hAnsi="Times New Roman" w:cs="Times New Roman"/>
        </w:rPr>
        <w:t xml:space="preserve">is a </w:t>
      </w:r>
      <w:r w:rsidR="00BA4798">
        <w:rPr>
          <w:rFonts w:ascii="Times New Roman" w:hAnsi="Times New Roman" w:cs="Times New Roman"/>
        </w:rPr>
        <w:t xml:space="preserve">significant </w:t>
      </w:r>
      <w:r w:rsidR="005C10E8">
        <w:rPr>
          <w:rFonts w:ascii="Times New Roman" w:hAnsi="Times New Roman" w:cs="Times New Roman"/>
        </w:rPr>
        <w:t xml:space="preserve">adoption barrier </w:t>
      </w:r>
      <w:r w:rsidR="001642C8">
        <w:rPr>
          <w:rFonts w:ascii="Times New Roman" w:hAnsi="Times New Roman" w:cs="Times New Roman"/>
        </w:rPr>
        <w:t xml:space="preserve">for consumers, particularly </w:t>
      </w:r>
      <w:r w:rsidR="00BA4798">
        <w:rPr>
          <w:rFonts w:ascii="Times New Roman" w:hAnsi="Times New Roman" w:cs="Times New Roman"/>
        </w:rPr>
        <w:t>for</w:t>
      </w:r>
      <w:r w:rsidR="001642C8">
        <w:rPr>
          <w:rFonts w:ascii="Times New Roman" w:hAnsi="Times New Roman" w:cs="Times New Roman"/>
        </w:rPr>
        <w:t xml:space="preserve"> low</w:t>
      </w:r>
      <w:r w:rsidR="00BA4798">
        <w:rPr>
          <w:rFonts w:ascii="Times New Roman" w:hAnsi="Times New Roman" w:cs="Times New Roman"/>
        </w:rPr>
        <w:t>-</w:t>
      </w:r>
      <w:r w:rsidR="001642C8">
        <w:rPr>
          <w:rFonts w:ascii="Times New Roman" w:hAnsi="Times New Roman" w:cs="Times New Roman"/>
        </w:rPr>
        <w:t>income households (</w:t>
      </w:r>
      <w:proofErr w:type="spellStart"/>
      <w:r w:rsidR="00127B29">
        <w:rPr>
          <w:rFonts w:ascii="Times New Roman" w:hAnsi="Times New Roman" w:cs="Times New Roman"/>
        </w:rPr>
        <w:t>LaMonca</w:t>
      </w:r>
      <w:proofErr w:type="spellEnd"/>
      <w:r w:rsidR="00127B29">
        <w:rPr>
          <w:rFonts w:ascii="Times New Roman" w:hAnsi="Times New Roman" w:cs="Times New Roman"/>
        </w:rPr>
        <w:t xml:space="preserve"> et al., 2022, Bauer et al. 2021</w:t>
      </w:r>
      <w:r w:rsidR="001642C8">
        <w:rPr>
          <w:rFonts w:ascii="Times New Roman" w:hAnsi="Times New Roman" w:cs="Times New Roman"/>
        </w:rPr>
        <w:t>)</w:t>
      </w:r>
      <w:r w:rsidR="00122504" w:rsidRPr="00122504">
        <w:rPr>
          <w:rFonts w:ascii="Times New Roman" w:hAnsi="Times New Roman" w:cs="Times New Roman"/>
        </w:rPr>
        <w:t xml:space="preserve">. This price disparity can make EVs </w:t>
      </w:r>
      <w:r w:rsidR="00BA4798">
        <w:rPr>
          <w:rFonts w:ascii="Times New Roman" w:hAnsi="Times New Roman" w:cs="Times New Roman"/>
        </w:rPr>
        <w:t>unaffordable</w:t>
      </w:r>
      <w:r w:rsidR="00BA4798" w:rsidRPr="00122504">
        <w:rPr>
          <w:rFonts w:ascii="Times New Roman" w:hAnsi="Times New Roman" w:cs="Times New Roman"/>
        </w:rPr>
        <w:t xml:space="preserve"> </w:t>
      </w:r>
      <w:r w:rsidR="00122504" w:rsidRPr="00122504">
        <w:rPr>
          <w:rFonts w:ascii="Times New Roman" w:hAnsi="Times New Roman" w:cs="Times New Roman"/>
        </w:rPr>
        <w:t xml:space="preserve">for many consumers, thereby limiting </w:t>
      </w:r>
      <w:r w:rsidR="00122504">
        <w:rPr>
          <w:rFonts w:ascii="Times New Roman" w:hAnsi="Times New Roman" w:cs="Times New Roman"/>
        </w:rPr>
        <w:t>EV</w:t>
      </w:r>
      <w:r w:rsidR="00122504" w:rsidRPr="00122504">
        <w:rPr>
          <w:rFonts w:ascii="Times New Roman" w:hAnsi="Times New Roman" w:cs="Times New Roman"/>
        </w:rPr>
        <w:t xml:space="preserve"> </w:t>
      </w:r>
      <w:r w:rsidR="00BA4798">
        <w:rPr>
          <w:rFonts w:ascii="Times New Roman" w:hAnsi="Times New Roman" w:cs="Times New Roman"/>
        </w:rPr>
        <w:t>ownership</w:t>
      </w:r>
      <w:r w:rsidR="00122504" w:rsidRPr="00122504">
        <w:rPr>
          <w:rFonts w:ascii="Times New Roman" w:hAnsi="Times New Roman" w:cs="Times New Roman"/>
        </w:rPr>
        <w:t>.</w:t>
      </w:r>
      <w:r w:rsidR="00122504">
        <w:rPr>
          <w:rFonts w:ascii="Times New Roman" w:hAnsi="Times New Roman" w:cs="Times New Roman"/>
        </w:rPr>
        <w:t xml:space="preserve"> </w:t>
      </w:r>
      <w:r w:rsidR="00100D2A">
        <w:rPr>
          <w:rFonts w:ascii="Times New Roman" w:hAnsi="Times New Roman" w:cs="Times New Roman"/>
        </w:rPr>
        <w:t xml:space="preserve">Further, fuel and maintenance savings from EVs are not </w:t>
      </w:r>
      <w:r w:rsidR="00BA4798">
        <w:rPr>
          <w:rFonts w:ascii="Times New Roman" w:hAnsi="Times New Roman" w:cs="Times New Roman"/>
        </w:rPr>
        <w:t xml:space="preserve">fully </w:t>
      </w:r>
      <w:r w:rsidR="00100D2A">
        <w:rPr>
          <w:rFonts w:ascii="Times New Roman" w:hAnsi="Times New Roman" w:cs="Times New Roman"/>
        </w:rPr>
        <w:t xml:space="preserve">understood by many US consumers. </w:t>
      </w:r>
      <w:r w:rsidR="00100D2A" w:rsidRPr="00100D2A">
        <w:rPr>
          <w:rFonts w:ascii="Times New Roman" w:hAnsi="Times New Roman" w:cs="Times New Roman"/>
        </w:rPr>
        <w:t>Gillingham</w:t>
      </w:r>
      <w:r w:rsidR="00100D2A">
        <w:rPr>
          <w:rFonts w:ascii="Times New Roman" w:hAnsi="Times New Roman" w:cs="Times New Roman"/>
        </w:rPr>
        <w:t xml:space="preserve"> et al. (2021) provide evidence </w:t>
      </w:r>
      <w:r w:rsidR="00100D2A" w:rsidRPr="00100D2A">
        <w:rPr>
          <w:rFonts w:ascii="Times New Roman" w:hAnsi="Times New Roman" w:cs="Times New Roman"/>
        </w:rPr>
        <w:t xml:space="preserve">of consumer </w:t>
      </w:r>
      <w:r w:rsidR="00BA4798">
        <w:rPr>
          <w:rFonts w:ascii="Times New Roman" w:hAnsi="Times New Roman" w:cs="Times New Roman"/>
        </w:rPr>
        <w:t>undervaluation of vehicle lifetime fuel costs</w:t>
      </w:r>
      <w:r w:rsidR="00100D2A">
        <w:rPr>
          <w:rFonts w:ascii="Times New Roman" w:hAnsi="Times New Roman" w:cs="Times New Roman"/>
        </w:rPr>
        <w:t xml:space="preserve">. Their experiment finds that consumers are indifferent between $1.00 in discounted fuel costs and $0.16-.0.39 in purchase price, </w:t>
      </w:r>
      <w:r w:rsidR="00BA4798">
        <w:rPr>
          <w:rFonts w:ascii="Times New Roman" w:hAnsi="Times New Roman" w:cs="Times New Roman"/>
        </w:rPr>
        <w:t xml:space="preserve">showing </w:t>
      </w:r>
      <w:r w:rsidR="00100D2A">
        <w:rPr>
          <w:rFonts w:ascii="Times New Roman" w:hAnsi="Times New Roman" w:cs="Times New Roman"/>
        </w:rPr>
        <w:t xml:space="preserve">that </w:t>
      </w:r>
      <w:r w:rsidR="00100D2A" w:rsidRPr="00100D2A">
        <w:rPr>
          <w:rFonts w:ascii="Times New Roman" w:hAnsi="Times New Roman" w:cs="Times New Roman"/>
        </w:rPr>
        <w:t xml:space="preserve">a </w:t>
      </w:r>
      <w:r w:rsidR="00100D2A">
        <w:rPr>
          <w:rFonts w:ascii="Times New Roman" w:hAnsi="Times New Roman" w:cs="Times New Roman"/>
        </w:rPr>
        <w:t xml:space="preserve">much </w:t>
      </w:r>
      <w:r w:rsidR="00100D2A" w:rsidRPr="00100D2A">
        <w:rPr>
          <w:rFonts w:ascii="Times New Roman" w:hAnsi="Times New Roman" w:cs="Times New Roman"/>
        </w:rPr>
        <w:t xml:space="preserve">higher value </w:t>
      </w:r>
      <w:r w:rsidR="00100D2A">
        <w:rPr>
          <w:rFonts w:ascii="Times New Roman" w:hAnsi="Times New Roman" w:cs="Times New Roman"/>
        </w:rPr>
        <w:t xml:space="preserve">is placed on </w:t>
      </w:r>
      <w:r w:rsidR="00100D2A" w:rsidRPr="00100D2A">
        <w:rPr>
          <w:rFonts w:ascii="Times New Roman" w:hAnsi="Times New Roman" w:cs="Times New Roman"/>
        </w:rPr>
        <w:t>upfront costs</w:t>
      </w:r>
      <w:r w:rsidR="00100D2A">
        <w:rPr>
          <w:rFonts w:ascii="Times New Roman" w:hAnsi="Times New Roman" w:cs="Times New Roman"/>
        </w:rPr>
        <w:t>. Leard et al. (2023) provide evidence of the undervaluation of fuel cost savings and a high valuation of performance by US car consumers. These</w:t>
      </w:r>
      <w:r w:rsidR="00100D2A" w:rsidRPr="00100D2A">
        <w:rPr>
          <w:rFonts w:ascii="Times New Roman" w:hAnsi="Times New Roman" w:cs="Times New Roman"/>
        </w:rPr>
        <w:t xml:space="preserve"> studies</w:t>
      </w:r>
      <w:r w:rsidR="00100D2A">
        <w:rPr>
          <w:rFonts w:ascii="Times New Roman" w:hAnsi="Times New Roman" w:cs="Times New Roman"/>
        </w:rPr>
        <w:t xml:space="preserve"> </w:t>
      </w:r>
      <w:r w:rsidR="00952451">
        <w:rPr>
          <w:rFonts w:ascii="Times New Roman" w:hAnsi="Times New Roman" w:cs="Times New Roman"/>
        </w:rPr>
        <w:t xml:space="preserve">both </w:t>
      </w:r>
      <w:r w:rsidR="00100D2A">
        <w:rPr>
          <w:rFonts w:ascii="Times New Roman" w:hAnsi="Times New Roman" w:cs="Times New Roman"/>
        </w:rPr>
        <w:t xml:space="preserve">provide evidence </w:t>
      </w:r>
      <w:r w:rsidR="00100D2A" w:rsidRPr="00100D2A">
        <w:rPr>
          <w:rFonts w:ascii="Times New Roman" w:hAnsi="Times New Roman" w:cs="Times New Roman"/>
        </w:rPr>
        <w:t xml:space="preserve">that consumers </w:t>
      </w:r>
      <w:r w:rsidR="00100D2A">
        <w:rPr>
          <w:rFonts w:ascii="Times New Roman" w:hAnsi="Times New Roman" w:cs="Times New Roman"/>
        </w:rPr>
        <w:t>undervalue</w:t>
      </w:r>
      <w:r w:rsidR="00100D2A" w:rsidRPr="00100D2A">
        <w:rPr>
          <w:rFonts w:ascii="Times New Roman" w:hAnsi="Times New Roman" w:cs="Times New Roman"/>
        </w:rPr>
        <w:t xml:space="preserve"> the potential long-term savings</w:t>
      </w:r>
      <w:r w:rsidR="00100D2A">
        <w:rPr>
          <w:rFonts w:ascii="Times New Roman" w:hAnsi="Times New Roman" w:cs="Times New Roman"/>
        </w:rPr>
        <w:t xml:space="preserve"> of EVs over ICEVs</w:t>
      </w:r>
      <w:r w:rsidR="00952451">
        <w:rPr>
          <w:rFonts w:ascii="Times New Roman" w:hAnsi="Times New Roman" w:cs="Times New Roman"/>
        </w:rPr>
        <w:t>.</w:t>
      </w:r>
      <w:r w:rsidR="00100D2A" w:rsidRPr="00100D2A">
        <w:rPr>
          <w:rFonts w:ascii="Times New Roman" w:hAnsi="Times New Roman" w:cs="Times New Roman"/>
        </w:rPr>
        <w:t xml:space="preserve"> </w:t>
      </w:r>
      <w:r w:rsidR="00952451">
        <w:rPr>
          <w:rFonts w:ascii="Times New Roman" w:hAnsi="Times New Roman" w:cs="Times New Roman"/>
        </w:rPr>
        <w:t>P</w:t>
      </w:r>
      <w:r w:rsidR="00100D2A" w:rsidRPr="00100D2A">
        <w:rPr>
          <w:rFonts w:ascii="Times New Roman" w:hAnsi="Times New Roman" w:cs="Times New Roman"/>
        </w:rPr>
        <w:t xml:space="preserve">olicies aimed at promoting EV adoption </w:t>
      </w:r>
      <w:r w:rsidR="00100D2A">
        <w:rPr>
          <w:rFonts w:ascii="Times New Roman" w:hAnsi="Times New Roman" w:cs="Times New Roman"/>
        </w:rPr>
        <w:t>will</w:t>
      </w:r>
      <w:r w:rsidR="00100D2A" w:rsidRPr="00100D2A">
        <w:rPr>
          <w:rFonts w:ascii="Times New Roman" w:hAnsi="Times New Roman" w:cs="Times New Roman"/>
        </w:rPr>
        <w:t xml:space="preserve"> need to address </w:t>
      </w:r>
      <w:r w:rsidR="00BA4798">
        <w:rPr>
          <w:rFonts w:ascii="Times New Roman" w:hAnsi="Times New Roman" w:cs="Times New Roman"/>
        </w:rPr>
        <w:t>consumer undervaluation of fuel costs</w:t>
      </w:r>
      <w:r w:rsidR="00100D2A">
        <w:rPr>
          <w:rFonts w:ascii="Times New Roman" w:hAnsi="Times New Roman" w:cs="Times New Roman"/>
        </w:rPr>
        <w:t xml:space="preserve">. </w:t>
      </w:r>
    </w:p>
    <w:p w14:paraId="342F1B8B" w14:textId="1B8AFEBA" w:rsidR="00100D2A" w:rsidRDefault="00952451" w:rsidP="00100D2A">
      <w:pPr>
        <w:spacing w:line="480" w:lineRule="auto"/>
        <w:ind w:firstLine="720"/>
        <w:rPr>
          <w:rFonts w:ascii="Times New Roman" w:hAnsi="Times New Roman" w:cs="Times New Roman"/>
        </w:rPr>
      </w:pPr>
      <w:r>
        <w:rPr>
          <w:rFonts w:ascii="Times New Roman" w:hAnsi="Times New Roman" w:cs="Times New Roman"/>
        </w:rPr>
        <w:t>C</w:t>
      </w:r>
      <w:r w:rsidR="00100D2A" w:rsidRPr="00FA61F2">
        <w:rPr>
          <w:rFonts w:ascii="Times New Roman" w:hAnsi="Times New Roman" w:cs="Times New Roman"/>
        </w:rPr>
        <w:t>onsumers</w:t>
      </w:r>
      <w:r w:rsidR="00122504">
        <w:rPr>
          <w:rFonts w:ascii="Times New Roman" w:hAnsi="Times New Roman" w:cs="Times New Roman"/>
        </w:rPr>
        <w:t xml:space="preserve"> </w:t>
      </w:r>
      <w:r w:rsidR="00FA61F2" w:rsidRPr="00FA61F2">
        <w:rPr>
          <w:rFonts w:ascii="Times New Roman" w:hAnsi="Times New Roman" w:cs="Times New Roman"/>
        </w:rPr>
        <w:t xml:space="preserve">face “range anxiety” </w:t>
      </w:r>
      <w:r w:rsidR="001642C8">
        <w:rPr>
          <w:rFonts w:ascii="Times New Roman" w:hAnsi="Times New Roman" w:cs="Times New Roman"/>
        </w:rPr>
        <w:t>in</w:t>
      </w:r>
      <w:r w:rsidR="00FA61F2" w:rsidRPr="00FA61F2">
        <w:rPr>
          <w:rFonts w:ascii="Times New Roman" w:hAnsi="Times New Roman" w:cs="Times New Roman"/>
        </w:rPr>
        <w:t xml:space="preserve"> reference to</w:t>
      </w:r>
      <w:r w:rsidR="000751DC">
        <w:rPr>
          <w:rFonts w:ascii="Times New Roman" w:hAnsi="Times New Roman" w:cs="Times New Roman"/>
        </w:rPr>
        <w:t xml:space="preserve"> </w:t>
      </w:r>
      <w:r w:rsidR="00F459F7">
        <w:rPr>
          <w:rFonts w:ascii="Times New Roman" w:hAnsi="Times New Roman" w:cs="Times New Roman"/>
        </w:rPr>
        <w:t xml:space="preserve">the </w:t>
      </w:r>
      <w:r w:rsidR="00FA61F2" w:rsidRPr="00FA61F2">
        <w:rPr>
          <w:rFonts w:ascii="Times New Roman" w:hAnsi="Times New Roman" w:cs="Times New Roman"/>
        </w:rPr>
        <w:t xml:space="preserve">mileage which an EV can travel </w:t>
      </w:r>
      <w:r w:rsidR="00F459F7">
        <w:rPr>
          <w:rFonts w:ascii="Times New Roman" w:hAnsi="Times New Roman" w:cs="Times New Roman"/>
        </w:rPr>
        <w:t>using</w:t>
      </w:r>
      <w:r w:rsidR="00FA61F2" w:rsidRPr="00FA61F2">
        <w:rPr>
          <w:rFonts w:ascii="Times New Roman" w:hAnsi="Times New Roman" w:cs="Times New Roman"/>
        </w:rPr>
        <w:t xml:space="preserve"> one full battery</w:t>
      </w:r>
      <w:r w:rsidR="007C36B0">
        <w:rPr>
          <w:rFonts w:ascii="Times New Roman" w:hAnsi="Times New Roman" w:cs="Times New Roman"/>
        </w:rPr>
        <w:t xml:space="preserve"> charge</w:t>
      </w:r>
      <w:r w:rsidR="00FA61F2" w:rsidRPr="00FA61F2">
        <w:rPr>
          <w:rFonts w:ascii="Times New Roman" w:hAnsi="Times New Roman" w:cs="Times New Roman"/>
        </w:rPr>
        <w:t>.</w:t>
      </w:r>
      <w:r>
        <w:rPr>
          <w:rFonts w:ascii="Times New Roman" w:hAnsi="Times New Roman" w:cs="Times New Roman"/>
        </w:rPr>
        <w:t xml:space="preserve"> </w:t>
      </w:r>
      <w:r w:rsidR="00FA61F2">
        <w:rPr>
          <w:rFonts w:ascii="Times New Roman" w:hAnsi="Times New Roman" w:cs="Times New Roman"/>
        </w:rPr>
        <w:t xml:space="preserve">Range anxiety is </w:t>
      </w:r>
      <w:r w:rsidR="000751DC">
        <w:rPr>
          <w:rFonts w:ascii="Times New Roman" w:hAnsi="Times New Roman" w:cs="Times New Roman"/>
        </w:rPr>
        <w:t xml:space="preserve">amplified </w:t>
      </w:r>
      <w:r w:rsidR="00FA61F2">
        <w:rPr>
          <w:rFonts w:ascii="Times New Roman" w:hAnsi="Times New Roman" w:cs="Times New Roman"/>
        </w:rPr>
        <w:t xml:space="preserve">by </w:t>
      </w:r>
      <w:r w:rsidR="00100D2A">
        <w:rPr>
          <w:rFonts w:ascii="Times New Roman" w:hAnsi="Times New Roman" w:cs="Times New Roman"/>
        </w:rPr>
        <w:t xml:space="preserve">both </w:t>
      </w:r>
      <w:r w:rsidR="001642C8">
        <w:rPr>
          <w:rFonts w:ascii="Times New Roman" w:hAnsi="Times New Roman" w:cs="Times New Roman"/>
        </w:rPr>
        <w:t xml:space="preserve">the </w:t>
      </w:r>
      <w:r w:rsidR="00FA61F2">
        <w:rPr>
          <w:rFonts w:ascii="Times New Roman" w:hAnsi="Times New Roman" w:cs="Times New Roman"/>
        </w:rPr>
        <w:t xml:space="preserve">limited </w:t>
      </w:r>
      <w:r>
        <w:rPr>
          <w:rFonts w:ascii="Times New Roman" w:hAnsi="Times New Roman" w:cs="Times New Roman"/>
        </w:rPr>
        <w:t xml:space="preserve">quantity of </w:t>
      </w:r>
      <w:r w:rsidR="001642C8">
        <w:rPr>
          <w:rFonts w:ascii="Times New Roman" w:hAnsi="Times New Roman" w:cs="Times New Roman"/>
        </w:rPr>
        <w:t xml:space="preserve">public </w:t>
      </w:r>
      <w:r w:rsidR="00FA61F2">
        <w:rPr>
          <w:rFonts w:ascii="Times New Roman" w:hAnsi="Times New Roman" w:cs="Times New Roman"/>
        </w:rPr>
        <w:t>charging infrastructure</w:t>
      </w:r>
      <w:r w:rsidR="001642C8">
        <w:rPr>
          <w:rFonts w:ascii="Times New Roman" w:hAnsi="Times New Roman" w:cs="Times New Roman"/>
        </w:rPr>
        <w:t xml:space="preserve"> i</w:t>
      </w:r>
      <w:r w:rsidR="00FA61F2">
        <w:rPr>
          <w:rFonts w:ascii="Times New Roman" w:hAnsi="Times New Roman" w:cs="Times New Roman"/>
        </w:rPr>
        <w:t>n the US</w:t>
      </w:r>
      <w:r w:rsidR="00100D2A">
        <w:rPr>
          <w:rFonts w:ascii="Times New Roman" w:hAnsi="Times New Roman" w:cs="Times New Roman"/>
        </w:rPr>
        <w:t xml:space="preserve"> and the </w:t>
      </w:r>
      <w:r w:rsidR="007C36B0">
        <w:rPr>
          <w:rFonts w:ascii="Times New Roman" w:hAnsi="Times New Roman" w:cs="Times New Roman"/>
        </w:rPr>
        <w:t xml:space="preserve">charging </w:t>
      </w:r>
      <w:r w:rsidR="00100D2A">
        <w:rPr>
          <w:rFonts w:ascii="Times New Roman" w:hAnsi="Times New Roman" w:cs="Times New Roman"/>
        </w:rPr>
        <w:t xml:space="preserve">speeds of the </w:t>
      </w:r>
      <w:r w:rsidR="00100D2A">
        <w:rPr>
          <w:rFonts w:ascii="Times New Roman" w:hAnsi="Times New Roman" w:cs="Times New Roman"/>
        </w:rPr>
        <w:lastRenderedPageBreak/>
        <w:t>charg</w:t>
      </w:r>
      <w:r>
        <w:rPr>
          <w:rFonts w:ascii="Times New Roman" w:hAnsi="Times New Roman" w:cs="Times New Roman"/>
        </w:rPr>
        <w:t>ers</w:t>
      </w:r>
      <w:r w:rsidR="00100D2A">
        <w:rPr>
          <w:rFonts w:ascii="Times New Roman" w:hAnsi="Times New Roman" w:cs="Times New Roman"/>
        </w:rPr>
        <w:t xml:space="preserve"> available. A</w:t>
      </w:r>
      <w:r w:rsidR="00100D2A" w:rsidRPr="00100D2A">
        <w:rPr>
          <w:rFonts w:ascii="Times New Roman" w:hAnsi="Times New Roman" w:cs="Times New Roman"/>
        </w:rPr>
        <w:t xml:space="preserve">lthough more expensive to install and operate, </w:t>
      </w:r>
      <w:r w:rsidR="00C65A02">
        <w:rPr>
          <w:rFonts w:ascii="Times New Roman" w:hAnsi="Times New Roman" w:cs="Times New Roman"/>
        </w:rPr>
        <w:t>Level</w:t>
      </w:r>
      <w:r w:rsidR="00100D2A">
        <w:rPr>
          <w:rFonts w:ascii="Times New Roman" w:hAnsi="Times New Roman" w:cs="Times New Roman"/>
        </w:rPr>
        <w:t xml:space="preserve"> III or fast-charging stations </w:t>
      </w:r>
      <w:r w:rsidR="00100D2A" w:rsidRPr="00100D2A">
        <w:rPr>
          <w:rFonts w:ascii="Times New Roman" w:hAnsi="Times New Roman" w:cs="Times New Roman"/>
        </w:rPr>
        <w:t xml:space="preserve">can provide a full charge in significantly less time compared to </w:t>
      </w:r>
      <w:r w:rsidR="00100D2A">
        <w:rPr>
          <w:rFonts w:ascii="Times New Roman" w:hAnsi="Times New Roman" w:cs="Times New Roman"/>
        </w:rPr>
        <w:t xml:space="preserve">standard </w:t>
      </w:r>
      <w:r w:rsidR="00C65A02">
        <w:rPr>
          <w:rFonts w:ascii="Times New Roman" w:hAnsi="Times New Roman" w:cs="Times New Roman"/>
        </w:rPr>
        <w:t>Level</w:t>
      </w:r>
      <w:r w:rsidR="00100D2A">
        <w:rPr>
          <w:rFonts w:ascii="Times New Roman" w:hAnsi="Times New Roman" w:cs="Times New Roman"/>
        </w:rPr>
        <w:t xml:space="preserve"> I and II charging stations.</w:t>
      </w:r>
      <w:r>
        <w:rPr>
          <w:rFonts w:ascii="Times New Roman" w:hAnsi="Times New Roman" w:cs="Times New Roman"/>
        </w:rPr>
        <w:t xml:space="preserve"> </w:t>
      </w:r>
      <w:r w:rsidR="00C65A02">
        <w:rPr>
          <w:rFonts w:ascii="Times New Roman" w:hAnsi="Times New Roman" w:cs="Times New Roman"/>
        </w:rPr>
        <w:t xml:space="preserve">Level </w:t>
      </w:r>
      <w:r>
        <w:rPr>
          <w:rFonts w:ascii="Times New Roman" w:hAnsi="Times New Roman" w:cs="Times New Roman"/>
        </w:rPr>
        <w:t xml:space="preserve">III charging stations can provide a full </w:t>
      </w:r>
      <w:r w:rsidR="004C1D82">
        <w:rPr>
          <w:rFonts w:ascii="Times New Roman" w:hAnsi="Times New Roman" w:cs="Times New Roman"/>
        </w:rPr>
        <w:t xml:space="preserve">EV </w:t>
      </w:r>
      <w:r>
        <w:rPr>
          <w:rFonts w:ascii="Times New Roman" w:hAnsi="Times New Roman" w:cs="Times New Roman"/>
        </w:rPr>
        <w:t>battery in as little as 30 minutes</w:t>
      </w:r>
      <w:r w:rsidR="004C1D82">
        <w:rPr>
          <w:rFonts w:ascii="Times New Roman" w:hAnsi="Times New Roman" w:cs="Times New Roman"/>
        </w:rPr>
        <w:t>.</w:t>
      </w:r>
      <w:r>
        <w:rPr>
          <w:rFonts w:ascii="Times New Roman" w:hAnsi="Times New Roman" w:cs="Times New Roman"/>
        </w:rPr>
        <w:t xml:space="preserve"> </w:t>
      </w:r>
      <w:r w:rsidR="00C65A02">
        <w:rPr>
          <w:rFonts w:ascii="Times New Roman" w:hAnsi="Times New Roman" w:cs="Times New Roman"/>
        </w:rPr>
        <w:t>Level</w:t>
      </w:r>
      <w:r>
        <w:rPr>
          <w:rFonts w:ascii="Times New Roman" w:hAnsi="Times New Roman" w:cs="Times New Roman"/>
        </w:rPr>
        <w:t xml:space="preserve"> I and II chargers</w:t>
      </w:r>
      <w:r w:rsidR="00FA2DF5">
        <w:rPr>
          <w:rFonts w:ascii="Times New Roman" w:hAnsi="Times New Roman" w:cs="Times New Roman"/>
        </w:rPr>
        <w:t>,</w:t>
      </w:r>
      <w:r>
        <w:rPr>
          <w:rFonts w:ascii="Times New Roman" w:hAnsi="Times New Roman" w:cs="Times New Roman"/>
        </w:rPr>
        <w:t xml:space="preserve"> the </w:t>
      </w:r>
      <w:r w:rsidR="00D200BF">
        <w:rPr>
          <w:rFonts w:ascii="Times New Roman" w:hAnsi="Times New Roman" w:cs="Times New Roman"/>
        </w:rPr>
        <w:t xml:space="preserve">most common </w:t>
      </w:r>
      <w:r w:rsidR="005C10E8">
        <w:rPr>
          <w:rFonts w:ascii="Times New Roman" w:hAnsi="Times New Roman" w:cs="Times New Roman"/>
        </w:rPr>
        <w:t xml:space="preserve">type of charging </w:t>
      </w:r>
      <w:r w:rsidR="00D200BF">
        <w:rPr>
          <w:rFonts w:ascii="Times New Roman" w:hAnsi="Times New Roman" w:cs="Times New Roman"/>
        </w:rPr>
        <w:t>found</w:t>
      </w:r>
      <w:r>
        <w:rPr>
          <w:rFonts w:ascii="Times New Roman" w:hAnsi="Times New Roman" w:cs="Times New Roman"/>
        </w:rPr>
        <w:t xml:space="preserve"> at home</w:t>
      </w:r>
      <w:r w:rsidR="00FA2DF5">
        <w:rPr>
          <w:rFonts w:ascii="Times New Roman" w:hAnsi="Times New Roman" w:cs="Times New Roman"/>
        </w:rPr>
        <w:t>,</w:t>
      </w:r>
      <w:r>
        <w:rPr>
          <w:rFonts w:ascii="Times New Roman" w:hAnsi="Times New Roman" w:cs="Times New Roman"/>
        </w:rPr>
        <w:t xml:space="preserve"> can take 8 or more hours to </w:t>
      </w:r>
      <w:r w:rsidR="001A0518">
        <w:rPr>
          <w:rFonts w:ascii="Times New Roman" w:hAnsi="Times New Roman" w:cs="Times New Roman"/>
        </w:rPr>
        <w:t xml:space="preserve">fully </w:t>
      </w:r>
      <w:r>
        <w:rPr>
          <w:rFonts w:ascii="Times New Roman" w:hAnsi="Times New Roman" w:cs="Times New Roman"/>
        </w:rPr>
        <w:t xml:space="preserve">charge an EV </w:t>
      </w:r>
      <w:r w:rsidR="00D200BF">
        <w:rPr>
          <w:rFonts w:ascii="Times New Roman" w:hAnsi="Times New Roman" w:cs="Times New Roman"/>
        </w:rPr>
        <w:t>(</w:t>
      </w:r>
      <w:proofErr w:type="spellStart"/>
      <w:r w:rsidR="00D200BF">
        <w:rPr>
          <w:rFonts w:ascii="Times New Roman" w:hAnsi="Times New Roman" w:cs="Times New Roman"/>
        </w:rPr>
        <w:t>LaMonca</w:t>
      </w:r>
      <w:proofErr w:type="spellEnd"/>
      <w:r w:rsidR="00D200BF">
        <w:rPr>
          <w:rFonts w:ascii="Times New Roman" w:hAnsi="Times New Roman" w:cs="Times New Roman"/>
        </w:rPr>
        <w:t xml:space="preserve"> et al., 2022). </w:t>
      </w:r>
      <w:r w:rsidR="00100D2A">
        <w:rPr>
          <w:rFonts w:ascii="Times New Roman" w:hAnsi="Times New Roman" w:cs="Times New Roman"/>
        </w:rPr>
        <w:t xml:space="preserve">Zhou et al. (2020) found that public fast charging infrastructure </w:t>
      </w:r>
      <w:r w:rsidR="005E781C">
        <w:rPr>
          <w:rFonts w:ascii="Times New Roman" w:hAnsi="Times New Roman" w:cs="Times New Roman"/>
        </w:rPr>
        <w:t xml:space="preserve">has been a more relevant factor in promoting </w:t>
      </w:r>
      <w:r w:rsidR="00100D2A">
        <w:rPr>
          <w:rFonts w:ascii="Times New Roman" w:hAnsi="Times New Roman" w:cs="Times New Roman"/>
        </w:rPr>
        <w:t xml:space="preserve"> EV demand </w:t>
      </w:r>
      <w:r w:rsidR="005E781C">
        <w:rPr>
          <w:rFonts w:ascii="Times New Roman" w:hAnsi="Times New Roman" w:cs="Times New Roman"/>
        </w:rPr>
        <w:t>than</w:t>
      </w:r>
      <w:r w:rsidR="005C10E8">
        <w:rPr>
          <w:rFonts w:ascii="Times New Roman" w:hAnsi="Times New Roman" w:cs="Times New Roman"/>
        </w:rPr>
        <w:t xml:space="preserve"> </w:t>
      </w:r>
      <w:r w:rsidR="00100D2A">
        <w:rPr>
          <w:rFonts w:ascii="Times New Roman" w:hAnsi="Times New Roman" w:cs="Times New Roman"/>
        </w:rPr>
        <w:t>slow</w:t>
      </w:r>
      <w:r w:rsidR="005C10E8">
        <w:rPr>
          <w:rFonts w:ascii="Times New Roman" w:hAnsi="Times New Roman" w:cs="Times New Roman"/>
        </w:rPr>
        <w:t>-</w:t>
      </w:r>
      <w:r w:rsidR="00100D2A">
        <w:rPr>
          <w:rFonts w:ascii="Times New Roman" w:hAnsi="Times New Roman" w:cs="Times New Roman"/>
        </w:rPr>
        <w:t xml:space="preserve">charging infrastructure. Inconsistent charging station density has been found to increase range anxiety, particularly </w:t>
      </w:r>
      <w:r w:rsidR="009771D0">
        <w:rPr>
          <w:rFonts w:ascii="Times New Roman" w:hAnsi="Times New Roman" w:cs="Times New Roman"/>
        </w:rPr>
        <w:t>for</w:t>
      </w:r>
      <w:r w:rsidR="00100D2A">
        <w:rPr>
          <w:rFonts w:ascii="Times New Roman" w:hAnsi="Times New Roman" w:cs="Times New Roman"/>
        </w:rPr>
        <w:t xml:space="preserve"> </w:t>
      </w:r>
      <w:r w:rsidR="005E781C">
        <w:rPr>
          <w:rFonts w:ascii="Times New Roman" w:hAnsi="Times New Roman" w:cs="Times New Roman"/>
        </w:rPr>
        <w:t xml:space="preserve">households living in </w:t>
      </w:r>
      <w:r w:rsidR="00100D2A">
        <w:rPr>
          <w:rFonts w:ascii="Times New Roman" w:hAnsi="Times New Roman" w:cs="Times New Roman"/>
        </w:rPr>
        <w:t xml:space="preserve">rural </w:t>
      </w:r>
      <w:r w:rsidR="005E781C">
        <w:rPr>
          <w:rFonts w:ascii="Times New Roman" w:hAnsi="Times New Roman" w:cs="Times New Roman"/>
        </w:rPr>
        <w:t>areas</w:t>
      </w:r>
      <w:r w:rsidR="00100D2A">
        <w:rPr>
          <w:rFonts w:ascii="Times New Roman" w:hAnsi="Times New Roman" w:cs="Times New Roman"/>
        </w:rPr>
        <w:t xml:space="preserve"> (Borlaug, 2023). </w:t>
      </w:r>
      <w:r w:rsidR="00100D2A" w:rsidRPr="00100D2A">
        <w:rPr>
          <w:rFonts w:ascii="Times New Roman" w:hAnsi="Times New Roman" w:cs="Times New Roman"/>
        </w:rPr>
        <w:t xml:space="preserve">The compatibility and standardization of charging infrastructure are also significant </w:t>
      </w:r>
      <w:r w:rsidR="005E781C">
        <w:rPr>
          <w:rFonts w:ascii="Times New Roman" w:hAnsi="Times New Roman" w:cs="Times New Roman"/>
        </w:rPr>
        <w:t xml:space="preserve">barriers </w:t>
      </w:r>
      <w:r w:rsidR="00100D2A">
        <w:rPr>
          <w:rFonts w:ascii="Times New Roman" w:hAnsi="Times New Roman" w:cs="Times New Roman"/>
        </w:rPr>
        <w:t xml:space="preserve">to EV </w:t>
      </w:r>
      <w:r w:rsidR="005E781C">
        <w:rPr>
          <w:rFonts w:ascii="Times New Roman" w:hAnsi="Times New Roman" w:cs="Times New Roman"/>
        </w:rPr>
        <w:t>adoption</w:t>
      </w:r>
      <w:r w:rsidR="00100D2A">
        <w:rPr>
          <w:rFonts w:ascii="Times New Roman" w:hAnsi="Times New Roman" w:cs="Times New Roman"/>
        </w:rPr>
        <w:t xml:space="preserve">. </w:t>
      </w:r>
      <w:r w:rsidR="00100D2A" w:rsidRPr="00100D2A">
        <w:rPr>
          <w:rFonts w:ascii="Times New Roman" w:hAnsi="Times New Roman" w:cs="Times New Roman"/>
        </w:rPr>
        <w:t>EV owners may experience range anxiety if they are unsure whether a charging station</w:t>
      </w:r>
      <w:r w:rsidR="009771D0">
        <w:rPr>
          <w:rFonts w:ascii="Times New Roman" w:hAnsi="Times New Roman" w:cs="Times New Roman"/>
        </w:rPr>
        <w:t xml:space="preserve"> is</w:t>
      </w:r>
      <w:r w:rsidR="00100D2A" w:rsidRPr="00100D2A">
        <w:rPr>
          <w:rFonts w:ascii="Times New Roman" w:hAnsi="Times New Roman" w:cs="Times New Roman"/>
        </w:rPr>
        <w:t xml:space="preserve"> compatible with their vehicle</w:t>
      </w:r>
      <w:r w:rsidR="00100D2A">
        <w:rPr>
          <w:rFonts w:ascii="Times New Roman" w:hAnsi="Times New Roman" w:cs="Times New Roman"/>
        </w:rPr>
        <w:t xml:space="preserve"> (Lamontagne et al., 2023)</w:t>
      </w:r>
      <w:r w:rsidR="00100D2A" w:rsidRPr="00100D2A">
        <w:rPr>
          <w:rFonts w:ascii="Times New Roman" w:hAnsi="Times New Roman" w:cs="Times New Roman"/>
        </w:rPr>
        <w:t>.</w:t>
      </w:r>
    </w:p>
    <w:p w14:paraId="450A565B" w14:textId="27572E97" w:rsidR="009771D0" w:rsidRDefault="009771D0" w:rsidP="00100D2A">
      <w:pPr>
        <w:spacing w:line="480" w:lineRule="auto"/>
        <w:ind w:firstLine="720"/>
        <w:rPr>
          <w:rFonts w:ascii="Times New Roman" w:hAnsi="Times New Roman" w:cs="Times New Roman"/>
        </w:rPr>
      </w:pPr>
      <w:r>
        <w:rPr>
          <w:rFonts w:ascii="Times New Roman" w:hAnsi="Times New Roman" w:cs="Times New Roman"/>
        </w:rPr>
        <w:t xml:space="preserve">The literature on EV demand has identified a </w:t>
      </w:r>
      <w:r w:rsidR="004005A2">
        <w:rPr>
          <w:rFonts w:ascii="Times New Roman" w:hAnsi="Times New Roman" w:cs="Times New Roman"/>
        </w:rPr>
        <w:t xml:space="preserve">“Chicken and Egg” problem between EV consumers and charging infrastructure </w:t>
      </w:r>
      <w:r w:rsidR="00067017" w:rsidRPr="00F459F7">
        <w:rPr>
          <w:rFonts w:ascii="Times New Roman" w:hAnsi="Times New Roman" w:cs="Times New Roman"/>
        </w:rPr>
        <w:t>(Shi et al., 2021</w:t>
      </w:r>
      <w:r w:rsidR="00067017">
        <w:rPr>
          <w:rFonts w:ascii="Times New Roman" w:hAnsi="Times New Roman" w:cs="Times New Roman"/>
        </w:rPr>
        <w:t>, Green et al., 2020</w:t>
      </w:r>
      <w:r w:rsidR="00067017" w:rsidRPr="00F459F7">
        <w:rPr>
          <w:rFonts w:ascii="Times New Roman" w:hAnsi="Times New Roman" w:cs="Times New Roman"/>
        </w:rPr>
        <w:t>)</w:t>
      </w:r>
      <w:r w:rsidR="00F459F7">
        <w:rPr>
          <w:rFonts w:ascii="Times New Roman" w:hAnsi="Times New Roman" w:cs="Times New Roman"/>
        </w:rPr>
        <w:t xml:space="preserve">. </w:t>
      </w:r>
      <w:r w:rsidR="001642C8">
        <w:rPr>
          <w:rFonts w:ascii="Times New Roman" w:hAnsi="Times New Roman" w:cs="Times New Roman"/>
        </w:rPr>
        <w:t>C</w:t>
      </w:r>
      <w:r w:rsidR="001642C8" w:rsidRPr="001642C8">
        <w:rPr>
          <w:rFonts w:ascii="Times New Roman" w:hAnsi="Times New Roman" w:cs="Times New Roman"/>
        </w:rPr>
        <w:t xml:space="preserve">onsumers </w:t>
      </w:r>
      <w:r w:rsidR="007C36B0">
        <w:rPr>
          <w:rFonts w:ascii="Times New Roman" w:hAnsi="Times New Roman" w:cs="Times New Roman"/>
        </w:rPr>
        <w:t>may not</w:t>
      </w:r>
      <w:r w:rsidR="001642C8" w:rsidRPr="001642C8">
        <w:rPr>
          <w:rFonts w:ascii="Times New Roman" w:hAnsi="Times New Roman" w:cs="Times New Roman"/>
        </w:rPr>
        <w:t xml:space="preserve"> buy EVs because of the lack of charging stations, and businesses </w:t>
      </w:r>
      <w:r w:rsidR="00FE60A7">
        <w:rPr>
          <w:rFonts w:ascii="Times New Roman" w:hAnsi="Times New Roman" w:cs="Times New Roman"/>
        </w:rPr>
        <w:t>hesitate</w:t>
      </w:r>
      <w:r w:rsidR="001642C8" w:rsidRPr="001642C8">
        <w:rPr>
          <w:rFonts w:ascii="Times New Roman" w:hAnsi="Times New Roman" w:cs="Times New Roman"/>
        </w:rPr>
        <w:t xml:space="preserve"> to invest in charging infrastructure because there are not enough EVs on the road.</w:t>
      </w:r>
      <w:r w:rsidR="00F459F7" w:rsidRPr="00F459F7">
        <w:t xml:space="preserve"> </w:t>
      </w:r>
      <w:r w:rsidR="00A36668">
        <w:rPr>
          <w:rFonts w:ascii="Times New Roman" w:hAnsi="Times New Roman" w:cs="Times New Roman"/>
        </w:rPr>
        <w:t>Due</w:t>
      </w:r>
      <w:r w:rsidR="00F459F7" w:rsidRPr="00F459F7">
        <w:rPr>
          <w:rFonts w:ascii="Times New Roman" w:hAnsi="Times New Roman" w:cs="Times New Roman"/>
        </w:rPr>
        <w:t xml:space="preserve"> to the </w:t>
      </w:r>
      <w:r w:rsidR="00A36668">
        <w:rPr>
          <w:rFonts w:ascii="Times New Roman" w:hAnsi="Times New Roman" w:cs="Times New Roman"/>
        </w:rPr>
        <w:t>limited demand</w:t>
      </w:r>
      <w:r w:rsidR="00F459F7" w:rsidRPr="00F459F7">
        <w:rPr>
          <w:rFonts w:ascii="Times New Roman" w:hAnsi="Times New Roman" w:cs="Times New Roman"/>
        </w:rPr>
        <w:t xml:space="preserve"> of EVs, investors of</w:t>
      </w:r>
      <w:r w:rsidR="00A36668">
        <w:rPr>
          <w:rFonts w:ascii="Times New Roman" w:hAnsi="Times New Roman" w:cs="Times New Roman"/>
        </w:rPr>
        <w:t xml:space="preserve"> EV </w:t>
      </w:r>
      <w:r w:rsidR="00F459F7" w:rsidRPr="00F459F7">
        <w:rPr>
          <w:rFonts w:ascii="Times New Roman" w:hAnsi="Times New Roman" w:cs="Times New Roman"/>
        </w:rPr>
        <w:t>charging infrastructure</w:t>
      </w:r>
      <w:r w:rsidR="00A36668">
        <w:rPr>
          <w:rFonts w:ascii="Times New Roman" w:hAnsi="Times New Roman" w:cs="Times New Roman"/>
        </w:rPr>
        <w:t xml:space="preserve"> </w:t>
      </w:r>
      <w:r w:rsidR="00F459F7" w:rsidRPr="00F459F7">
        <w:rPr>
          <w:rFonts w:ascii="Times New Roman" w:hAnsi="Times New Roman" w:cs="Times New Roman"/>
        </w:rPr>
        <w:t xml:space="preserve">often experience a </w:t>
      </w:r>
      <w:r w:rsidR="00A36668">
        <w:rPr>
          <w:rFonts w:ascii="Times New Roman" w:hAnsi="Times New Roman" w:cs="Times New Roman"/>
        </w:rPr>
        <w:t>“</w:t>
      </w:r>
      <w:r w:rsidR="00F459F7" w:rsidRPr="00F459F7">
        <w:rPr>
          <w:rFonts w:ascii="Times New Roman" w:hAnsi="Times New Roman" w:cs="Times New Roman"/>
        </w:rPr>
        <w:t>cold business period</w:t>
      </w:r>
      <w:r w:rsidR="00A36668">
        <w:rPr>
          <w:rFonts w:ascii="Times New Roman" w:hAnsi="Times New Roman" w:cs="Times New Roman"/>
        </w:rPr>
        <w:t>”</w:t>
      </w:r>
      <w:r w:rsidR="00067017">
        <w:rPr>
          <w:rFonts w:ascii="Times New Roman" w:hAnsi="Times New Roman" w:cs="Times New Roman"/>
        </w:rPr>
        <w:t xml:space="preserve"> </w:t>
      </w:r>
      <w:r w:rsidR="00DB7622">
        <w:rPr>
          <w:rFonts w:ascii="Times New Roman" w:hAnsi="Times New Roman" w:cs="Times New Roman"/>
        </w:rPr>
        <w:t>where low demand for char</w:t>
      </w:r>
      <w:r w:rsidR="00386C91">
        <w:rPr>
          <w:rFonts w:ascii="Times New Roman" w:hAnsi="Times New Roman" w:cs="Times New Roman"/>
        </w:rPr>
        <w:t>g</w:t>
      </w:r>
      <w:r w:rsidR="00DB7622">
        <w:rPr>
          <w:rFonts w:ascii="Times New Roman" w:hAnsi="Times New Roman" w:cs="Times New Roman"/>
        </w:rPr>
        <w:t>ing</w:t>
      </w:r>
      <w:r w:rsidR="00F459F7" w:rsidRPr="00F459F7">
        <w:rPr>
          <w:rFonts w:ascii="Times New Roman" w:hAnsi="Times New Roman" w:cs="Times New Roman"/>
        </w:rPr>
        <w:t xml:space="preserve"> </w:t>
      </w:r>
      <w:r w:rsidR="00A36668">
        <w:rPr>
          <w:rFonts w:ascii="Times New Roman" w:hAnsi="Times New Roman" w:cs="Times New Roman"/>
        </w:rPr>
        <w:t xml:space="preserve">does </w:t>
      </w:r>
      <w:r w:rsidR="00F459F7" w:rsidRPr="00F459F7">
        <w:rPr>
          <w:rFonts w:ascii="Times New Roman" w:hAnsi="Times New Roman" w:cs="Times New Roman"/>
        </w:rPr>
        <w:t xml:space="preserve">not </w:t>
      </w:r>
      <w:r w:rsidR="00386C91">
        <w:rPr>
          <w:rFonts w:ascii="Times New Roman" w:hAnsi="Times New Roman" w:cs="Times New Roman"/>
        </w:rPr>
        <w:t xml:space="preserve">allow companies to recoup their upfront infrastructure investment </w:t>
      </w:r>
      <w:r w:rsidR="00F459F7" w:rsidRPr="00F459F7">
        <w:rPr>
          <w:rFonts w:ascii="Times New Roman" w:hAnsi="Times New Roman" w:cs="Times New Roman"/>
        </w:rPr>
        <w:t>(Shi et al., 2021).</w:t>
      </w:r>
      <w:r w:rsidR="00A36668">
        <w:rPr>
          <w:rFonts w:ascii="Times New Roman" w:hAnsi="Times New Roman" w:cs="Times New Roman"/>
        </w:rPr>
        <w:t xml:space="preserve"> </w:t>
      </w:r>
      <w:r w:rsidR="00067017">
        <w:rPr>
          <w:rFonts w:ascii="Times New Roman" w:hAnsi="Times New Roman" w:cs="Times New Roman"/>
        </w:rPr>
        <w:t xml:space="preserve">Further, </w:t>
      </w:r>
      <w:proofErr w:type="spellStart"/>
      <w:r w:rsidR="00A36668">
        <w:rPr>
          <w:rFonts w:ascii="Times New Roman" w:hAnsi="Times New Roman" w:cs="Times New Roman"/>
        </w:rPr>
        <w:t>Springel</w:t>
      </w:r>
      <w:proofErr w:type="spellEnd"/>
      <w:r w:rsidR="00A36668">
        <w:rPr>
          <w:rFonts w:ascii="Times New Roman" w:hAnsi="Times New Roman" w:cs="Times New Roman"/>
        </w:rPr>
        <w:t xml:space="preserve"> (</w:t>
      </w:r>
      <w:r w:rsidR="00067017">
        <w:rPr>
          <w:rFonts w:ascii="Times New Roman" w:hAnsi="Times New Roman" w:cs="Times New Roman"/>
        </w:rPr>
        <w:t>2021</w:t>
      </w:r>
      <w:r w:rsidR="00A36668">
        <w:rPr>
          <w:rFonts w:ascii="Times New Roman" w:hAnsi="Times New Roman" w:cs="Times New Roman"/>
        </w:rPr>
        <w:t xml:space="preserve">) discusses how low </w:t>
      </w:r>
      <w:r>
        <w:rPr>
          <w:rFonts w:ascii="Times New Roman" w:hAnsi="Times New Roman" w:cs="Times New Roman"/>
        </w:rPr>
        <w:t xml:space="preserve">use </w:t>
      </w:r>
      <w:r w:rsidR="00A36668">
        <w:rPr>
          <w:rFonts w:ascii="Times New Roman" w:hAnsi="Times New Roman" w:cs="Times New Roman"/>
        </w:rPr>
        <w:t xml:space="preserve">and </w:t>
      </w:r>
      <w:r>
        <w:rPr>
          <w:rFonts w:ascii="Times New Roman" w:hAnsi="Times New Roman" w:cs="Times New Roman"/>
        </w:rPr>
        <w:t xml:space="preserve">high upfront  </w:t>
      </w:r>
      <w:r w:rsidR="00A36668">
        <w:rPr>
          <w:rFonts w:ascii="Times New Roman" w:hAnsi="Times New Roman" w:cs="Times New Roman"/>
        </w:rPr>
        <w:t xml:space="preserve">investment costs among EV charging infrastructure suppliers make profitability </w:t>
      </w:r>
      <w:r w:rsidR="008D2621">
        <w:rPr>
          <w:rFonts w:ascii="Times New Roman" w:hAnsi="Times New Roman" w:cs="Times New Roman"/>
        </w:rPr>
        <w:t>challenging</w:t>
      </w:r>
      <w:r w:rsidR="00A36668">
        <w:rPr>
          <w:rFonts w:ascii="Times New Roman" w:hAnsi="Times New Roman" w:cs="Times New Roman"/>
        </w:rPr>
        <w:t xml:space="preserve">. </w:t>
      </w:r>
    </w:p>
    <w:p w14:paraId="25E886AD" w14:textId="3E5AF3DF" w:rsidR="00122504" w:rsidRDefault="00067017" w:rsidP="00100D2A">
      <w:pPr>
        <w:spacing w:line="480" w:lineRule="auto"/>
        <w:ind w:firstLine="720"/>
        <w:rPr>
          <w:rFonts w:ascii="Times New Roman" w:hAnsi="Times New Roman" w:cs="Times New Roman"/>
        </w:rPr>
      </w:pPr>
      <w:r>
        <w:rPr>
          <w:rFonts w:ascii="Times New Roman" w:hAnsi="Times New Roman" w:cs="Times New Roman"/>
        </w:rPr>
        <w:lastRenderedPageBreak/>
        <w:t>Prior literature establishes a relationship between charging station density and EV ownership (</w:t>
      </w:r>
      <w:proofErr w:type="spellStart"/>
      <w:r>
        <w:rPr>
          <w:rFonts w:ascii="Times New Roman" w:hAnsi="Times New Roman" w:cs="Times New Roman"/>
        </w:rPr>
        <w:t>Springel</w:t>
      </w:r>
      <w:proofErr w:type="spellEnd"/>
      <w:r>
        <w:rPr>
          <w:rFonts w:ascii="Times New Roman" w:hAnsi="Times New Roman" w:cs="Times New Roman"/>
        </w:rPr>
        <w:t xml:space="preserve"> 2021, Hall et al., 2017, Javid et al., 2017). A </w:t>
      </w:r>
      <w:r w:rsidRPr="00067017">
        <w:rPr>
          <w:rFonts w:ascii="Times New Roman" w:hAnsi="Times New Roman" w:cs="Times New Roman"/>
        </w:rPr>
        <w:t xml:space="preserve">household's income, education </w:t>
      </w:r>
      <w:r w:rsidR="009771D0">
        <w:rPr>
          <w:rFonts w:ascii="Times New Roman" w:hAnsi="Times New Roman" w:cs="Times New Roman"/>
        </w:rPr>
        <w:t>level</w:t>
      </w:r>
      <w:r w:rsidRPr="00067017">
        <w:rPr>
          <w:rFonts w:ascii="Times New Roman" w:hAnsi="Times New Roman" w:cs="Times New Roman"/>
        </w:rPr>
        <w:t xml:space="preserve">, charging stations </w:t>
      </w:r>
      <w:r w:rsidR="00122504">
        <w:rPr>
          <w:rFonts w:ascii="Times New Roman" w:hAnsi="Times New Roman" w:cs="Times New Roman"/>
        </w:rPr>
        <w:t>per capita</w:t>
      </w:r>
      <w:r w:rsidRPr="00067017">
        <w:rPr>
          <w:rFonts w:ascii="Times New Roman" w:hAnsi="Times New Roman" w:cs="Times New Roman"/>
        </w:rPr>
        <w:t xml:space="preserve">, and </w:t>
      </w:r>
      <w:r w:rsidR="009771D0">
        <w:rPr>
          <w:rFonts w:ascii="Times New Roman" w:hAnsi="Times New Roman" w:cs="Times New Roman"/>
        </w:rPr>
        <w:t>gasoline</w:t>
      </w:r>
      <w:r w:rsidRPr="00067017">
        <w:rPr>
          <w:rFonts w:ascii="Times New Roman" w:hAnsi="Times New Roman" w:cs="Times New Roman"/>
        </w:rPr>
        <w:t xml:space="preserve"> price</w:t>
      </w:r>
      <w:r>
        <w:rPr>
          <w:rFonts w:ascii="Times New Roman" w:hAnsi="Times New Roman" w:cs="Times New Roman"/>
        </w:rPr>
        <w:t xml:space="preserve">s </w:t>
      </w:r>
      <w:r w:rsidR="00122504">
        <w:rPr>
          <w:rFonts w:ascii="Times New Roman" w:hAnsi="Times New Roman" w:cs="Times New Roman"/>
        </w:rPr>
        <w:t>were</w:t>
      </w:r>
      <w:r>
        <w:rPr>
          <w:rFonts w:ascii="Times New Roman" w:hAnsi="Times New Roman" w:cs="Times New Roman"/>
        </w:rPr>
        <w:t xml:space="preserve"> found to </w:t>
      </w:r>
      <w:r w:rsidRPr="00067017">
        <w:rPr>
          <w:rFonts w:ascii="Times New Roman" w:hAnsi="Times New Roman" w:cs="Times New Roman"/>
        </w:rPr>
        <w:t xml:space="preserve">significantly </w:t>
      </w:r>
      <w:r w:rsidR="009771D0">
        <w:rPr>
          <w:rFonts w:ascii="Times New Roman" w:hAnsi="Times New Roman" w:cs="Times New Roman"/>
        </w:rPr>
        <w:t>influence</w:t>
      </w:r>
      <w:r w:rsidR="009771D0" w:rsidRPr="00067017">
        <w:rPr>
          <w:rFonts w:ascii="Times New Roman" w:hAnsi="Times New Roman" w:cs="Times New Roman"/>
        </w:rPr>
        <w:t xml:space="preserve"> </w:t>
      </w:r>
      <w:r w:rsidRPr="00067017">
        <w:rPr>
          <w:rFonts w:ascii="Times New Roman" w:hAnsi="Times New Roman" w:cs="Times New Roman"/>
        </w:rPr>
        <w:t>EV adoption</w:t>
      </w:r>
      <w:r w:rsidR="00A36668">
        <w:rPr>
          <w:rFonts w:ascii="Times New Roman" w:hAnsi="Times New Roman" w:cs="Times New Roman"/>
        </w:rPr>
        <w:t xml:space="preserve"> (Javid et al., 2017).</w:t>
      </w:r>
      <w:r w:rsidR="00122504">
        <w:rPr>
          <w:rFonts w:ascii="Times New Roman" w:hAnsi="Times New Roman" w:cs="Times New Roman"/>
        </w:rPr>
        <w:t xml:space="preserve"> </w:t>
      </w:r>
    </w:p>
    <w:p w14:paraId="60B95D50" w14:textId="595E8D61" w:rsidR="00F459F7" w:rsidRPr="00122504" w:rsidRDefault="004005A2" w:rsidP="00100D2A">
      <w:pPr>
        <w:spacing w:line="480" w:lineRule="auto"/>
        <w:ind w:firstLine="720"/>
        <w:rPr>
          <w:rFonts w:ascii="Times New Roman" w:hAnsi="Times New Roman" w:cs="Times New Roman"/>
        </w:rPr>
      </w:pPr>
      <w:r>
        <w:rPr>
          <w:rFonts w:ascii="Times New Roman" w:hAnsi="Times New Roman" w:cs="Times New Roman"/>
        </w:rPr>
        <w:t>For over a decade</w:t>
      </w:r>
      <w:r w:rsidR="00BA07F4">
        <w:rPr>
          <w:rFonts w:ascii="Times New Roman" w:hAnsi="Times New Roman" w:cs="Times New Roman"/>
        </w:rPr>
        <w:t>,</w:t>
      </w:r>
      <w:r>
        <w:rPr>
          <w:rFonts w:ascii="Times New Roman" w:hAnsi="Times New Roman" w:cs="Times New Roman"/>
        </w:rPr>
        <w:t xml:space="preserve"> there has been </w:t>
      </w:r>
      <w:r w:rsidR="005717D0">
        <w:rPr>
          <w:rFonts w:ascii="Times New Roman" w:hAnsi="Times New Roman" w:cs="Times New Roman"/>
        </w:rPr>
        <w:t xml:space="preserve">uncertainty </w:t>
      </w:r>
      <w:r>
        <w:rPr>
          <w:rFonts w:ascii="Times New Roman" w:hAnsi="Times New Roman" w:cs="Times New Roman"/>
        </w:rPr>
        <w:t xml:space="preserve">on where to efficiently build charging infrastructure (Jochem et al., 2022, </w:t>
      </w:r>
      <w:r w:rsidRPr="007B57D3">
        <w:rPr>
          <w:rFonts w:ascii="Times New Roman" w:hAnsi="Times New Roman" w:cs="Times New Roman"/>
        </w:rPr>
        <w:t>Funke et al., 2019, Pagani et al., 2019, Micari et al., 2017).</w:t>
      </w:r>
      <w:r>
        <w:rPr>
          <w:rFonts w:ascii="Times New Roman" w:hAnsi="Times New Roman" w:cs="Times New Roman"/>
        </w:rPr>
        <w:t xml:space="preserve"> </w:t>
      </w:r>
      <w:r w:rsidR="005717D0">
        <w:rPr>
          <w:rFonts w:ascii="Times New Roman" w:hAnsi="Times New Roman" w:cs="Times New Roman"/>
        </w:rPr>
        <w:t>However</w:t>
      </w:r>
      <w:r w:rsidR="001F652D">
        <w:rPr>
          <w:rFonts w:ascii="Times New Roman" w:hAnsi="Times New Roman" w:cs="Times New Roman"/>
        </w:rPr>
        <w:t>, the</w:t>
      </w:r>
      <w:r w:rsidR="005717D0">
        <w:rPr>
          <w:rFonts w:ascii="Times New Roman" w:hAnsi="Times New Roman" w:cs="Times New Roman"/>
        </w:rPr>
        <w:t xml:space="preserve"> </w:t>
      </w:r>
      <w:r w:rsidR="001F652D">
        <w:rPr>
          <w:rFonts w:ascii="Times New Roman" w:hAnsi="Times New Roman" w:cs="Times New Roman"/>
        </w:rPr>
        <w:t>development</w:t>
      </w:r>
      <w:r>
        <w:rPr>
          <w:rFonts w:ascii="Times New Roman" w:hAnsi="Times New Roman" w:cs="Times New Roman"/>
        </w:rPr>
        <w:t xml:space="preserve"> of both fast</w:t>
      </w:r>
      <w:r w:rsidR="005717D0">
        <w:rPr>
          <w:rFonts w:ascii="Times New Roman" w:hAnsi="Times New Roman" w:cs="Times New Roman"/>
        </w:rPr>
        <w:t xml:space="preserve"> (DCFC</w:t>
      </w:r>
      <w:r w:rsidR="009771D0">
        <w:rPr>
          <w:rFonts w:ascii="Times New Roman" w:hAnsi="Times New Roman" w:cs="Times New Roman"/>
        </w:rPr>
        <w:t xml:space="preserve"> Level III</w:t>
      </w:r>
      <w:r w:rsidR="005717D0">
        <w:rPr>
          <w:rFonts w:ascii="Times New Roman" w:hAnsi="Times New Roman" w:cs="Times New Roman"/>
        </w:rPr>
        <w:t>)</w:t>
      </w:r>
      <w:r>
        <w:rPr>
          <w:rFonts w:ascii="Times New Roman" w:hAnsi="Times New Roman" w:cs="Times New Roman"/>
        </w:rPr>
        <w:t xml:space="preserve"> and slow</w:t>
      </w:r>
      <w:r w:rsidR="005717D0">
        <w:rPr>
          <w:rFonts w:ascii="Times New Roman" w:hAnsi="Times New Roman" w:cs="Times New Roman"/>
        </w:rPr>
        <w:t xml:space="preserve"> (Level </w:t>
      </w:r>
      <w:r w:rsidR="009771D0">
        <w:rPr>
          <w:rFonts w:ascii="Times New Roman" w:hAnsi="Times New Roman" w:cs="Times New Roman"/>
        </w:rPr>
        <w:t>II</w:t>
      </w:r>
      <w:r w:rsidR="005717D0">
        <w:rPr>
          <w:rFonts w:ascii="Times New Roman" w:hAnsi="Times New Roman" w:cs="Times New Roman"/>
        </w:rPr>
        <w:t>)</w:t>
      </w:r>
      <w:r>
        <w:rPr>
          <w:rFonts w:ascii="Times New Roman" w:hAnsi="Times New Roman" w:cs="Times New Roman"/>
        </w:rPr>
        <w:t xml:space="preserve"> charging </w:t>
      </w:r>
      <w:r w:rsidR="005717D0">
        <w:rPr>
          <w:rFonts w:ascii="Times New Roman" w:hAnsi="Times New Roman" w:cs="Times New Roman"/>
        </w:rPr>
        <w:t xml:space="preserve">stations </w:t>
      </w:r>
      <w:r>
        <w:rPr>
          <w:rFonts w:ascii="Times New Roman" w:hAnsi="Times New Roman" w:cs="Times New Roman"/>
        </w:rPr>
        <w:t xml:space="preserve">will be required </w:t>
      </w:r>
      <w:r w:rsidR="005717D0">
        <w:rPr>
          <w:rFonts w:ascii="Times New Roman" w:hAnsi="Times New Roman" w:cs="Times New Roman"/>
        </w:rPr>
        <w:t>for</w:t>
      </w:r>
      <w:r>
        <w:rPr>
          <w:rFonts w:ascii="Times New Roman" w:hAnsi="Times New Roman" w:cs="Times New Roman"/>
        </w:rPr>
        <w:t xml:space="preserve"> </w:t>
      </w:r>
      <w:r w:rsidR="009771D0">
        <w:rPr>
          <w:rFonts w:ascii="Times New Roman" w:hAnsi="Times New Roman" w:cs="Times New Roman"/>
        </w:rPr>
        <w:t xml:space="preserve">significant </w:t>
      </w:r>
      <w:r>
        <w:rPr>
          <w:rFonts w:ascii="Times New Roman" w:hAnsi="Times New Roman" w:cs="Times New Roman"/>
        </w:rPr>
        <w:t xml:space="preserve">EV adoption (LaMonaca et al., 2022, Hall et al. 2017). </w:t>
      </w:r>
      <w:r w:rsidR="00122504">
        <w:rPr>
          <w:rFonts w:ascii="Times New Roman" w:hAnsi="Times New Roman" w:cs="Times New Roman"/>
        </w:rPr>
        <w:t xml:space="preserve"> </w:t>
      </w:r>
      <w:r w:rsidR="009D4049">
        <w:rPr>
          <w:rFonts w:ascii="Times New Roman" w:hAnsi="Times New Roman" w:cs="Times New Roman"/>
        </w:rPr>
        <w:t>Prior literature reveals</w:t>
      </w:r>
      <w:r w:rsidR="00122504">
        <w:rPr>
          <w:rFonts w:ascii="Times New Roman" w:hAnsi="Times New Roman" w:cs="Times New Roman"/>
        </w:rPr>
        <w:t xml:space="preserve"> </w:t>
      </w:r>
      <w:r w:rsidR="009771D0">
        <w:rPr>
          <w:rFonts w:ascii="Times New Roman" w:hAnsi="Times New Roman" w:cs="Times New Roman"/>
        </w:rPr>
        <w:t>that</w:t>
      </w:r>
      <w:r w:rsidR="00E203BD">
        <w:rPr>
          <w:rFonts w:ascii="Times New Roman" w:hAnsi="Times New Roman" w:cs="Times New Roman"/>
        </w:rPr>
        <w:t xml:space="preserve"> </w:t>
      </w:r>
      <w:r w:rsidR="009D4049">
        <w:rPr>
          <w:rFonts w:ascii="Times New Roman" w:hAnsi="Times New Roman" w:cs="Times New Roman"/>
        </w:rPr>
        <w:t>most</w:t>
      </w:r>
      <w:r w:rsidR="00122504">
        <w:rPr>
          <w:rFonts w:ascii="Times New Roman" w:hAnsi="Times New Roman" w:cs="Times New Roman"/>
        </w:rPr>
        <w:t xml:space="preserve"> charging is done at home</w:t>
      </w:r>
      <w:r w:rsidR="009D4049">
        <w:rPr>
          <w:rFonts w:ascii="Times New Roman" w:hAnsi="Times New Roman" w:cs="Times New Roman"/>
        </w:rPr>
        <w:t xml:space="preserve">. </w:t>
      </w:r>
      <w:r w:rsidR="009D4049" w:rsidRPr="009D4049">
        <w:rPr>
          <w:rFonts w:ascii="Times New Roman" w:hAnsi="Times New Roman" w:cs="Times New Roman"/>
        </w:rPr>
        <w:t>Hardman et al.</w:t>
      </w:r>
      <w:r w:rsidR="009D4049">
        <w:rPr>
          <w:rFonts w:ascii="Times New Roman" w:hAnsi="Times New Roman" w:cs="Times New Roman"/>
        </w:rPr>
        <w:t xml:space="preserve"> </w:t>
      </w:r>
      <w:r w:rsidR="009D4049" w:rsidRPr="009D4049">
        <w:rPr>
          <w:rFonts w:ascii="Times New Roman" w:hAnsi="Times New Roman" w:cs="Times New Roman"/>
        </w:rPr>
        <w:t>(2018) show that 50–80% of all charging occur</w:t>
      </w:r>
      <w:r w:rsidR="00BA07F4">
        <w:rPr>
          <w:rFonts w:ascii="Times New Roman" w:hAnsi="Times New Roman" w:cs="Times New Roman"/>
        </w:rPr>
        <w:t>s</w:t>
      </w:r>
      <w:r w:rsidR="009D4049" w:rsidRPr="009D4049">
        <w:rPr>
          <w:rFonts w:ascii="Times New Roman" w:hAnsi="Times New Roman" w:cs="Times New Roman"/>
        </w:rPr>
        <w:t xml:space="preserve"> at home.</w:t>
      </w:r>
      <w:r w:rsidR="00B16B61">
        <w:rPr>
          <w:rFonts w:ascii="Times New Roman" w:hAnsi="Times New Roman" w:cs="Times New Roman"/>
        </w:rPr>
        <w:t xml:space="preserve"> While home charging infrastructure is understood to be </w:t>
      </w:r>
      <w:r w:rsidR="00BA07F4">
        <w:rPr>
          <w:rFonts w:ascii="Times New Roman" w:hAnsi="Times New Roman" w:cs="Times New Roman"/>
        </w:rPr>
        <w:t xml:space="preserve">a significant factor for </w:t>
      </w:r>
      <w:r w:rsidR="00B16B61">
        <w:rPr>
          <w:rFonts w:ascii="Times New Roman" w:hAnsi="Times New Roman" w:cs="Times New Roman"/>
        </w:rPr>
        <w:t xml:space="preserve">EV adoption, little is known about </w:t>
      </w:r>
      <w:r w:rsidR="00BA07F4">
        <w:rPr>
          <w:rFonts w:ascii="Times New Roman" w:hAnsi="Times New Roman" w:cs="Times New Roman"/>
        </w:rPr>
        <w:t xml:space="preserve">how much EV owners are </w:t>
      </w:r>
      <w:r w:rsidR="00B16B61">
        <w:rPr>
          <w:rFonts w:ascii="Times New Roman" w:hAnsi="Times New Roman" w:cs="Times New Roman"/>
        </w:rPr>
        <w:t>willing to pay for</w:t>
      </w:r>
      <w:r w:rsidR="00BA07F4">
        <w:rPr>
          <w:rFonts w:ascii="Times New Roman" w:hAnsi="Times New Roman" w:cs="Times New Roman"/>
        </w:rPr>
        <w:t xml:space="preserve"> it</w:t>
      </w:r>
      <w:r w:rsidR="00B16B61">
        <w:rPr>
          <w:rFonts w:ascii="Times New Roman" w:hAnsi="Times New Roman" w:cs="Times New Roman"/>
        </w:rPr>
        <w:t xml:space="preserve">. </w:t>
      </w:r>
    </w:p>
    <w:p w14:paraId="1BD4D41F" w14:textId="1E58A23F" w:rsidR="00AB4C80" w:rsidRDefault="00AB4C80" w:rsidP="00100D2A">
      <w:pPr>
        <w:pStyle w:val="Heading2"/>
        <w:jc w:val="left"/>
      </w:pPr>
      <w:bookmarkStart w:id="11" w:name="_Toc165394414"/>
      <w:bookmarkStart w:id="12" w:name="_Toc174455324"/>
      <w:r>
        <w:t>Objectives</w:t>
      </w:r>
      <w:bookmarkEnd w:id="11"/>
      <w:bookmarkEnd w:id="12"/>
    </w:p>
    <w:p w14:paraId="3D5E3867" w14:textId="220035E8" w:rsidR="00AB4C80" w:rsidRPr="00AB4C80" w:rsidRDefault="00AB4C80" w:rsidP="0054552A">
      <w:pPr>
        <w:numPr>
          <w:ilvl w:val="0"/>
          <w:numId w:val="6"/>
        </w:numPr>
        <w:spacing w:after="160" w:line="480" w:lineRule="auto"/>
        <w:contextualSpacing/>
        <w:jc w:val="both"/>
        <w:rPr>
          <w:rFonts w:ascii="Times New Roman" w:eastAsia="Aptos" w:hAnsi="Times New Roman" w:cs="Times New Roman"/>
          <w:kern w:val="2"/>
          <w14:ligatures w14:val="standardContextual"/>
        </w:rPr>
      </w:pPr>
      <w:r w:rsidRPr="00AB4C80">
        <w:rPr>
          <w:rFonts w:ascii="Times New Roman" w:eastAsia="Aptos" w:hAnsi="Times New Roman" w:cs="Times New Roman"/>
          <w:kern w:val="2"/>
          <w14:ligatures w14:val="standardContextual"/>
        </w:rPr>
        <w:t>To estimate the relationship between home</w:t>
      </w:r>
      <w:r w:rsidR="004D7D9A">
        <w:rPr>
          <w:rFonts w:ascii="Times New Roman" w:eastAsia="Aptos" w:hAnsi="Times New Roman" w:cs="Times New Roman"/>
          <w:kern w:val="2"/>
          <w14:ligatures w14:val="standardContextual"/>
        </w:rPr>
        <w:t>-</w:t>
      </w:r>
      <w:r w:rsidRPr="00AB4C80">
        <w:rPr>
          <w:rFonts w:ascii="Times New Roman" w:eastAsia="Aptos" w:hAnsi="Times New Roman" w:cs="Times New Roman"/>
          <w:kern w:val="2"/>
          <w14:ligatures w14:val="standardContextual"/>
        </w:rPr>
        <w:t>based charging availability and EV ownership using revealed preference methodology.</w:t>
      </w:r>
    </w:p>
    <w:p w14:paraId="62A696C4" w14:textId="1D86AE4C" w:rsidR="00AB4C80" w:rsidRPr="00AB4C80" w:rsidRDefault="00AB4C80" w:rsidP="0054552A">
      <w:pPr>
        <w:numPr>
          <w:ilvl w:val="0"/>
          <w:numId w:val="6"/>
        </w:numPr>
        <w:spacing w:after="160" w:line="480" w:lineRule="auto"/>
        <w:contextualSpacing/>
        <w:jc w:val="both"/>
        <w:rPr>
          <w:rFonts w:ascii="Times New Roman" w:eastAsia="Aptos" w:hAnsi="Times New Roman" w:cs="Times New Roman"/>
          <w:kern w:val="2"/>
          <w14:ligatures w14:val="standardContextual"/>
        </w:rPr>
      </w:pPr>
      <w:r w:rsidRPr="00AB4C80">
        <w:rPr>
          <w:rFonts w:ascii="Times New Roman" w:eastAsia="Aptos" w:hAnsi="Times New Roman" w:cs="Times New Roman"/>
          <w:kern w:val="2"/>
          <w14:ligatures w14:val="standardContextual"/>
        </w:rPr>
        <w:t>To estimate the willingness to pay for home</w:t>
      </w:r>
      <w:r w:rsidR="004D7D9A">
        <w:rPr>
          <w:rFonts w:ascii="Times New Roman" w:eastAsia="Aptos" w:hAnsi="Times New Roman" w:cs="Times New Roman"/>
          <w:kern w:val="2"/>
          <w14:ligatures w14:val="standardContextual"/>
        </w:rPr>
        <w:t>-</w:t>
      </w:r>
      <w:r w:rsidRPr="00AB4C80">
        <w:rPr>
          <w:rFonts w:ascii="Times New Roman" w:eastAsia="Aptos" w:hAnsi="Times New Roman" w:cs="Times New Roman"/>
          <w:kern w:val="2"/>
          <w14:ligatures w14:val="standardContextual"/>
        </w:rPr>
        <w:t xml:space="preserve">based charging annually over the lifespan of a vehicle. </w:t>
      </w:r>
    </w:p>
    <w:p w14:paraId="44FB500F" w14:textId="717B2C12" w:rsidR="004005A2" w:rsidRDefault="00AB4C80" w:rsidP="004005A2">
      <w:pPr>
        <w:numPr>
          <w:ilvl w:val="0"/>
          <w:numId w:val="6"/>
        </w:numPr>
        <w:spacing w:after="160" w:line="480" w:lineRule="auto"/>
        <w:contextualSpacing/>
        <w:jc w:val="both"/>
        <w:rPr>
          <w:rFonts w:ascii="Times New Roman" w:eastAsia="Aptos" w:hAnsi="Times New Roman" w:cs="Times New Roman"/>
          <w:kern w:val="2"/>
          <w14:ligatures w14:val="standardContextual"/>
        </w:rPr>
      </w:pPr>
      <w:r w:rsidRPr="00AB4C80">
        <w:rPr>
          <w:rFonts w:ascii="Times New Roman" w:eastAsia="Aptos" w:hAnsi="Times New Roman" w:cs="Times New Roman"/>
          <w:kern w:val="2"/>
          <w14:ligatures w14:val="standardContextual"/>
        </w:rPr>
        <w:t>To reflect the willingness to pay for home</w:t>
      </w:r>
      <w:r w:rsidR="004D7D9A">
        <w:rPr>
          <w:rFonts w:ascii="Times New Roman" w:eastAsia="Aptos" w:hAnsi="Times New Roman" w:cs="Times New Roman"/>
          <w:kern w:val="2"/>
          <w14:ligatures w14:val="standardContextual"/>
        </w:rPr>
        <w:t>-</w:t>
      </w:r>
      <w:r w:rsidRPr="00AB4C80">
        <w:rPr>
          <w:rFonts w:ascii="Times New Roman" w:eastAsia="Aptos" w:hAnsi="Times New Roman" w:cs="Times New Roman"/>
          <w:kern w:val="2"/>
          <w14:ligatures w14:val="standardContextual"/>
        </w:rPr>
        <w:t>based charging in units of both USD and foregone convenience, based on an assumption of hourly wage.</w:t>
      </w:r>
    </w:p>
    <w:p w14:paraId="32FFB0B4" w14:textId="77777777" w:rsidR="00D200BF" w:rsidRDefault="00D200BF" w:rsidP="00E75827">
      <w:pPr>
        <w:spacing w:after="160" w:line="480" w:lineRule="auto"/>
        <w:contextualSpacing/>
        <w:jc w:val="both"/>
        <w:rPr>
          <w:rFonts w:ascii="Times New Roman" w:eastAsia="Aptos" w:hAnsi="Times New Roman" w:cs="Times New Roman"/>
          <w:kern w:val="2"/>
          <w14:ligatures w14:val="standardContextual"/>
        </w:rPr>
      </w:pPr>
    </w:p>
    <w:p w14:paraId="0E295BFF" w14:textId="77777777" w:rsidR="00EF4C8B" w:rsidRDefault="00EF4C8B" w:rsidP="00E75827">
      <w:pPr>
        <w:spacing w:after="160" w:line="480" w:lineRule="auto"/>
        <w:contextualSpacing/>
        <w:jc w:val="both"/>
        <w:rPr>
          <w:rFonts w:ascii="Times New Roman" w:eastAsia="Aptos" w:hAnsi="Times New Roman" w:cs="Times New Roman"/>
          <w:kern w:val="2"/>
          <w14:ligatures w14:val="standardContextual"/>
        </w:rPr>
      </w:pPr>
    </w:p>
    <w:p w14:paraId="58ED43E1" w14:textId="77777777" w:rsidR="00ED7808" w:rsidRPr="004005A2" w:rsidRDefault="00ED7808" w:rsidP="00E75827">
      <w:pPr>
        <w:spacing w:after="160" w:line="480" w:lineRule="auto"/>
        <w:contextualSpacing/>
        <w:jc w:val="both"/>
        <w:rPr>
          <w:rFonts w:ascii="Times New Roman" w:eastAsia="Aptos" w:hAnsi="Times New Roman" w:cs="Times New Roman"/>
          <w:kern w:val="2"/>
          <w14:ligatures w14:val="standardContextual"/>
        </w:rPr>
      </w:pPr>
    </w:p>
    <w:p w14:paraId="3EA41C32" w14:textId="52CD72E4" w:rsidR="008712FB" w:rsidRPr="008712FB" w:rsidRDefault="00210BC5" w:rsidP="00C67197">
      <w:pPr>
        <w:pStyle w:val="Heading1"/>
      </w:pPr>
      <w:bookmarkStart w:id="13" w:name="_Toc174455325"/>
      <w:bookmarkStart w:id="14" w:name="_Toc165394415"/>
      <w:r>
        <w:lastRenderedPageBreak/>
        <w:t>Chapter Two</w:t>
      </w:r>
      <w:bookmarkEnd w:id="13"/>
    </w:p>
    <w:p w14:paraId="67A06CA7" w14:textId="11B106AF" w:rsidR="00236E6D" w:rsidRPr="008712FB" w:rsidRDefault="00210BC5" w:rsidP="00C67197">
      <w:pPr>
        <w:pStyle w:val="Heading1"/>
      </w:pPr>
      <w:bookmarkStart w:id="15" w:name="_Toc174455326"/>
      <w:bookmarkEnd w:id="14"/>
      <w:r>
        <w:t>Literature Review</w:t>
      </w:r>
      <w:bookmarkEnd w:id="15"/>
    </w:p>
    <w:p w14:paraId="7C725327" w14:textId="239FF6CD" w:rsidR="004F08CE" w:rsidRPr="008712FB" w:rsidRDefault="004005A2" w:rsidP="00100D2A">
      <w:pPr>
        <w:pStyle w:val="Heading2"/>
        <w:jc w:val="left"/>
      </w:pPr>
      <w:bookmarkStart w:id="16" w:name="_Toc165394417"/>
      <w:bookmarkStart w:id="17" w:name="_Toc174455327"/>
      <w:r>
        <w:t>P</w:t>
      </w:r>
      <w:r w:rsidR="00AA21F8" w:rsidRPr="008712FB">
        <w:t>ublic Charging Infrastructure</w:t>
      </w:r>
      <w:bookmarkEnd w:id="16"/>
      <w:bookmarkEnd w:id="17"/>
    </w:p>
    <w:p w14:paraId="03896155" w14:textId="7ED5302E" w:rsidR="007B57D3" w:rsidRPr="00F459F7" w:rsidRDefault="007C36B0" w:rsidP="00FA2DF5">
      <w:pPr>
        <w:spacing w:line="480" w:lineRule="auto"/>
        <w:ind w:firstLine="720"/>
        <w:rPr>
          <w:rFonts w:ascii="Times New Roman" w:hAnsi="Times New Roman" w:cs="Times New Roman"/>
        </w:rPr>
      </w:pPr>
      <w:r>
        <w:rPr>
          <w:rFonts w:ascii="Times New Roman" w:hAnsi="Times New Roman" w:cs="Times New Roman"/>
        </w:rPr>
        <w:t xml:space="preserve">Forecasts suggest significant </w:t>
      </w:r>
      <w:r w:rsidR="002362CD" w:rsidRPr="002362CD">
        <w:rPr>
          <w:rFonts w:ascii="Times New Roman" w:hAnsi="Times New Roman" w:cs="Times New Roman"/>
        </w:rPr>
        <w:t>future</w:t>
      </w:r>
      <w:r w:rsidR="00FA2DF5">
        <w:rPr>
          <w:rFonts w:ascii="Times New Roman" w:hAnsi="Times New Roman" w:cs="Times New Roman"/>
        </w:rPr>
        <w:t xml:space="preserve"> US</w:t>
      </w:r>
      <w:r w:rsidR="002362CD" w:rsidRPr="002362CD">
        <w:rPr>
          <w:rFonts w:ascii="Times New Roman" w:hAnsi="Times New Roman" w:cs="Times New Roman"/>
        </w:rPr>
        <w:t xml:space="preserve"> EV </w:t>
      </w:r>
      <w:r w:rsidR="002362CD">
        <w:rPr>
          <w:rFonts w:ascii="Times New Roman" w:hAnsi="Times New Roman" w:cs="Times New Roman"/>
        </w:rPr>
        <w:t>market</w:t>
      </w:r>
      <w:r w:rsidR="002362CD" w:rsidRPr="002362CD">
        <w:rPr>
          <w:rFonts w:ascii="Times New Roman" w:hAnsi="Times New Roman" w:cs="Times New Roman"/>
        </w:rPr>
        <w:t xml:space="preserve"> growth</w:t>
      </w:r>
      <w:r w:rsidR="002362CD">
        <w:rPr>
          <w:rFonts w:ascii="Times New Roman" w:hAnsi="Times New Roman" w:cs="Times New Roman"/>
        </w:rPr>
        <w:t>.</w:t>
      </w:r>
      <w:r w:rsidR="00FA2DF5">
        <w:rPr>
          <w:rFonts w:ascii="Times New Roman" w:hAnsi="Times New Roman" w:cs="Times New Roman"/>
        </w:rPr>
        <w:t xml:space="preserve"> </w:t>
      </w:r>
      <w:r w:rsidR="002362CD">
        <w:rPr>
          <w:rFonts w:ascii="Times New Roman" w:hAnsi="Times New Roman" w:cs="Times New Roman"/>
        </w:rPr>
        <w:t>However,</w:t>
      </w:r>
      <w:r w:rsidR="002362CD" w:rsidRPr="002362CD">
        <w:rPr>
          <w:rFonts w:ascii="Times New Roman" w:hAnsi="Times New Roman" w:cs="Times New Roman"/>
        </w:rPr>
        <w:t xml:space="preserve"> </w:t>
      </w:r>
      <w:r>
        <w:rPr>
          <w:rFonts w:ascii="Times New Roman" w:hAnsi="Times New Roman" w:cs="Times New Roman"/>
        </w:rPr>
        <w:t>the growth</w:t>
      </w:r>
      <w:r w:rsidR="002362CD" w:rsidRPr="002362CD">
        <w:rPr>
          <w:rFonts w:ascii="Times New Roman" w:hAnsi="Times New Roman" w:cs="Times New Roman"/>
        </w:rPr>
        <w:t xml:space="preserve"> will need to be supported by </w:t>
      </w:r>
      <w:r w:rsidR="00FA2DF5">
        <w:rPr>
          <w:rFonts w:ascii="Times New Roman" w:hAnsi="Times New Roman" w:cs="Times New Roman"/>
        </w:rPr>
        <w:t xml:space="preserve">a </w:t>
      </w:r>
      <w:r w:rsidR="002362CD" w:rsidRPr="002362CD">
        <w:rPr>
          <w:rFonts w:ascii="Times New Roman" w:hAnsi="Times New Roman" w:cs="Times New Roman"/>
        </w:rPr>
        <w:t xml:space="preserve">robust </w:t>
      </w:r>
      <w:r w:rsidR="002362CD">
        <w:rPr>
          <w:rFonts w:ascii="Times New Roman" w:hAnsi="Times New Roman" w:cs="Times New Roman"/>
        </w:rPr>
        <w:t>EV</w:t>
      </w:r>
      <w:r w:rsidR="002362CD" w:rsidRPr="002362CD">
        <w:rPr>
          <w:rFonts w:ascii="Times New Roman" w:hAnsi="Times New Roman" w:cs="Times New Roman"/>
        </w:rPr>
        <w:t xml:space="preserve"> charging infrastructure</w:t>
      </w:r>
      <w:r w:rsidR="00FA2DF5">
        <w:rPr>
          <w:rFonts w:ascii="Times New Roman" w:hAnsi="Times New Roman" w:cs="Times New Roman"/>
        </w:rPr>
        <w:t xml:space="preserve"> network</w:t>
      </w:r>
      <w:r w:rsidR="002362CD" w:rsidRPr="002362CD">
        <w:rPr>
          <w:rFonts w:ascii="Times New Roman" w:hAnsi="Times New Roman" w:cs="Times New Roman"/>
        </w:rPr>
        <w:t xml:space="preserve">. </w:t>
      </w:r>
      <w:r w:rsidR="00FA2DF5" w:rsidRPr="00F6157A">
        <w:rPr>
          <w:rFonts w:ascii="Times New Roman" w:hAnsi="Times New Roman" w:cs="Times New Roman"/>
        </w:rPr>
        <w:t>Funke</w:t>
      </w:r>
      <w:r w:rsidR="00FA2DF5">
        <w:rPr>
          <w:rFonts w:ascii="Times New Roman" w:hAnsi="Times New Roman" w:cs="Times New Roman"/>
        </w:rPr>
        <w:t xml:space="preserve"> et al. (2019)</w:t>
      </w:r>
      <w:r w:rsidR="00D200BF">
        <w:rPr>
          <w:rFonts w:ascii="Times New Roman" w:hAnsi="Times New Roman" w:cs="Times New Roman"/>
        </w:rPr>
        <w:t xml:space="preserve"> </w:t>
      </w:r>
      <w:r w:rsidR="00FA2DF5">
        <w:rPr>
          <w:rFonts w:ascii="Times New Roman" w:hAnsi="Times New Roman" w:cs="Times New Roman"/>
        </w:rPr>
        <w:t xml:space="preserve">found </w:t>
      </w:r>
      <w:r w:rsidR="005C10E8">
        <w:rPr>
          <w:rFonts w:ascii="Times New Roman" w:hAnsi="Times New Roman" w:cs="Times New Roman"/>
        </w:rPr>
        <w:t xml:space="preserve">that </w:t>
      </w:r>
      <w:r w:rsidR="00FA2DF5">
        <w:rPr>
          <w:rFonts w:ascii="Times New Roman" w:hAnsi="Times New Roman" w:cs="Times New Roman"/>
        </w:rPr>
        <w:t>a l</w:t>
      </w:r>
      <w:r w:rsidR="00FA2DF5" w:rsidRPr="00F6157A">
        <w:rPr>
          <w:rFonts w:ascii="Times New Roman" w:hAnsi="Times New Roman" w:cs="Times New Roman"/>
        </w:rPr>
        <w:t>ack of</w:t>
      </w:r>
      <w:r w:rsidR="00FA2DF5">
        <w:rPr>
          <w:rFonts w:ascii="Times New Roman" w:hAnsi="Times New Roman" w:cs="Times New Roman"/>
        </w:rPr>
        <w:t xml:space="preserve"> </w:t>
      </w:r>
      <w:r w:rsidR="00FA2DF5" w:rsidRPr="00F6157A">
        <w:rPr>
          <w:rFonts w:ascii="Times New Roman" w:hAnsi="Times New Roman" w:cs="Times New Roman"/>
        </w:rPr>
        <w:t xml:space="preserve">public charging infrastructure </w:t>
      </w:r>
      <w:r w:rsidR="00B90FBC">
        <w:rPr>
          <w:rFonts w:ascii="Times New Roman" w:hAnsi="Times New Roman" w:cs="Times New Roman"/>
        </w:rPr>
        <w:t>discourages</w:t>
      </w:r>
      <w:r w:rsidR="00FA2DF5" w:rsidRPr="00F6157A">
        <w:rPr>
          <w:rFonts w:ascii="Times New Roman" w:hAnsi="Times New Roman" w:cs="Times New Roman"/>
        </w:rPr>
        <w:t xml:space="preserve"> EV adoption</w:t>
      </w:r>
      <w:r w:rsidR="00D200BF">
        <w:rPr>
          <w:rFonts w:ascii="Times New Roman" w:hAnsi="Times New Roman" w:cs="Times New Roman"/>
        </w:rPr>
        <w:t>.</w:t>
      </w:r>
      <w:r w:rsidR="00FA2DF5">
        <w:rPr>
          <w:rFonts w:ascii="Times New Roman" w:hAnsi="Times New Roman" w:cs="Times New Roman"/>
        </w:rPr>
        <w:t xml:space="preserve"> LaMonaca </w:t>
      </w:r>
      <w:r w:rsidR="00B90FBC">
        <w:rPr>
          <w:rFonts w:ascii="Times New Roman" w:hAnsi="Times New Roman" w:cs="Times New Roman"/>
        </w:rPr>
        <w:t>and Ryan</w:t>
      </w:r>
      <w:r w:rsidR="00FA2DF5">
        <w:rPr>
          <w:rFonts w:ascii="Times New Roman" w:hAnsi="Times New Roman" w:cs="Times New Roman"/>
        </w:rPr>
        <w:t xml:space="preserve"> (2022) </w:t>
      </w:r>
      <w:r w:rsidR="00B90FBC">
        <w:rPr>
          <w:rFonts w:ascii="Times New Roman" w:hAnsi="Times New Roman" w:cs="Times New Roman"/>
        </w:rPr>
        <w:t xml:space="preserve">discuss the </w:t>
      </w:r>
      <w:r w:rsidR="00FA2DF5">
        <w:rPr>
          <w:rFonts w:ascii="Times New Roman" w:hAnsi="Times New Roman" w:cs="Times New Roman"/>
        </w:rPr>
        <w:t>link</w:t>
      </w:r>
      <w:r w:rsidR="00D200BF">
        <w:rPr>
          <w:rFonts w:ascii="Times New Roman" w:hAnsi="Times New Roman" w:cs="Times New Roman"/>
        </w:rPr>
        <w:t xml:space="preserve"> </w:t>
      </w:r>
      <w:r w:rsidR="00B90FBC">
        <w:rPr>
          <w:rFonts w:ascii="Times New Roman" w:hAnsi="Times New Roman" w:cs="Times New Roman"/>
        </w:rPr>
        <w:t xml:space="preserve">between </w:t>
      </w:r>
      <w:r w:rsidR="00D200BF">
        <w:rPr>
          <w:rFonts w:ascii="Times New Roman" w:hAnsi="Times New Roman" w:cs="Times New Roman"/>
        </w:rPr>
        <w:t xml:space="preserve">EV adoption </w:t>
      </w:r>
      <w:r w:rsidR="00B90FBC">
        <w:rPr>
          <w:rFonts w:ascii="Times New Roman" w:hAnsi="Times New Roman" w:cs="Times New Roman"/>
        </w:rPr>
        <w:t xml:space="preserve">and </w:t>
      </w:r>
      <w:r w:rsidR="00FA2DF5">
        <w:rPr>
          <w:rFonts w:ascii="Times New Roman" w:hAnsi="Times New Roman" w:cs="Times New Roman"/>
        </w:rPr>
        <w:t>public charging infrastructure.</w:t>
      </w:r>
      <w:r w:rsidR="00B90FBC">
        <w:rPr>
          <w:rFonts w:ascii="Times New Roman" w:hAnsi="Times New Roman" w:cs="Times New Roman"/>
        </w:rPr>
        <w:t xml:space="preserve"> Their review of the literature concludes that </w:t>
      </w:r>
      <w:r w:rsidR="002362CD" w:rsidRPr="002362CD">
        <w:rPr>
          <w:rFonts w:ascii="Times New Roman" w:hAnsi="Times New Roman" w:cs="Times New Roman"/>
        </w:rPr>
        <w:t>access to both public and home charging</w:t>
      </w:r>
      <w:r w:rsidR="00B90FBC">
        <w:rPr>
          <w:rFonts w:ascii="Times New Roman" w:hAnsi="Times New Roman" w:cs="Times New Roman"/>
        </w:rPr>
        <w:t xml:space="preserve"> is important for EV ownership</w:t>
      </w:r>
      <w:r w:rsidR="001E274B">
        <w:rPr>
          <w:rFonts w:ascii="Times New Roman" w:hAnsi="Times New Roman" w:cs="Times New Roman"/>
        </w:rPr>
        <w:t>.</w:t>
      </w:r>
      <w:r w:rsidR="002362CD" w:rsidRPr="002362CD">
        <w:rPr>
          <w:rFonts w:ascii="Times New Roman" w:hAnsi="Times New Roman" w:cs="Times New Roman"/>
        </w:rPr>
        <w:t xml:space="preserve"> </w:t>
      </w:r>
      <w:r w:rsidR="001E274B">
        <w:rPr>
          <w:rFonts w:ascii="Times New Roman" w:hAnsi="Times New Roman" w:cs="Times New Roman"/>
        </w:rPr>
        <w:t>Consumers want to</w:t>
      </w:r>
      <w:r w:rsidR="002362CD" w:rsidRPr="002362CD">
        <w:rPr>
          <w:rFonts w:ascii="Times New Roman" w:hAnsi="Times New Roman" w:cs="Times New Roman"/>
        </w:rPr>
        <w:t xml:space="preserve"> feel confident in </w:t>
      </w:r>
      <w:r w:rsidR="002362CD">
        <w:rPr>
          <w:rFonts w:ascii="Times New Roman" w:hAnsi="Times New Roman" w:cs="Times New Roman"/>
        </w:rPr>
        <w:t>adopting an EV</w:t>
      </w:r>
      <w:r w:rsidR="002362CD" w:rsidRPr="002362CD">
        <w:rPr>
          <w:rFonts w:ascii="Times New Roman" w:hAnsi="Times New Roman" w:cs="Times New Roman"/>
        </w:rPr>
        <w:t xml:space="preserve"> without fear that their driving behavior will </w:t>
      </w:r>
      <w:r w:rsidR="00A36668">
        <w:rPr>
          <w:rFonts w:ascii="Times New Roman" w:hAnsi="Times New Roman" w:cs="Times New Roman"/>
        </w:rPr>
        <w:t xml:space="preserve">need to </w:t>
      </w:r>
      <w:r w:rsidR="002362CD" w:rsidRPr="002362CD">
        <w:rPr>
          <w:rFonts w:ascii="Times New Roman" w:hAnsi="Times New Roman" w:cs="Times New Roman"/>
        </w:rPr>
        <w:t xml:space="preserve">be </w:t>
      </w:r>
      <w:r w:rsidR="00B90FBC">
        <w:rPr>
          <w:rFonts w:ascii="Times New Roman" w:hAnsi="Times New Roman" w:cs="Times New Roman"/>
        </w:rPr>
        <w:t>constrained</w:t>
      </w:r>
      <w:r w:rsidR="00B90FBC" w:rsidRPr="002362CD">
        <w:rPr>
          <w:rFonts w:ascii="Times New Roman" w:hAnsi="Times New Roman" w:cs="Times New Roman"/>
        </w:rPr>
        <w:t xml:space="preserve"> </w:t>
      </w:r>
      <w:r w:rsidR="002362CD" w:rsidRPr="002362CD">
        <w:rPr>
          <w:rFonts w:ascii="Times New Roman" w:hAnsi="Times New Roman" w:cs="Times New Roman"/>
        </w:rPr>
        <w:t xml:space="preserve">due to refueling limitations. </w:t>
      </w:r>
      <w:r w:rsidR="002362CD">
        <w:rPr>
          <w:rFonts w:ascii="Times New Roman" w:hAnsi="Times New Roman" w:cs="Times New Roman"/>
        </w:rPr>
        <w:t xml:space="preserve">Empirical studies such as </w:t>
      </w:r>
      <w:proofErr w:type="spellStart"/>
      <w:r w:rsidR="002362CD" w:rsidRPr="002362CD">
        <w:rPr>
          <w:rFonts w:ascii="Times New Roman" w:hAnsi="Times New Roman" w:cs="Times New Roman"/>
        </w:rPr>
        <w:t>Sierzchula</w:t>
      </w:r>
      <w:proofErr w:type="spellEnd"/>
      <w:r w:rsidR="002362CD" w:rsidRPr="002362CD">
        <w:rPr>
          <w:rFonts w:ascii="Times New Roman" w:hAnsi="Times New Roman" w:cs="Times New Roman"/>
        </w:rPr>
        <w:t xml:space="preserve"> et al.</w:t>
      </w:r>
      <w:r w:rsidR="002362CD">
        <w:rPr>
          <w:rFonts w:ascii="Times New Roman" w:hAnsi="Times New Roman" w:cs="Times New Roman"/>
        </w:rPr>
        <w:t xml:space="preserve"> </w:t>
      </w:r>
      <w:r w:rsidR="008C537F">
        <w:rPr>
          <w:rFonts w:ascii="Times New Roman" w:hAnsi="Times New Roman" w:cs="Times New Roman"/>
        </w:rPr>
        <w:t>(</w:t>
      </w:r>
      <w:r w:rsidR="002362CD">
        <w:rPr>
          <w:rFonts w:ascii="Times New Roman" w:hAnsi="Times New Roman" w:cs="Times New Roman"/>
        </w:rPr>
        <w:t>2014</w:t>
      </w:r>
      <w:r w:rsidR="008C537F">
        <w:rPr>
          <w:rFonts w:ascii="Times New Roman" w:hAnsi="Times New Roman" w:cs="Times New Roman"/>
        </w:rPr>
        <w:t>)</w:t>
      </w:r>
      <w:r w:rsidR="002362CD">
        <w:rPr>
          <w:rFonts w:ascii="Times New Roman" w:hAnsi="Times New Roman" w:cs="Times New Roman"/>
        </w:rPr>
        <w:t xml:space="preserve">, </w:t>
      </w:r>
      <w:r w:rsidR="002362CD" w:rsidRPr="002362CD">
        <w:rPr>
          <w:rFonts w:ascii="Times New Roman" w:hAnsi="Times New Roman" w:cs="Times New Roman"/>
        </w:rPr>
        <w:t xml:space="preserve">show that </w:t>
      </w:r>
      <w:r w:rsidR="008C537F">
        <w:rPr>
          <w:rFonts w:ascii="Times New Roman" w:hAnsi="Times New Roman" w:cs="Times New Roman"/>
        </w:rPr>
        <w:t xml:space="preserve"> the number of </w:t>
      </w:r>
      <w:r w:rsidR="002362CD" w:rsidRPr="002362CD">
        <w:rPr>
          <w:rFonts w:ascii="Times New Roman" w:hAnsi="Times New Roman" w:cs="Times New Roman"/>
        </w:rPr>
        <w:t>public charging</w:t>
      </w:r>
      <w:r w:rsidR="008C537F">
        <w:rPr>
          <w:rFonts w:ascii="Times New Roman" w:hAnsi="Times New Roman" w:cs="Times New Roman"/>
        </w:rPr>
        <w:t xml:space="preserve"> stations per capita</w:t>
      </w:r>
      <w:r w:rsidR="002362CD" w:rsidRPr="002362CD">
        <w:rPr>
          <w:rFonts w:ascii="Times New Roman" w:hAnsi="Times New Roman" w:cs="Times New Roman"/>
        </w:rPr>
        <w:t xml:space="preserve"> is </w:t>
      </w:r>
      <w:r w:rsidR="008C537F">
        <w:rPr>
          <w:rFonts w:ascii="Times New Roman" w:hAnsi="Times New Roman" w:cs="Times New Roman"/>
        </w:rPr>
        <w:t>positively correlated with</w:t>
      </w:r>
      <w:r w:rsidR="002362CD" w:rsidRPr="002362CD">
        <w:rPr>
          <w:rFonts w:ascii="Times New Roman" w:hAnsi="Times New Roman" w:cs="Times New Roman"/>
        </w:rPr>
        <w:t xml:space="preserve"> national EV market share</w:t>
      </w:r>
      <w:r w:rsidR="002362CD">
        <w:rPr>
          <w:rFonts w:ascii="Times New Roman" w:hAnsi="Times New Roman" w:cs="Times New Roman"/>
        </w:rPr>
        <w:t xml:space="preserve">. They conclude that </w:t>
      </w:r>
      <w:r w:rsidR="008C537F">
        <w:rPr>
          <w:rFonts w:ascii="Times New Roman" w:hAnsi="Times New Roman" w:cs="Times New Roman"/>
        </w:rPr>
        <w:t xml:space="preserve">investments in </w:t>
      </w:r>
      <w:r w:rsidR="002362CD">
        <w:rPr>
          <w:rFonts w:ascii="Times New Roman" w:hAnsi="Times New Roman" w:cs="Times New Roman"/>
        </w:rPr>
        <w:t xml:space="preserve">public charging infrastructure </w:t>
      </w:r>
      <w:r w:rsidR="008215F2">
        <w:rPr>
          <w:rFonts w:ascii="Times New Roman" w:hAnsi="Times New Roman" w:cs="Times New Roman"/>
        </w:rPr>
        <w:t>have</w:t>
      </w:r>
      <w:r w:rsidR="002362CD">
        <w:rPr>
          <w:rFonts w:ascii="Times New Roman" w:hAnsi="Times New Roman" w:cs="Times New Roman"/>
        </w:rPr>
        <w:t xml:space="preserve"> a</w:t>
      </w:r>
      <w:r w:rsidR="002362CD" w:rsidRPr="002362CD">
        <w:rPr>
          <w:rFonts w:ascii="Times New Roman" w:hAnsi="Times New Roman" w:cs="Times New Roman"/>
        </w:rPr>
        <w:t xml:space="preserve"> </w:t>
      </w:r>
      <w:r w:rsidR="008C537F">
        <w:rPr>
          <w:rFonts w:ascii="Times New Roman" w:hAnsi="Times New Roman" w:cs="Times New Roman"/>
        </w:rPr>
        <w:t>larger effect</w:t>
      </w:r>
      <w:r w:rsidR="002362CD" w:rsidRPr="002362CD">
        <w:rPr>
          <w:rFonts w:ascii="Times New Roman" w:hAnsi="Times New Roman" w:cs="Times New Roman"/>
        </w:rPr>
        <w:t xml:space="preserve"> on EV</w:t>
      </w:r>
      <w:r w:rsidR="008C537F">
        <w:rPr>
          <w:rFonts w:ascii="Times New Roman" w:hAnsi="Times New Roman" w:cs="Times New Roman"/>
        </w:rPr>
        <w:t xml:space="preserve"> ownership</w:t>
      </w:r>
      <w:r w:rsidR="002362CD" w:rsidRPr="002362CD">
        <w:rPr>
          <w:rFonts w:ascii="Times New Roman" w:hAnsi="Times New Roman" w:cs="Times New Roman"/>
        </w:rPr>
        <w:t xml:space="preserve"> compared </w:t>
      </w:r>
      <w:r w:rsidR="002362CD">
        <w:rPr>
          <w:rFonts w:ascii="Times New Roman" w:hAnsi="Times New Roman" w:cs="Times New Roman"/>
        </w:rPr>
        <w:t>to</w:t>
      </w:r>
      <w:r w:rsidR="002362CD" w:rsidRPr="002362CD">
        <w:rPr>
          <w:rFonts w:ascii="Times New Roman" w:hAnsi="Times New Roman" w:cs="Times New Roman"/>
        </w:rPr>
        <w:t xml:space="preserve"> financial incentives</w:t>
      </w:r>
      <w:r w:rsidR="002362CD">
        <w:rPr>
          <w:rFonts w:ascii="Times New Roman" w:hAnsi="Times New Roman" w:cs="Times New Roman"/>
        </w:rPr>
        <w:t xml:space="preserve"> such as</w:t>
      </w:r>
      <w:r w:rsidR="008C537F">
        <w:rPr>
          <w:rFonts w:ascii="Times New Roman" w:hAnsi="Times New Roman" w:cs="Times New Roman"/>
        </w:rPr>
        <w:t xml:space="preserve"> tax credits</w:t>
      </w:r>
      <w:r w:rsidR="00F71E2D">
        <w:rPr>
          <w:rFonts w:ascii="Times New Roman" w:hAnsi="Times New Roman" w:cs="Times New Roman"/>
        </w:rPr>
        <w:t xml:space="preserve">. </w:t>
      </w:r>
      <w:r w:rsidR="002E7674">
        <w:rPr>
          <w:rFonts w:ascii="Times New Roman" w:hAnsi="Times New Roman" w:cs="Times New Roman"/>
        </w:rPr>
        <w:t>The r</w:t>
      </w:r>
      <w:r w:rsidR="00F71E2D">
        <w:rPr>
          <w:rFonts w:ascii="Times New Roman" w:hAnsi="Times New Roman" w:cs="Times New Roman"/>
        </w:rPr>
        <w:t>esearchers</w:t>
      </w:r>
      <w:r w:rsidR="00F62A3C">
        <w:rPr>
          <w:rFonts w:ascii="Times New Roman" w:hAnsi="Times New Roman" w:cs="Times New Roman"/>
        </w:rPr>
        <w:t xml:space="preserve"> find that installing an additional </w:t>
      </w:r>
      <w:r w:rsidR="002C193F">
        <w:rPr>
          <w:rFonts w:ascii="Times New Roman" w:hAnsi="Times New Roman" w:cs="Times New Roman"/>
        </w:rPr>
        <w:t>charging station per 100,000 people</w:t>
      </w:r>
      <w:r w:rsidR="00D20C45">
        <w:rPr>
          <w:rFonts w:ascii="Times New Roman" w:hAnsi="Times New Roman" w:cs="Times New Roman"/>
        </w:rPr>
        <w:t xml:space="preserve"> would increase EV market share by more than </w:t>
      </w:r>
      <w:r w:rsidR="00BA4858">
        <w:rPr>
          <w:rFonts w:ascii="Times New Roman" w:hAnsi="Times New Roman" w:cs="Times New Roman"/>
        </w:rPr>
        <w:t>t</w:t>
      </w:r>
      <w:r w:rsidR="002E7674">
        <w:rPr>
          <w:rFonts w:ascii="Times New Roman" w:hAnsi="Times New Roman" w:cs="Times New Roman"/>
        </w:rPr>
        <w:t xml:space="preserve">he effect of  an </w:t>
      </w:r>
      <w:r w:rsidR="00D20C45">
        <w:rPr>
          <w:rFonts w:ascii="Times New Roman" w:hAnsi="Times New Roman" w:cs="Times New Roman"/>
        </w:rPr>
        <w:t xml:space="preserve">additional </w:t>
      </w:r>
      <w:r w:rsidR="002E7674">
        <w:rPr>
          <w:rFonts w:ascii="Times New Roman" w:hAnsi="Times New Roman" w:cs="Times New Roman"/>
        </w:rPr>
        <w:t xml:space="preserve">$1,000 </w:t>
      </w:r>
      <w:r w:rsidR="00D20C45">
        <w:rPr>
          <w:rFonts w:ascii="Times New Roman" w:hAnsi="Times New Roman" w:cs="Times New Roman"/>
        </w:rPr>
        <w:t>subsidy of $1,000</w:t>
      </w:r>
      <w:r w:rsidR="002B33AA">
        <w:rPr>
          <w:rFonts w:ascii="Times New Roman" w:hAnsi="Times New Roman" w:cs="Times New Roman"/>
        </w:rPr>
        <w:t xml:space="preserve">. </w:t>
      </w:r>
      <w:r w:rsidR="002362CD" w:rsidRPr="002362CD">
        <w:rPr>
          <w:rFonts w:ascii="Times New Roman" w:hAnsi="Times New Roman" w:cs="Times New Roman"/>
        </w:rPr>
        <w:t xml:space="preserve">Hall </w:t>
      </w:r>
      <w:r w:rsidR="002362CD">
        <w:rPr>
          <w:rFonts w:ascii="Times New Roman" w:hAnsi="Times New Roman" w:cs="Times New Roman"/>
        </w:rPr>
        <w:t xml:space="preserve">et al. (2017) </w:t>
      </w:r>
      <w:r w:rsidR="002362CD" w:rsidRPr="002362CD">
        <w:rPr>
          <w:rFonts w:ascii="Times New Roman" w:hAnsi="Times New Roman" w:cs="Times New Roman"/>
        </w:rPr>
        <w:t xml:space="preserve">find that increasing the number of </w:t>
      </w:r>
      <w:r w:rsidR="008C537F">
        <w:rPr>
          <w:rFonts w:ascii="Times New Roman" w:hAnsi="Times New Roman" w:cs="Times New Roman"/>
        </w:rPr>
        <w:t>charging stations</w:t>
      </w:r>
      <w:r w:rsidR="002362CD" w:rsidRPr="002362CD">
        <w:rPr>
          <w:rFonts w:ascii="Times New Roman" w:hAnsi="Times New Roman" w:cs="Times New Roman"/>
        </w:rPr>
        <w:t xml:space="preserve"> per capita is associated with increased </w:t>
      </w:r>
      <w:r w:rsidR="008C537F">
        <w:rPr>
          <w:rFonts w:ascii="Times New Roman" w:hAnsi="Times New Roman" w:cs="Times New Roman"/>
        </w:rPr>
        <w:t>EV ownership</w:t>
      </w:r>
      <w:r w:rsidR="002362CD" w:rsidRPr="002362CD">
        <w:rPr>
          <w:rFonts w:ascii="Times New Roman" w:hAnsi="Times New Roman" w:cs="Times New Roman"/>
        </w:rPr>
        <w:t>.</w:t>
      </w:r>
      <w:r w:rsidR="00127B29">
        <w:rPr>
          <w:rFonts w:ascii="Times New Roman" w:hAnsi="Times New Roman" w:cs="Times New Roman"/>
        </w:rPr>
        <w:t xml:space="preserve"> </w:t>
      </w:r>
    </w:p>
    <w:p w14:paraId="17008AA4" w14:textId="677AE466" w:rsidR="00AA21F8" w:rsidRPr="008712FB" w:rsidRDefault="001F6EC8" w:rsidP="00100D2A">
      <w:pPr>
        <w:pStyle w:val="Heading2"/>
        <w:jc w:val="left"/>
      </w:pPr>
      <w:bookmarkStart w:id="18" w:name="_Toc165394418"/>
      <w:bookmarkStart w:id="19" w:name="_Toc174455328"/>
      <w:r w:rsidRPr="008712FB">
        <w:t>Residential Charging Infrastructure</w:t>
      </w:r>
      <w:bookmarkEnd w:id="18"/>
      <w:bookmarkEnd w:id="19"/>
    </w:p>
    <w:p w14:paraId="205A3B78" w14:textId="74BA6A94" w:rsidR="00F6157A" w:rsidRDefault="008C537F" w:rsidP="001E274B">
      <w:pPr>
        <w:spacing w:line="480" w:lineRule="auto"/>
        <w:ind w:firstLine="720"/>
        <w:rPr>
          <w:rFonts w:ascii="Times New Roman" w:hAnsi="Times New Roman" w:cs="Times New Roman"/>
        </w:rPr>
      </w:pPr>
      <w:r>
        <w:rPr>
          <w:rFonts w:ascii="Times New Roman" w:hAnsi="Times New Roman" w:cs="Times New Roman"/>
        </w:rPr>
        <w:t xml:space="preserve">As EV ownership increases, home-based </w:t>
      </w:r>
      <w:r w:rsidR="00F6157A">
        <w:rPr>
          <w:rFonts w:ascii="Times New Roman" w:hAnsi="Times New Roman" w:cs="Times New Roman"/>
        </w:rPr>
        <w:t xml:space="preserve">charging is </w:t>
      </w:r>
      <w:r>
        <w:rPr>
          <w:rFonts w:ascii="Times New Roman" w:hAnsi="Times New Roman" w:cs="Times New Roman"/>
        </w:rPr>
        <w:t xml:space="preserve">expected </w:t>
      </w:r>
      <w:r w:rsidR="00F6157A">
        <w:rPr>
          <w:rFonts w:ascii="Times New Roman" w:hAnsi="Times New Roman" w:cs="Times New Roman"/>
        </w:rPr>
        <w:t xml:space="preserve">to decrease (Bauer et al., 2021). </w:t>
      </w:r>
      <w:r w:rsidR="001E274B">
        <w:rPr>
          <w:rFonts w:ascii="Times New Roman" w:hAnsi="Times New Roman" w:cs="Times New Roman"/>
        </w:rPr>
        <w:t>This prediction comes from the expectation that EVs will be increasingly adopte</w:t>
      </w:r>
      <w:r w:rsidR="0097142C">
        <w:rPr>
          <w:rFonts w:ascii="Times New Roman" w:hAnsi="Times New Roman" w:cs="Times New Roman"/>
        </w:rPr>
        <w:t>d</w:t>
      </w:r>
      <w:r w:rsidR="001E274B">
        <w:rPr>
          <w:rFonts w:ascii="Times New Roman" w:hAnsi="Times New Roman" w:cs="Times New Roman"/>
        </w:rPr>
        <w:t xml:space="preserve"> by people who do not live in single-family homes.</w:t>
      </w:r>
      <w:r w:rsidR="002B17F4">
        <w:rPr>
          <w:rFonts w:ascii="Times New Roman" w:hAnsi="Times New Roman" w:cs="Times New Roman"/>
        </w:rPr>
        <w:t xml:space="preserve"> Hall et</w:t>
      </w:r>
      <w:r w:rsidR="00B24C47">
        <w:rPr>
          <w:rFonts w:ascii="Times New Roman" w:hAnsi="Times New Roman" w:cs="Times New Roman"/>
        </w:rPr>
        <w:t xml:space="preserve"> al. (2017)</w:t>
      </w:r>
      <w:r w:rsidR="006D4961">
        <w:rPr>
          <w:rFonts w:ascii="Times New Roman" w:hAnsi="Times New Roman" w:cs="Times New Roman"/>
        </w:rPr>
        <w:t xml:space="preserve"> concludes </w:t>
      </w:r>
      <w:r w:rsidR="006D4961">
        <w:rPr>
          <w:rFonts w:ascii="Times New Roman" w:hAnsi="Times New Roman" w:cs="Times New Roman"/>
        </w:rPr>
        <w:lastRenderedPageBreak/>
        <w:t xml:space="preserve">that </w:t>
      </w:r>
      <w:r w:rsidR="00854C1E">
        <w:rPr>
          <w:rFonts w:ascii="Times New Roman" w:hAnsi="Times New Roman" w:cs="Times New Roman"/>
        </w:rPr>
        <w:t>lack of public charging infrastructure impacts</w:t>
      </w:r>
      <w:r w:rsidR="00D75F05">
        <w:rPr>
          <w:rFonts w:ascii="Times New Roman" w:hAnsi="Times New Roman" w:cs="Times New Roman"/>
        </w:rPr>
        <w:t xml:space="preserve"> </w:t>
      </w:r>
      <w:r w:rsidR="00181864">
        <w:rPr>
          <w:rFonts w:ascii="Times New Roman" w:hAnsi="Times New Roman" w:cs="Times New Roman"/>
        </w:rPr>
        <w:t xml:space="preserve">households’ </w:t>
      </w:r>
      <w:r w:rsidR="0097142C">
        <w:rPr>
          <w:rFonts w:ascii="Times New Roman" w:hAnsi="Times New Roman" w:cs="Times New Roman"/>
        </w:rPr>
        <w:t>ability to take long trips</w:t>
      </w:r>
      <w:r w:rsidR="00D75F05">
        <w:rPr>
          <w:rFonts w:ascii="Times New Roman" w:hAnsi="Times New Roman" w:cs="Times New Roman"/>
        </w:rPr>
        <w:t xml:space="preserve">, reducing the utility of an EV for </w:t>
      </w:r>
      <w:r w:rsidR="002E7674">
        <w:rPr>
          <w:rFonts w:ascii="Times New Roman" w:hAnsi="Times New Roman" w:cs="Times New Roman"/>
        </w:rPr>
        <w:t xml:space="preserve">some </w:t>
      </w:r>
      <w:r w:rsidR="001F652D">
        <w:rPr>
          <w:rFonts w:ascii="Times New Roman" w:hAnsi="Times New Roman" w:cs="Times New Roman"/>
        </w:rPr>
        <w:t>consumers.</w:t>
      </w:r>
    </w:p>
    <w:p w14:paraId="7E101B59" w14:textId="49BD8BC3" w:rsidR="00236E6D" w:rsidRDefault="005C10E8" w:rsidP="00100D2A">
      <w:pPr>
        <w:spacing w:line="480" w:lineRule="auto"/>
        <w:ind w:firstLine="720"/>
        <w:rPr>
          <w:rFonts w:ascii="Times New Roman" w:hAnsi="Times New Roman" w:cs="Times New Roman"/>
        </w:rPr>
      </w:pPr>
      <w:r>
        <w:rPr>
          <w:rFonts w:ascii="Times New Roman" w:hAnsi="Times New Roman" w:cs="Times New Roman"/>
        </w:rPr>
        <w:t>Based on the sample of data discussed in the data section, m</w:t>
      </w:r>
      <w:r w:rsidR="001E274B">
        <w:rPr>
          <w:rFonts w:ascii="Times New Roman" w:hAnsi="Times New Roman" w:cs="Times New Roman"/>
        </w:rPr>
        <w:t xml:space="preserve">ost </w:t>
      </w:r>
      <w:r w:rsidR="007470A4">
        <w:rPr>
          <w:rFonts w:ascii="Times New Roman" w:hAnsi="Times New Roman" w:cs="Times New Roman"/>
        </w:rPr>
        <w:t xml:space="preserve">current </w:t>
      </w:r>
      <w:r w:rsidR="001E274B">
        <w:rPr>
          <w:rFonts w:ascii="Times New Roman" w:hAnsi="Times New Roman" w:cs="Times New Roman"/>
        </w:rPr>
        <w:t>EV owners in the United States live in detached houses</w:t>
      </w:r>
      <w:r>
        <w:rPr>
          <w:rFonts w:ascii="Times New Roman" w:hAnsi="Times New Roman" w:cs="Times New Roman"/>
        </w:rPr>
        <w:t xml:space="preserve"> and have access to home-based charging</w:t>
      </w:r>
      <w:r w:rsidR="001E274B">
        <w:rPr>
          <w:rFonts w:ascii="Times New Roman" w:hAnsi="Times New Roman" w:cs="Times New Roman"/>
        </w:rPr>
        <w:t xml:space="preserve">. </w:t>
      </w:r>
      <w:r w:rsidR="007E4417">
        <w:rPr>
          <w:rFonts w:ascii="Times New Roman" w:hAnsi="Times New Roman" w:cs="Times New Roman"/>
        </w:rPr>
        <w:t>T</w:t>
      </w:r>
      <w:r w:rsidR="009D4049" w:rsidRPr="009D4049">
        <w:rPr>
          <w:rFonts w:ascii="Times New Roman" w:hAnsi="Times New Roman" w:cs="Times New Roman"/>
        </w:rPr>
        <w:t>he ratio of DC charging points per gasoline stations is relatively low in the US</w:t>
      </w:r>
      <w:r w:rsidR="009D4049">
        <w:rPr>
          <w:rFonts w:ascii="Times New Roman" w:hAnsi="Times New Roman" w:cs="Times New Roman"/>
        </w:rPr>
        <w:t xml:space="preserve"> (Funke, 2019)</w:t>
      </w:r>
      <w:r w:rsidR="009D4049" w:rsidRPr="009D4049">
        <w:rPr>
          <w:rFonts w:ascii="Times New Roman" w:hAnsi="Times New Roman" w:cs="Times New Roman"/>
        </w:rPr>
        <w:t xml:space="preserve">. One reason might be that </w:t>
      </w:r>
      <w:r w:rsidR="001F652D" w:rsidRPr="009D4049">
        <w:rPr>
          <w:rFonts w:ascii="Times New Roman" w:hAnsi="Times New Roman" w:cs="Times New Roman"/>
        </w:rPr>
        <w:t>EV</w:t>
      </w:r>
      <w:r w:rsidR="00FE60A7">
        <w:rPr>
          <w:rFonts w:ascii="Times New Roman" w:hAnsi="Times New Roman" w:cs="Times New Roman"/>
        </w:rPr>
        <w:t xml:space="preserve"> </w:t>
      </w:r>
      <w:r w:rsidR="0074235E">
        <w:rPr>
          <w:rFonts w:ascii="Times New Roman" w:hAnsi="Times New Roman" w:cs="Times New Roman"/>
        </w:rPr>
        <w:t>ownership is concentrated in certain regions</w:t>
      </w:r>
      <w:r w:rsidR="00B90FBC">
        <w:rPr>
          <w:rFonts w:ascii="Times New Roman" w:hAnsi="Times New Roman" w:cs="Times New Roman"/>
        </w:rPr>
        <w:t xml:space="preserve"> in</w:t>
      </w:r>
      <w:r w:rsidR="009D4049" w:rsidRPr="009D4049">
        <w:rPr>
          <w:rFonts w:ascii="Times New Roman" w:hAnsi="Times New Roman" w:cs="Times New Roman"/>
        </w:rPr>
        <w:t xml:space="preserve"> the US. Nicholas et al. (2019) </w:t>
      </w:r>
      <w:r w:rsidR="00100D2A" w:rsidRPr="009D4049">
        <w:rPr>
          <w:rFonts w:ascii="Times New Roman" w:hAnsi="Times New Roman" w:cs="Times New Roman"/>
        </w:rPr>
        <w:t>finds</w:t>
      </w:r>
      <w:r w:rsidR="009D4049" w:rsidRPr="009D4049">
        <w:rPr>
          <w:rFonts w:ascii="Times New Roman" w:hAnsi="Times New Roman" w:cs="Times New Roman"/>
        </w:rPr>
        <w:t xml:space="preserve"> that </w:t>
      </w:r>
      <w:r w:rsidR="00DF0D2A">
        <w:rPr>
          <w:rFonts w:ascii="Times New Roman" w:hAnsi="Times New Roman" w:cs="Times New Roman"/>
        </w:rPr>
        <w:t>charging station density is highly concentrated and</w:t>
      </w:r>
      <w:r w:rsidR="009D4049" w:rsidRPr="009D4049">
        <w:rPr>
          <w:rFonts w:ascii="Times New Roman" w:hAnsi="Times New Roman" w:cs="Times New Roman"/>
        </w:rPr>
        <w:t xml:space="preserve"> uneven across the country.</w:t>
      </w:r>
    </w:p>
    <w:p w14:paraId="681E1044" w14:textId="77777777" w:rsidR="00940E4C" w:rsidRDefault="00940E4C" w:rsidP="00100D2A">
      <w:pPr>
        <w:spacing w:line="480" w:lineRule="auto"/>
        <w:ind w:firstLine="720"/>
        <w:rPr>
          <w:rFonts w:ascii="Times New Roman" w:hAnsi="Times New Roman" w:cs="Times New Roman"/>
        </w:rPr>
      </w:pPr>
    </w:p>
    <w:p w14:paraId="4371A99C" w14:textId="77777777" w:rsidR="00940E4C" w:rsidRDefault="00940E4C" w:rsidP="00100D2A">
      <w:pPr>
        <w:spacing w:line="480" w:lineRule="auto"/>
        <w:ind w:firstLine="720"/>
        <w:rPr>
          <w:rFonts w:ascii="Times New Roman" w:hAnsi="Times New Roman" w:cs="Times New Roman"/>
        </w:rPr>
      </w:pPr>
    </w:p>
    <w:p w14:paraId="2E70876D" w14:textId="77777777" w:rsidR="00940E4C" w:rsidRDefault="00940E4C" w:rsidP="00100D2A">
      <w:pPr>
        <w:spacing w:line="480" w:lineRule="auto"/>
        <w:ind w:firstLine="720"/>
        <w:rPr>
          <w:rFonts w:ascii="Times New Roman" w:hAnsi="Times New Roman" w:cs="Times New Roman"/>
        </w:rPr>
      </w:pPr>
    </w:p>
    <w:p w14:paraId="4BA386FC" w14:textId="77777777" w:rsidR="001F652D" w:rsidRDefault="001F652D" w:rsidP="00100D2A">
      <w:pPr>
        <w:spacing w:line="480" w:lineRule="auto"/>
        <w:ind w:firstLine="720"/>
        <w:rPr>
          <w:rFonts w:ascii="Times New Roman" w:hAnsi="Times New Roman" w:cs="Times New Roman"/>
        </w:rPr>
      </w:pPr>
    </w:p>
    <w:p w14:paraId="15335CC1" w14:textId="77777777" w:rsidR="001F652D" w:rsidRDefault="001F652D" w:rsidP="00100D2A">
      <w:pPr>
        <w:spacing w:line="480" w:lineRule="auto"/>
        <w:ind w:firstLine="720"/>
        <w:rPr>
          <w:rFonts w:ascii="Times New Roman" w:hAnsi="Times New Roman" w:cs="Times New Roman"/>
        </w:rPr>
      </w:pPr>
    </w:p>
    <w:p w14:paraId="5D2979DC" w14:textId="77777777" w:rsidR="001F652D" w:rsidRDefault="001F652D" w:rsidP="00100D2A">
      <w:pPr>
        <w:spacing w:line="480" w:lineRule="auto"/>
        <w:ind w:firstLine="720"/>
        <w:rPr>
          <w:rFonts w:ascii="Times New Roman" w:hAnsi="Times New Roman" w:cs="Times New Roman"/>
        </w:rPr>
      </w:pPr>
    </w:p>
    <w:p w14:paraId="54A2A286" w14:textId="77777777" w:rsidR="001F652D" w:rsidRDefault="001F652D" w:rsidP="00100D2A">
      <w:pPr>
        <w:spacing w:line="480" w:lineRule="auto"/>
        <w:ind w:firstLine="720"/>
        <w:rPr>
          <w:rFonts w:ascii="Times New Roman" w:hAnsi="Times New Roman" w:cs="Times New Roman"/>
        </w:rPr>
      </w:pPr>
    </w:p>
    <w:p w14:paraId="40E3B7E1" w14:textId="77777777" w:rsidR="001F652D" w:rsidRDefault="001F652D" w:rsidP="00100D2A">
      <w:pPr>
        <w:spacing w:line="480" w:lineRule="auto"/>
        <w:ind w:firstLine="720"/>
        <w:rPr>
          <w:rFonts w:ascii="Times New Roman" w:hAnsi="Times New Roman" w:cs="Times New Roman"/>
        </w:rPr>
      </w:pPr>
    </w:p>
    <w:p w14:paraId="7EA7595D" w14:textId="77777777" w:rsidR="001F652D" w:rsidRDefault="001F652D" w:rsidP="00100D2A">
      <w:pPr>
        <w:spacing w:line="480" w:lineRule="auto"/>
        <w:ind w:firstLine="720"/>
        <w:rPr>
          <w:rFonts w:ascii="Times New Roman" w:hAnsi="Times New Roman" w:cs="Times New Roman"/>
        </w:rPr>
      </w:pPr>
    </w:p>
    <w:p w14:paraId="5A21DD8D" w14:textId="77777777" w:rsidR="001F652D" w:rsidRDefault="001F652D" w:rsidP="00100D2A">
      <w:pPr>
        <w:spacing w:line="480" w:lineRule="auto"/>
        <w:ind w:firstLine="720"/>
        <w:rPr>
          <w:rFonts w:ascii="Times New Roman" w:hAnsi="Times New Roman" w:cs="Times New Roman"/>
        </w:rPr>
      </w:pPr>
    </w:p>
    <w:p w14:paraId="188E64A9" w14:textId="77777777" w:rsidR="00940E4C" w:rsidRDefault="00940E4C" w:rsidP="00100D2A">
      <w:pPr>
        <w:spacing w:line="480" w:lineRule="auto"/>
        <w:ind w:firstLine="720"/>
        <w:rPr>
          <w:rFonts w:ascii="Times New Roman" w:hAnsi="Times New Roman" w:cs="Times New Roman"/>
        </w:rPr>
      </w:pPr>
    </w:p>
    <w:p w14:paraId="10A7CE90" w14:textId="77777777" w:rsidR="00940E4C" w:rsidRDefault="00940E4C" w:rsidP="00100D2A">
      <w:pPr>
        <w:spacing w:line="480" w:lineRule="auto"/>
        <w:ind w:firstLine="720"/>
        <w:rPr>
          <w:rFonts w:ascii="Times New Roman" w:hAnsi="Times New Roman" w:cs="Times New Roman"/>
        </w:rPr>
      </w:pPr>
    </w:p>
    <w:p w14:paraId="09ED1495" w14:textId="77777777" w:rsidR="00940E4C" w:rsidRDefault="00940E4C" w:rsidP="00100D2A">
      <w:pPr>
        <w:spacing w:line="480" w:lineRule="auto"/>
        <w:ind w:firstLine="720"/>
        <w:rPr>
          <w:rFonts w:ascii="Times New Roman" w:hAnsi="Times New Roman" w:cs="Times New Roman"/>
        </w:rPr>
      </w:pPr>
    </w:p>
    <w:p w14:paraId="12663D39" w14:textId="77777777" w:rsidR="00ED7808" w:rsidRDefault="00ED7808" w:rsidP="00C67197">
      <w:pPr>
        <w:pStyle w:val="Heading1"/>
      </w:pPr>
      <w:bookmarkStart w:id="20" w:name="_Toc165394420"/>
    </w:p>
    <w:p w14:paraId="33CD2742" w14:textId="28CE6E32" w:rsidR="008712FB" w:rsidRPr="008712FB" w:rsidRDefault="00210BC5" w:rsidP="00C67197">
      <w:pPr>
        <w:pStyle w:val="Heading1"/>
      </w:pPr>
      <w:bookmarkStart w:id="21" w:name="_Toc174455329"/>
      <w:r>
        <w:lastRenderedPageBreak/>
        <w:t>Chapter Three</w:t>
      </w:r>
      <w:bookmarkEnd w:id="21"/>
    </w:p>
    <w:p w14:paraId="212E422C" w14:textId="1E32AF74" w:rsidR="004F08CE" w:rsidRPr="008712FB" w:rsidRDefault="00210BC5" w:rsidP="00C67197">
      <w:pPr>
        <w:pStyle w:val="Heading1"/>
      </w:pPr>
      <w:bookmarkStart w:id="22" w:name="_Toc174455330"/>
      <w:bookmarkEnd w:id="20"/>
      <w:r>
        <w:t>Conceptual Framework</w:t>
      </w:r>
      <w:bookmarkEnd w:id="22"/>
    </w:p>
    <w:p w14:paraId="5273F730" w14:textId="3816671E" w:rsidR="00100D2A" w:rsidRDefault="00FF5945" w:rsidP="00E75827">
      <w:pPr>
        <w:numPr>
          <w:ilvl w:val="12"/>
          <w:numId w:val="0"/>
        </w:numPr>
        <w:spacing w:line="480" w:lineRule="auto"/>
        <w:ind w:firstLine="720"/>
        <w:rPr>
          <w:rFonts w:ascii="Times New Roman" w:hAnsi="Times New Roman" w:cs="Times New Roman"/>
        </w:rPr>
      </w:pPr>
      <w:r w:rsidRPr="00FF5945">
        <w:rPr>
          <w:rFonts w:ascii="Times New Roman" w:hAnsi="Times New Roman" w:cs="Times New Roman"/>
        </w:rPr>
        <w:t xml:space="preserve">This study is an </w:t>
      </w:r>
      <w:r w:rsidR="00BA4798">
        <w:rPr>
          <w:rFonts w:ascii="Times New Roman" w:hAnsi="Times New Roman" w:cs="Times New Roman"/>
        </w:rPr>
        <w:t>analysis of</w:t>
      </w:r>
      <w:r w:rsidRPr="00FF5945">
        <w:rPr>
          <w:rFonts w:ascii="Times New Roman" w:hAnsi="Times New Roman" w:cs="Times New Roman"/>
        </w:rPr>
        <w:t xml:space="preserve"> </w:t>
      </w:r>
      <w:r w:rsidR="00BA4798">
        <w:rPr>
          <w:rFonts w:ascii="Times New Roman" w:hAnsi="Times New Roman" w:cs="Times New Roman"/>
        </w:rPr>
        <w:t xml:space="preserve">preferences </w:t>
      </w:r>
      <w:r w:rsidRPr="00FF5945">
        <w:rPr>
          <w:rFonts w:ascii="Times New Roman" w:hAnsi="Times New Roman" w:cs="Times New Roman"/>
        </w:rPr>
        <w:t>of people who lack home</w:t>
      </w:r>
      <w:r w:rsidR="004D7D9A">
        <w:rPr>
          <w:rFonts w:ascii="Times New Roman" w:hAnsi="Times New Roman" w:cs="Times New Roman"/>
        </w:rPr>
        <w:t>-</w:t>
      </w:r>
      <w:r w:rsidRPr="00FF5945">
        <w:rPr>
          <w:rFonts w:ascii="Times New Roman" w:hAnsi="Times New Roman" w:cs="Times New Roman"/>
        </w:rPr>
        <w:t xml:space="preserve">based charging capabilities, or garage orphans. We seek to quantify </w:t>
      </w:r>
      <w:r w:rsidR="007C36B0">
        <w:rPr>
          <w:rFonts w:ascii="Times New Roman" w:hAnsi="Times New Roman" w:cs="Times New Roman"/>
        </w:rPr>
        <w:t>consumer</w:t>
      </w:r>
      <w:r w:rsidR="007C36B0" w:rsidRPr="00FF5945">
        <w:rPr>
          <w:rFonts w:ascii="Times New Roman" w:hAnsi="Times New Roman" w:cs="Times New Roman"/>
        </w:rPr>
        <w:t xml:space="preserve"> </w:t>
      </w:r>
      <w:r w:rsidRPr="00FF5945">
        <w:rPr>
          <w:rFonts w:ascii="Times New Roman" w:hAnsi="Times New Roman" w:cs="Times New Roman"/>
        </w:rPr>
        <w:t>willingness to pay (WTP) for home</w:t>
      </w:r>
      <w:r w:rsidR="004D7D9A">
        <w:rPr>
          <w:rFonts w:ascii="Times New Roman" w:hAnsi="Times New Roman" w:cs="Times New Roman"/>
        </w:rPr>
        <w:t>-</w:t>
      </w:r>
      <w:r w:rsidRPr="00FF5945">
        <w:rPr>
          <w:rFonts w:ascii="Times New Roman" w:hAnsi="Times New Roman" w:cs="Times New Roman"/>
        </w:rPr>
        <w:t xml:space="preserve">based </w:t>
      </w:r>
      <w:r w:rsidR="007C36B0">
        <w:rPr>
          <w:rFonts w:ascii="Times New Roman" w:hAnsi="Times New Roman" w:cs="Times New Roman"/>
        </w:rPr>
        <w:t xml:space="preserve">EV </w:t>
      </w:r>
      <w:r w:rsidRPr="00FF5945">
        <w:rPr>
          <w:rFonts w:ascii="Times New Roman" w:hAnsi="Times New Roman" w:cs="Times New Roman"/>
        </w:rPr>
        <w:t>charging</w:t>
      </w:r>
      <w:r w:rsidR="00100D2A">
        <w:rPr>
          <w:rFonts w:ascii="Times New Roman" w:hAnsi="Times New Roman" w:cs="Times New Roman"/>
        </w:rPr>
        <w:t>. We</w:t>
      </w:r>
      <w:r w:rsidRPr="00FF5945">
        <w:rPr>
          <w:rFonts w:ascii="Times New Roman" w:hAnsi="Times New Roman" w:cs="Times New Roman"/>
        </w:rPr>
        <w:t xml:space="preserve"> report </w:t>
      </w:r>
      <w:r w:rsidR="00100D2A">
        <w:rPr>
          <w:rFonts w:ascii="Times New Roman" w:hAnsi="Times New Roman" w:cs="Times New Roman"/>
        </w:rPr>
        <w:t xml:space="preserve">our findings in </w:t>
      </w:r>
      <w:r w:rsidRPr="00FF5945">
        <w:rPr>
          <w:rFonts w:ascii="Times New Roman" w:hAnsi="Times New Roman" w:cs="Times New Roman"/>
        </w:rPr>
        <w:t>both units of money and equivalent foregone convivence, assuming the value of time. WTP for home</w:t>
      </w:r>
      <w:r w:rsidR="004D7D9A">
        <w:rPr>
          <w:rFonts w:ascii="Times New Roman" w:hAnsi="Times New Roman" w:cs="Times New Roman"/>
        </w:rPr>
        <w:t>-</w:t>
      </w:r>
      <w:r w:rsidRPr="00FF5945">
        <w:rPr>
          <w:rFonts w:ascii="Times New Roman" w:hAnsi="Times New Roman" w:cs="Times New Roman"/>
        </w:rPr>
        <w:t xml:space="preserve">based charging infrastructure (HBCI) is an important calculation for policymakers, city planners, housing developers, charging-infrastructure manufacturers, and alternative fuel stations developers. WTP for HBCI reflects the maximum amount of money a consumer would spend to obtain access to HBCI. The WTP for HBCI </w:t>
      </w:r>
      <w:r w:rsidR="007C36B0">
        <w:rPr>
          <w:rFonts w:ascii="Times New Roman" w:hAnsi="Times New Roman" w:cs="Times New Roman"/>
        </w:rPr>
        <w:t>for</w:t>
      </w:r>
      <w:r w:rsidR="007C36B0" w:rsidRPr="00FF5945">
        <w:rPr>
          <w:rFonts w:ascii="Times New Roman" w:hAnsi="Times New Roman" w:cs="Times New Roman"/>
        </w:rPr>
        <w:t xml:space="preserve"> </w:t>
      </w:r>
      <w:r w:rsidRPr="00FF5945">
        <w:rPr>
          <w:rFonts w:ascii="Times New Roman" w:hAnsi="Times New Roman" w:cs="Times New Roman"/>
        </w:rPr>
        <w:t xml:space="preserve">EV owners can be inferred through the increased consumption of EVs when consumers are suddenly given access to HBCI. This is reflected visually in Figure 1 as a rightward shift in the demand curve for EVs. There are two demand curves, D0, representing the demand for EVs </w:t>
      </w:r>
      <w:r w:rsidR="007C36B0">
        <w:rPr>
          <w:rFonts w:ascii="Times New Roman" w:hAnsi="Times New Roman" w:cs="Times New Roman"/>
        </w:rPr>
        <w:t xml:space="preserve">for </w:t>
      </w:r>
      <w:r w:rsidRPr="00FF5945">
        <w:rPr>
          <w:rFonts w:ascii="Times New Roman" w:hAnsi="Times New Roman" w:cs="Times New Roman"/>
        </w:rPr>
        <w:t xml:space="preserve">households without access to HBCI, and D1 representing the demand for EVs </w:t>
      </w:r>
      <w:r w:rsidR="007C36B0">
        <w:rPr>
          <w:rFonts w:ascii="Times New Roman" w:hAnsi="Times New Roman" w:cs="Times New Roman"/>
        </w:rPr>
        <w:t>for</w:t>
      </w:r>
      <w:r w:rsidRPr="00FF5945">
        <w:rPr>
          <w:rFonts w:ascii="Times New Roman" w:hAnsi="Times New Roman" w:cs="Times New Roman"/>
        </w:rPr>
        <w:t xml:space="preserve"> households with access to HBCI. For simplicity and tractability, we assume a constant supply of EVs. </w:t>
      </w:r>
      <w:r w:rsidR="00100D2A">
        <w:rPr>
          <w:rFonts w:ascii="Times New Roman" w:hAnsi="Times New Roman" w:cs="Times New Roman"/>
        </w:rPr>
        <w:t xml:space="preserve">We assign a slope to the demand curves in Figure 1 by </w:t>
      </w:r>
      <w:r w:rsidRPr="00FF5945">
        <w:rPr>
          <w:rFonts w:ascii="Times New Roman" w:hAnsi="Times New Roman" w:cs="Times New Roman"/>
        </w:rPr>
        <w:t>assum</w:t>
      </w:r>
      <w:r w:rsidR="00100D2A">
        <w:rPr>
          <w:rFonts w:ascii="Times New Roman" w:hAnsi="Times New Roman" w:cs="Times New Roman"/>
        </w:rPr>
        <w:t>ing</w:t>
      </w:r>
      <w:r w:rsidRPr="00FF5945">
        <w:rPr>
          <w:rFonts w:ascii="Times New Roman" w:hAnsi="Times New Roman" w:cs="Times New Roman"/>
        </w:rPr>
        <w:t xml:space="preserve"> a constant elasticity of demand for the price of EVs. </w:t>
      </w:r>
      <w:r w:rsidR="00C81B84">
        <w:rPr>
          <w:rFonts w:ascii="Times New Roman" w:hAnsi="Times New Roman" w:cs="Times New Roman"/>
        </w:rPr>
        <w:t>The p</w:t>
      </w:r>
      <w:r w:rsidRPr="00FF5945">
        <w:rPr>
          <w:rFonts w:ascii="Times New Roman" w:hAnsi="Times New Roman" w:cs="Times New Roman"/>
        </w:rPr>
        <w:t>rice elasticity of demand</w:t>
      </w:r>
      <w:r w:rsidR="00C81B84">
        <w:rPr>
          <w:rFonts w:ascii="Times New Roman" w:hAnsi="Times New Roman" w:cs="Times New Roman"/>
        </w:rPr>
        <w:t xml:space="preserve"> for EVs</w:t>
      </w:r>
      <w:r w:rsidRPr="00FF5945">
        <w:rPr>
          <w:rFonts w:ascii="Times New Roman" w:hAnsi="Times New Roman" w:cs="Times New Roman"/>
        </w:rPr>
        <w:t xml:space="preserve"> measures </w:t>
      </w:r>
      <w:r w:rsidR="00C81B84">
        <w:rPr>
          <w:rFonts w:ascii="Times New Roman" w:hAnsi="Times New Roman" w:cs="Times New Roman"/>
        </w:rPr>
        <w:t>how</w:t>
      </w:r>
      <w:r w:rsidRPr="00FF5945">
        <w:rPr>
          <w:rFonts w:ascii="Times New Roman" w:hAnsi="Times New Roman" w:cs="Times New Roman"/>
        </w:rPr>
        <w:t xml:space="preserve"> quantity demanded for EVs change</w:t>
      </w:r>
      <w:r w:rsidR="00C81B84">
        <w:rPr>
          <w:rFonts w:ascii="Times New Roman" w:hAnsi="Times New Roman" w:cs="Times New Roman"/>
        </w:rPr>
        <w:t>s</w:t>
      </w:r>
      <w:r w:rsidRPr="00FF5945">
        <w:rPr>
          <w:rFonts w:ascii="Times New Roman" w:hAnsi="Times New Roman" w:cs="Times New Roman"/>
        </w:rPr>
        <w:t xml:space="preserve"> in</w:t>
      </w:r>
      <w:r w:rsidR="00C81B84">
        <w:rPr>
          <w:rFonts w:ascii="Times New Roman" w:hAnsi="Times New Roman" w:cs="Times New Roman"/>
        </w:rPr>
        <w:t xml:space="preserve"> response to</w:t>
      </w:r>
      <w:r w:rsidRPr="00FF5945">
        <w:rPr>
          <w:rFonts w:ascii="Times New Roman" w:hAnsi="Times New Roman" w:cs="Times New Roman"/>
        </w:rPr>
        <w:t xml:space="preserve"> </w:t>
      </w:r>
      <w:r w:rsidR="00C81B84">
        <w:rPr>
          <w:rFonts w:ascii="Times New Roman" w:hAnsi="Times New Roman" w:cs="Times New Roman"/>
        </w:rPr>
        <w:t xml:space="preserve">a one-percent </w:t>
      </w:r>
      <w:r w:rsidR="00281244">
        <w:rPr>
          <w:rFonts w:ascii="Times New Roman" w:hAnsi="Times New Roman" w:cs="Times New Roman"/>
        </w:rPr>
        <w:t>increase</w:t>
      </w:r>
      <w:r w:rsidR="00C81B84">
        <w:rPr>
          <w:rFonts w:ascii="Times New Roman" w:hAnsi="Times New Roman" w:cs="Times New Roman"/>
        </w:rPr>
        <w:t xml:space="preserve"> in the </w:t>
      </w:r>
      <w:r w:rsidRPr="00FF5945">
        <w:rPr>
          <w:rFonts w:ascii="Times New Roman" w:hAnsi="Times New Roman" w:cs="Times New Roman"/>
        </w:rPr>
        <w:t>price</w:t>
      </w:r>
      <w:r w:rsidR="00C81B84">
        <w:rPr>
          <w:rFonts w:ascii="Times New Roman" w:hAnsi="Times New Roman" w:cs="Times New Roman"/>
        </w:rPr>
        <w:t xml:space="preserve"> of EVs</w:t>
      </w:r>
      <w:r w:rsidRPr="00FF5945">
        <w:rPr>
          <w:rFonts w:ascii="Times New Roman" w:hAnsi="Times New Roman" w:cs="Times New Roman"/>
        </w:rPr>
        <w:t xml:space="preserve">. While this assumption oversimplifies consumer behavior, it allows us to </w:t>
      </w:r>
      <w:r w:rsidR="007C36B0">
        <w:rPr>
          <w:rFonts w:ascii="Times New Roman" w:hAnsi="Times New Roman" w:cs="Times New Roman"/>
        </w:rPr>
        <w:t>estimate</w:t>
      </w:r>
      <w:r w:rsidRPr="00FF5945">
        <w:rPr>
          <w:rFonts w:ascii="Times New Roman" w:hAnsi="Times New Roman" w:cs="Times New Roman"/>
        </w:rPr>
        <w:t xml:space="preserve"> </w:t>
      </w:r>
      <w:r w:rsidR="007C36B0">
        <w:rPr>
          <w:rFonts w:ascii="Times New Roman" w:hAnsi="Times New Roman" w:cs="Times New Roman"/>
        </w:rPr>
        <w:t>WTP</w:t>
      </w:r>
      <w:r w:rsidRPr="00FF5945">
        <w:rPr>
          <w:rFonts w:ascii="Times New Roman" w:hAnsi="Times New Roman" w:cs="Times New Roman"/>
        </w:rPr>
        <w:t xml:space="preserve"> for home</w:t>
      </w:r>
      <w:r w:rsidR="004D7D9A">
        <w:rPr>
          <w:rFonts w:ascii="Times New Roman" w:hAnsi="Times New Roman" w:cs="Times New Roman"/>
        </w:rPr>
        <w:t>-</w:t>
      </w:r>
      <w:r w:rsidRPr="00FF5945">
        <w:rPr>
          <w:rFonts w:ascii="Times New Roman" w:hAnsi="Times New Roman" w:cs="Times New Roman"/>
        </w:rPr>
        <w:t xml:space="preserve">based </w:t>
      </w:r>
      <w:r w:rsidR="007C36B0">
        <w:rPr>
          <w:rFonts w:ascii="Times New Roman" w:hAnsi="Times New Roman" w:cs="Times New Roman"/>
        </w:rPr>
        <w:t xml:space="preserve">EV </w:t>
      </w:r>
      <w:r w:rsidRPr="00FF5945">
        <w:rPr>
          <w:rFonts w:ascii="Times New Roman" w:hAnsi="Times New Roman" w:cs="Times New Roman"/>
        </w:rPr>
        <w:t xml:space="preserve">charging. We will not use time-series data, so it is safe to assume both the price elasticity of demand and the supply of EVs are constant during our experiment. Our evaluation lies not on the demand curves for EVs themselves, instead we focus on the difference in the quantity demanded for EVs </w:t>
      </w:r>
      <w:r w:rsidR="007C36B0">
        <w:rPr>
          <w:rFonts w:ascii="Times New Roman" w:hAnsi="Times New Roman" w:cs="Times New Roman"/>
        </w:rPr>
        <w:t xml:space="preserve">for </w:t>
      </w:r>
      <w:r w:rsidRPr="00FF5945">
        <w:rPr>
          <w:rFonts w:ascii="Times New Roman" w:hAnsi="Times New Roman" w:cs="Times New Roman"/>
        </w:rPr>
        <w:t xml:space="preserve">households with </w:t>
      </w:r>
      <w:r w:rsidRPr="00FF5945">
        <w:rPr>
          <w:rFonts w:ascii="Times New Roman" w:hAnsi="Times New Roman" w:cs="Times New Roman"/>
        </w:rPr>
        <w:lastRenderedPageBreak/>
        <w:t xml:space="preserve">and without HBCI. In Figure 1 this is represented by the horizontal distance (Q1 - Q0). </w:t>
      </w:r>
      <w:r w:rsidR="009A214E">
        <w:rPr>
          <w:rFonts w:ascii="Times New Roman" w:hAnsi="Times New Roman" w:cs="Times New Roman"/>
        </w:rPr>
        <w:t>The v</w:t>
      </w:r>
      <w:r w:rsidRPr="00FF5945">
        <w:rPr>
          <w:rFonts w:ascii="Times New Roman" w:hAnsi="Times New Roman" w:cs="Times New Roman"/>
        </w:rPr>
        <w:t xml:space="preserve">ertical distance between the demand curves D0 and D1 </w:t>
      </w:r>
      <w:r w:rsidR="009A214E" w:rsidRPr="00FF5945">
        <w:rPr>
          <w:rFonts w:ascii="Times New Roman" w:hAnsi="Times New Roman" w:cs="Times New Roman"/>
        </w:rPr>
        <w:t>represent</w:t>
      </w:r>
      <w:r w:rsidR="009A214E">
        <w:rPr>
          <w:rFonts w:ascii="Times New Roman" w:hAnsi="Times New Roman" w:cs="Times New Roman"/>
        </w:rPr>
        <w:t>s</w:t>
      </w:r>
      <w:r w:rsidRPr="00FF5945">
        <w:rPr>
          <w:rFonts w:ascii="Times New Roman" w:hAnsi="Times New Roman" w:cs="Times New Roman"/>
        </w:rPr>
        <w:t xml:space="preserve"> the WTP for</w:t>
      </w:r>
      <w:r w:rsidR="009A214E">
        <w:rPr>
          <w:rFonts w:ascii="Times New Roman" w:hAnsi="Times New Roman" w:cs="Times New Roman"/>
        </w:rPr>
        <w:t xml:space="preserve"> the attribute</w:t>
      </w:r>
      <w:r w:rsidRPr="00FF5945">
        <w:rPr>
          <w:rFonts w:ascii="Times New Roman" w:hAnsi="Times New Roman" w:cs="Times New Roman"/>
        </w:rPr>
        <w:t xml:space="preserve"> </w:t>
      </w:r>
      <w:r w:rsidR="009A214E">
        <w:rPr>
          <w:rFonts w:ascii="Times New Roman" w:hAnsi="Times New Roman" w:cs="Times New Roman"/>
        </w:rPr>
        <w:t>HBCI</w:t>
      </w:r>
      <w:r w:rsidRPr="00FF5945">
        <w:rPr>
          <w:rFonts w:ascii="Times New Roman" w:hAnsi="Times New Roman" w:cs="Times New Roman"/>
        </w:rPr>
        <w:t xml:space="preserve">. </w:t>
      </w:r>
      <w:r w:rsidR="00F35CC0">
        <w:rPr>
          <w:rFonts w:ascii="Times New Roman" w:hAnsi="Times New Roman" w:cs="Times New Roman"/>
        </w:rPr>
        <w:t>T</w:t>
      </w:r>
      <w:r w:rsidRPr="00FF5945">
        <w:rPr>
          <w:rFonts w:ascii="Times New Roman" w:hAnsi="Times New Roman" w:cs="Times New Roman"/>
        </w:rPr>
        <w:t xml:space="preserve">he value of </w:t>
      </w:r>
      <w:r w:rsidR="00F35CC0">
        <w:rPr>
          <w:rFonts w:ascii="Times New Roman" w:hAnsi="Times New Roman" w:cs="Times New Roman"/>
        </w:rPr>
        <w:t>HBCI</w:t>
      </w:r>
      <w:r w:rsidRPr="00FF5945">
        <w:rPr>
          <w:rFonts w:ascii="Times New Roman" w:hAnsi="Times New Roman" w:cs="Times New Roman"/>
        </w:rPr>
        <w:t xml:space="preserve"> to EV adoption</w:t>
      </w:r>
      <w:r w:rsidR="00F35CC0">
        <w:rPr>
          <w:rFonts w:ascii="Times New Roman" w:hAnsi="Times New Roman" w:cs="Times New Roman"/>
        </w:rPr>
        <w:t xml:space="preserve"> is </w:t>
      </w:r>
      <w:r w:rsidR="00100D2A">
        <w:rPr>
          <w:rFonts w:ascii="Times New Roman" w:hAnsi="Times New Roman" w:cs="Times New Roman"/>
        </w:rPr>
        <w:t xml:space="preserve">interpreted as </w:t>
      </w:r>
      <w:r w:rsidR="00F35CC0">
        <w:rPr>
          <w:rFonts w:ascii="Times New Roman" w:hAnsi="Times New Roman" w:cs="Times New Roman"/>
        </w:rPr>
        <w:t>t</w:t>
      </w:r>
      <w:r w:rsidR="00F35CC0" w:rsidRPr="00F35CC0">
        <w:rPr>
          <w:rFonts w:ascii="Times New Roman" w:hAnsi="Times New Roman" w:cs="Times New Roman"/>
        </w:rPr>
        <w:t xml:space="preserve">he additional amount that </w:t>
      </w:r>
      <w:r w:rsidR="00B946EE">
        <w:rPr>
          <w:rFonts w:ascii="Times New Roman" w:hAnsi="Times New Roman" w:cs="Times New Roman"/>
        </w:rPr>
        <w:t>consumers</w:t>
      </w:r>
      <w:r w:rsidR="00F35CC0" w:rsidRPr="00F35CC0">
        <w:rPr>
          <w:rFonts w:ascii="Times New Roman" w:hAnsi="Times New Roman" w:cs="Times New Roman"/>
        </w:rPr>
        <w:t xml:space="preserve"> with access to HBCI </w:t>
      </w:r>
      <w:r w:rsidR="00B946EE">
        <w:rPr>
          <w:rFonts w:ascii="Times New Roman" w:hAnsi="Times New Roman" w:cs="Times New Roman"/>
        </w:rPr>
        <w:t>would be</w:t>
      </w:r>
      <w:r w:rsidR="00F35CC0" w:rsidRPr="00F35CC0">
        <w:rPr>
          <w:rFonts w:ascii="Times New Roman" w:hAnsi="Times New Roman" w:cs="Times New Roman"/>
        </w:rPr>
        <w:t xml:space="preserve"> WTP for an EV</w:t>
      </w:r>
      <w:r w:rsidR="00693B10">
        <w:rPr>
          <w:rFonts w:ascii="Times New Roman" w:hAnsi="Times New Roman" w:cs="Times New Roman"/>
        </w:rPr>
        <w:t xml:space="preserve"> </w:t>
      </w:r>
      <w:r w:rsidR="00100D2A">
        <w:rPr>
          <w:rFonts w:ascii="Times New Roman" w:hAnsi="Times New Roman" w:cs="Times New Roman"/>
        </w:rPr>
        <w:t>compared to</w:t>
      </w:r>
      <w:r w:rsidR="00693B10">
        <w:rPr>
          <w:rFonts w:ascii="Times New Roman" w:hAnsi="Times New Roman" w:cs="Times New Roman"/>
        </w:rPr>
        <w:t xml:space="preserve"> garage orphans</w:t>
      </w:r>
      <w:r w:rsidRPr="00FF5945">
        <w:rPr>
          <w:rFonts w:ascii="Times New Roman" w:hAnsi="Times New Roman" w:cs="Times New Roman"/>
        </w:rPr>
        <w:t>. Further, w</w:t>
      </w:r>
      <w:r w:rsidR="00693B10">
        <w:rPr>
          <w:rFonts w:ascii="Times New Roman" w:hAnsi="Times New Roman" w:cs="Times New Roman"/>
        </w:rPr>
        <w:t>e</w:t>
      </w:r>
      <w:r w:rsidRPr="00FF5945">
        <w:rPr>
          <w:rFonts w:ascii="Times New Roman" w:hAnsi="Times New Roman" w:cs="Times New Roman"/>
        </w:rPr>
        <w:t xml:space="preserve"> assum</w:t>
      </w:r>
      <w:r w:rsidR="00693B10">
        <w:rPr>
          <w:rFonts w:ascii="Times New Roman" w:hAnsi="Times New Roman" w:cs="Times New Roman"/>
        </w:rPr>
        <w:t>e</w:t>
      </w:r>
      <w:r w:rsidRPr="00FF5945">
        <w:rPr>
          <w:rFonts w:ascii="Times New Roman" w:hAnsi="Times New Roman" w:cs="Times New Roman"/>
        </w:rPr>
        <w:t xml:space="preserve"> the value of a respondent’s time</w:t>
      </w:r>
      <w:r w:rsidR="00686AB2">
        <w:rPr>
          <w:rFonts w:ascii="Times New Roman" w:hAnsi="Times New Roman" w:cs="Times New Roman"/>
        </w:rPr>
        <w:t xml:space="preserve"> </w:t>
      </w:r>
      <w:r w:rsidR="00693B10">
        <w:rPr>
          <w:rFonts w:ascii="Times New Roman" w:hAnsi="Times New Roman" w:cs="Times New Roman"/>
        </w:rPr>
        <w:t>and</w:t>
      </w:r>
      <w:r w:rsidRPr="00FF5945">
        <w:rPr>
          <w:rFonts w:ascii="Times New Roman" w:hAnsi="Times New Roman" w:cs="Times New Roman"/>
        </w:rPr>
        <w:t xml:space="preserve"> convert the additional dollars spent to obtain HBCI </w:t>
      </w:r>
      <w:r w:rsidR="007C36B0">
        <w:rPr>
          <w:rFonts w:ascii="Times New Roman" w:hAnsi="Times New Roman" w:cs="Times New Roman"/>
        </w:rPr>
        <w:t>for</w:t>
      </w:r>
      <w:r w:rsidR="007C36B0" w:rsidRPr="00FF5945">
        <w:rPr>
          <w:rFonts w:ascii="Times New Roman" w:hAnsi="Times New Roman" w:cs="Times New Roman"/>
        </w:rPr>
        <w:t xml:space="preserve"> </w:t>
      </w:r>
      <w:r w:rsidRPr="00FF5945">
        <w:rPr>
          <w:rFonts w:ascii="Times New Roman" w:hAnsi="Times New Roman" w:cs="Times New Roman"/>
        </w:rPr>
        <w:t xml:space="preserve">EV owners to </w:t>
      </w:r>
      <w:r w:rsidR="00686AB2">
        <w:rPr>
          <w:rFonts w:ascii="Times New Roman" w:hAnsi="Times New Roman" w:cs="Times New Roman"/>
        </w:rPr>
        <w:t xml:space="preserve">an </w:t>
      </w:r>
      <w:r w:rsidRPr="00FF5945">
        <w:rPr>
          <w:rFonts w:ascii="Times New Roman" w:hAnsi="Times New Roman" w:cs="Times New Roman"/>
        </w:rPr>
        <w:t xml:space="preserve">equivalent </w:t>
      </w:r>
      <w:r w:rsidR="00686AB2">
        <w:rPr>
          <w:rFonts w:ascii="Times New Roman" w:hAnsi="Times New Roman" w:cs="Times New Roman"/>
        </w:rPr>
        <w:t xml:space="preserve">number of </w:t>
      </w:r>
      <w:r w:rsidRPr="00FF5945">
        <w:rPr>
          <w:rFonts w:ascii="Times New Roman" w:hAnsi="Times New Roman" w:cs="Times New Roman"/>
        </w:rPr>
        <w:t>hours a year.</w:t>
      </w:r>
    </w:p>
    <w:p w14:paraId="02FECA9E" w14:textId="77777777" w:rsidR="00940E4C" w:rsidRDefault="00940E4C" w:rsidP="00E75827">
      <w:pPr>
        <w:numPr>
          <w:ilvl w:val="12"/>
          <w:numId w:val="0"/>
        </w:numPr>
        <w:spacing w:line="480" w:lineRule="auto"/>
        <w:ind w:firstLine="720"/>
        <w:rPr>
          <w:rFonts w:ascii="Times New Roman" w:hAnsi="Times New Roman" w:cs="Times New Roman"/>
        </w:rPr>
      </w:pPr>
    </w:p>
    <w:p w14:paraId="715D552F" w14:textId="77777777" w:rsidR="006534F8" w:rsidRDefault="006534F8" w:rsidP="00E75827">
      <w:pPr>
        <w:numPr>
          <w:ilvl w:val="12"/>
          <w:numId w:val="0"/>
        </w:numPr>
        <w:spacing w:line="480" w:lineRule="auto"/>
        <w:ind w:firstLine="720"/>
        <w:rPr>
          <w:rFonts w:ascii="Times New Roman" w:hAnsi="Times New Roman" w:cs="Times New Roman"/>
        </w:rPr>
      </w:pPr>
    </w:p>
    <w:p w14:paraId="3C9A991D" w14:textId="77777777" w:rsidR="006534F8" w:rsidRDefault="006534F8" w:rsidP="00E75827">
      <w:pPr>
        <w:numPr>
          <w:ilvl w:val="12"/>
          <w:numId w:val="0"/>
        </w:numPr>
        <w:spacing w:line="480" w:lineRule="auto"/>
        <w:ind w:firstLine="720"/>
        <w:rPr>
          <w:rFonts w:ascii="Times New Roman" w:hAnsi="Times New Roman" w:cs="Times New Roman"/>
        </w:rPr>
      </w:pPr>
    </w:p>
    <w:p w14:paraId="5D59DCD4" w14:textId="77777777" w:rsidR="006534F8" w:rsidRDefault="006534F8" w:rsidP="00E75827">
      <w:pPr>
        <w:numPr>
          <w:ilvl w:val="12"/>
          <w:numId w:val="0"/>
        </w:numPr>
        <w:spacing w:line="480" w:lineRule="auto"/>
        <w:ind w:firstLine="720"/>
        <w:rPr>
          <w:rFonts w:ascii="Times New Roman" w:hAnsi="Times New Roman" w:cs="Times New Roman"/>
        </w:rPr>
      </w:pPr>
    </w:p>
    <w:p w14:paraId="6506B4BB" w14:textId="77777777" w:rsidR="006534F8" w:rsidRDefault="006534F8" w:rsidP="00E75827">
      <w:pPr>
        <w:numPr>
          <w:ilvl w:val="12"/>
          <w:numId w:val="0"/>
        </w:numPr>
        <w:spacing w:line="480" w:lineRule="auto"/>
        <w:ind w:firstLine="720"/>
        <w:rPr>
          <w:rFonts w:ascii="Times New Roman" w:hAnsi="Times New Roman" w:cs="Times New Roman"/>
        </w:rPr>
      </w:pPr>
    </w:p>
    <w:p w14:paraId="1F5285EB" w14:textId="77777777" w:rsidR="006534F8" w:rsidRDefault="006534F8" w:rsidP="00E75827">
      <w:pPr>
        <w:numPr>
          <w:ilvl w:val="12"/>
          <w:numId w:val="0"/>
        </w:numPr>
        <w:spacing w:line="480" w:lineRule="auto"/>
        <w:ind w:firstLine="720"/>
        <w:rPr>
          <w:rFonts w:ascii="Times New Roman" w:hAnsi="Times New Roman" w:cs="Times New Roman"/>
        </w:rPr>
      </w:pPr>
    </w:p>
    <w:p w14:paraId="588057AA" w14:textId="77777777" w:rsidR="006534F8" w:rsidRDefault="006534F8" w:rsidP="00E75827">
      <w:pPr>
        <w:numPr>
          <w:ilvl w:val="12"/>
          <w:numId w:val="0"/>
        </w:numPr>
        <w:spacing w:line="480" w:lineRule="auto"/>
        <w:ind w:firstLine="720"/>
        <w:rPr>
          <w:rFonts w:ascii="Times New Roman" w:hAnsi="Times New Roman" w:cs="Times New Roman"/>
        </w:rPr>
      </w:pPr>
    </w:p>
    <w:p w14:paraId="51387489" w14:textId="77777777" w:rsidR="006534F8" w:rsidRDefault="006534F8" w:rsidP="00E75827">
      <w:pPr>
        <w:numPr>
          <w:ilvl w:val="12"/>
          <w:numId w:val="0"/>
        </w:numPr>
        <w:spacing w:line="480" w:lineRule="auto"/>
        <w:ind w:firstLine="720"/>
        <w:rPr>
          <w:rFonts w:ascii="Times New Roman" w:hAnsi="Times New Roman" w:cs="Times New Roman"/>
        </w:rPr>
      </w:pPr>
    </w:p>
    <w:p w14:paraId="5CAE53A3" w14:textId="77777777" w:rsidR="00940E4C" w:rsidRDefault="00940E4C" w:rsidP="00E75827">
      <w:pPr>
        <w:numPr>
          <w:ilvl w:val="12"/>
          <w:numId w:val="0"/>
        </w:numPr>
        <w:spacing w:line="480" w:lineRule="auto"/>
        <w:ind w:firstLine="720"/>
        <w:rPr>
          <w:rFonts w:ascii="Times New Roman" w:hAnsi="Times New Roman" w:cs="Times New Roman"/>
        </w:rPr>
      </w:pPr>
    </w:p>
    <w:p w14:paraId="2F0A6819" w14:textId="26CB88F4" w:rsidR="00940E4C" w:rsidRDefault="00100D2A" w:rsidP="007821D0">
      <w:pPr>
        <w:numPr>
          <w:ilvl w:val="12"/>
          <w:numId w:val="0"/>
        </w:numPr>
        <w:spacing w:line="480" w:lineRule="auto"/>
        <w:ind w:firstLine="720"/>
        <w:rPr>
          <w:rFonts w:ascii="Times New Roman" w:hAnsi="Times New Roman" w:cs="Times New Roman"/>
        </w:rPr>
      </w:pPr>
      <w:r w:rsidRPr="00100D2A">
        <w:rPr>
          <w:rFonts w:ascii="Times New Roman" w:hAnsi="Times New Roman" w:cs="Times New Roman"/>
          <w:noProof/>
        </w:rPr>
        <w:lastRenderedPageBreak/>
        <w:drawing>
          <wp:inline distT="0" distB="0" distL="0" distR="0" wp14:anchorId="1EF989F2" wp14:editId="2AEACC09">
            <wp:extent cx="4715255" cy="2849880"/>
            <wp:effectExtent l="0" t="0" r="9525" b="7620"/>
            <wp:docPr id="1414856305"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856305" name="Picture 1" descr="A diagram of a graph&#10;&#10;Description automatically generated"/>
                    <pic:cNvPicPr/>
                  </pic:nvPicPr>
                  <pic:blipFill>
                    <a:blip r:embed="rId12"/>
                    <a:stretch>
                      <a:fillRect/>
                    </a:stretch>
                  </pic:blipFill>
                  <pic:spPr>
                    <a:xfrm>
                      <a:off x="0" y="0"/>
                      <a:ext cx="4724253" cy="2855318"/>
                    </a:xfrm>
                    <a:prstGeom prst="rect">
                      <a:avLst/>
                    </a:prstGeom>
                  </pic:spPr>
                </pic:pic>
              </a:graphicData>
            </a:graphic>
          </wp:inline>
        </w:drawing>
      </w:r>
    </w:p>
    <w:p w14:paraId="57CD835C" w14:textId="659B4515" w:rsidR="00100D2A" w:rsidRPr="00100D2A" w:rsidRDefault="00100D2A" w:rsidP="00100D2A">
      <w:pPr>
        <w:pStyle w:val="Heading2"/>
      </w:pPr>
      <w:bookmarkStart w:id="23" w:name="_Toc167480998"/>
      <w:bookmarkStart w:id="24" w:name="_Toc173410589"/>
      <w:bookmarkStart w:id="25" w:name="_Toc174454604"/>
      <w:bookmarkStart w:id="26" w:name="_Toc174455331"/>
      <w:r>
        <w:t>Figure 1</w:t>
      </w:r>
      <w:r w:rsidR="008126CF">
        <w:t>.</w:t>
      </w:r>
      <w:r>
        <w:t xml:space="preserve"> </w:t>
      </w:r>
      <w:r w:rsidRPr="00100D2A">
        <w:t>Converting estimates to willingness to pay for home-based</w:t>
      </w:r>
      <w:r>
        <w:t xml:space="preserve"> </w:t>
      </w:r>
      <w:bookmarkEnd w:id="23"/>
      <w:r w:rsidR="00590BC5" w:rsidRPr="00100D2A">
        <w:t>charging.</w:t>
      </w:r>
      <w:bookmarkEnd w:id="24"/>
      <w:bookmarkEnd w:id="25"/>
      <w:bookmarkEnd w:id="26"/>
    </w:p>
    <w:p w14:paraId="4F3571CC" w14:textId="77777777" w:rsidR="00100D2A" w:rsidRDefault="00100D2A" w:rsidP="00100D2A">
      <w:pPr>
        <w:numPr>
          <w:ilvl w:val="12"/>
          <w:numId w:val="0"/>
        </w:numPr>
        <w:spacing w:line="480" w:lineRule="auto"/>
        <w:ind w:firstLine="720"/>
        <w:rPr>
          <w:rFonts w:ascii="Times New Roman" w:hAnsi="Times New Roman" w:cs="Times New Roman"/>
        </w:rPr>
      </w:pPr>
    </w:p>
    <w:p w14:paraId="0F523AFF" w14:textId="77777777" w:rsidR="00E75827" w:rsidRDefault="00E75827" w:rsidP="00C67197">
      <w:pPr>
        <w:pStyle w:val="Heading1"/>
      </w:pPr>
    </w:p>
    <w:p w14:paraId="34F818C8" w14:textId="77777777" w:rsidR="00940E4C" w:rsidRDefault="00940E4C" w:rsidP="00940E4C"/>
    <w:p w14:paraId="7CF2A097" w14:textId="77777777" w:rsidR="00940E4C" w:rsidRPr="00940E4C" w:rsidRDefault="00940E4C" w:rsidP="00940E4C"/>
    <w:p w14:paraId="023AF2FF" w14:textId="77777777" w:rsidR="00940E4C" w:rsidRDefault="00940E4C" w:rsidP="00940E4C"/>
    <w:p w14:paraId="688AAFE3" w14:textId="77777777" w:rsidR="006534F8" w:rsidRDefault="006534F8" w:rsidP="00940E4C"/>
    <w:p w14:paraId="7B8533D9" w14:textId="77777777" w:rsidR="006534F8" w:rsidRDefault="006534F8" w:rsidP="00940E4C"/>
    <w:p w14:paraId="184A2CC8" w14:textId="77777777" w:rsidR="006534F8" w:rsidRDefault="006534F8" w:rsidP="00940E4C"/>
    <w:p w14:paraId="7AE96E75" w14:textId="77777777" w:rsidR="006534F8" w:rsidRDefault="006534F8" w:rsidP="00940E4C"/>
    <w:p w14:paraId="63C21BF8" w14:textId="77777777" w:rsidR="006534F8" w:rsidRDefault="006534F8" w:rsidP="00940E4C"/>
    <w:p w14:paraId="31CD2DD9" w14:textId="77777777" w:rsidR="006534F8" w:rsidRDefault="006534F8" w:rsidP="00940E4C"/>
    <w:p w14:paraId="5B325253" w14:textId="77777777" w:rsidR="006534F8" w:rsidRDefault="006534F8" w:rsidP="00940E4C"/>
    <w:p w14:paraId="228FB118" w14:textId="77777777" w:rsidR="006534F8" w:rsidRDefault="006534F8" w:rsidP="00940E4C"/>
    <w:p w14:paraId="271F52CA" w14:textId="77777777" w:rsidR="006534F8" w:rsidRDefault="006534F8" w:rsidP="00940E4C"/>
    <w:p w14:paraId="622267EB" w14:textId="77777777" w:rsidR="006534F8" w:rsidRDefault="006534F8" w:rsidP="00940E4C"/>
    <w:p w14:paraId="6A1EF549" w14:textId="77777777" w:rsidR="006534F8" w:rsidRDefault="006534F8" w:rsidP="00940E4C"/>
    <w:p w14:paraId="7898D8A7" w14:textId="77777777" w:rsidR="006534F8" w:rsidRDefault="006534F8" w:rsidP="00940E4C"/>
    <w:p w14:paraId="4A3F9B12" w14:textId="77777777" w:rsidR="006534F8" w:rsidRDefault="006534F8" w:rsidP="00940E4C"/>
    <w:p w14:paraId="270271BA" w14:textId="77777777" w:rsidR="006534F8" w:rsidRDefault="006534F8" w:rsidP="00940E4C"/>
    <w:p w14:paraId="1CD76DCB" w14:textId="77777777" w:rsidR="00ED7808" w:rsidRDefault="00ED7808" w:rsidP="00ED4B8A">
      <w:pPr>
        <w:pStyle w:val="Heading1"/>
        <w:jc w:val="left"/>
      </w:pPr>
    </w:p>
    <w:p w14:paraId="00539BB7" w14:textId="77777777" w:rsidR="00ED4B8A" w:rsidRPr="00ED4B8A" w:rsidRDefault="00ED4B8A" w:rsidP="00ED4B8A"/>
    <w:p w14:paraId="764395B9" w14:textId="73D711EC" w:rsidR="008712FB" w:rsidRDefault="00210BC5" w:rsidP="00A83F3F">
      <w:pPr>
        <w:pStyle w:val="Heading1"/>
      </w:pPr>
      <w:bookmarkStart w:id="27" w:name="_Toc174455332"/>
      <w:r>
        <w:lastRenderedPageBreak/>
        <w:t>Chapter Four</w:t>
      </w:r>
      <w:bookmarkEnd w:id="27"/>
    </w:p>
    <w:p w14:paraId="46C270E3" w14:textId="3AB8CA0F" w:rsidR="008712FB" w:rsidRPr="008712FB" w:rsidRDefault="00210BC5" w:rsidP="00C67197">
      <w:pPr>
        <w:pStyle w:val="Heading1"/>
      </w:pPr>
      <w:bookmarkStart w:id="28" w:name="_Toc174455333"/>
      <w:r>
        <w:t>Methods and Procedures</w:t>
      </w:r>
      <w:bookmarkEnd w:id="28"/>
    </w:p>
    <w:p w14:paraId="0FE8D7DF" w14:textId="7F2CE65B" w:rsidR="008712FB" w:rsidRPr="008712FB" w:rsidRDefault="008712FB" w:rsidP="00100D2A">
      <w:pPr>
        <w:pStyle w:val="Heading2"/>
        <w:jc w:val="left"/>
      </w:pPr>
      <w:bookmarkStart w:id="29" w:name="_Toc174455334"/>
      <w:r>
        <w:t>Data Description</w:t>
      </w:r>
      <w:bookmarkEnd w:id="29"/>
    </w:p>
    <w:p w14:paraId="5931979D" w14:textId="39A3E88B" w:rsidR="00100D2A" w:rsidRDefault="00D00867" w:rsidP="00100D2A">
      <w:pPr>
        <w:spacing w:line="480" w:lineRule="auto"/>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 xml:space="preserve">The </w:t>
      </w:r>
      <w:r w:rsidR="00AB4C80" w:rsidRPr="00AB4C80">
        <w:rPr>
          <w:rFonts w:ascii="Times New Roman" w:eastAsia="Aptos" w:hAnsi="Times New Roman" w:cs="Times New Roman"/>
          <w:kern w:val="2"/>
          <w14:ligatures w14:val="standardContextual"/>
        </w:rPr>
        <w:t>U.S. Energy Information Administration (EIA)</w:t>
      </w:r>
      <w:r>
        <w:rPr>
          <w:rFonts w:ascii="Times New Roman" w:eastAsia="Aptos" w:hAnsi="Times New Roman" w:cs="Times New Roman"/>
          <w:kern w:val="2"/>
          <w14:ligatures w14:val="standardContextual"/>
        </w:rPr>
        <w:t xml:space="preserve"> collects data from the </w:t>
      </w:r>
      <w:r w:rsidRPr="00AB4C80">
        <w:rPr>
          <w:rFonts w:ascii="Times New Roman" w:eastAsia="Aptos" w:hAnsi="Times New Roman" w:cs="Times New Roman"/>
          <w:kern w:val="2"/>
          <w14:ligatures w14:val="standardContextual"/>
        </w:rPr>
        <w:t>Residential Energy Consumption Survey (RECS)</w:t>
      </w:r>
      <w:r w:rsidR="00AB4C80" w:rsidRPr="00AB4C80">
        <w:rPr>
          <w:rFonts w:ascii="Times New Roman" w:eastAsia="Aptos" w:hAnsi="Times New Roman" w:cs="Times New Roman"/>
          <w:kern w:val="2"/>
          <w14:ligatures w14:val="standardContextual"/>
        </w:rPr>
        <w:t xml:space="preserve"> once every five years.</w:t>
      </w:r>
      <w:r w:rsidR="00AB4C80" w:rsidRPr="00AB4C80">
        <w:rPr>
          <w:rFonts w:ascii="Aptos" w:eastAsia="Aptos" w:hAnsi="Aptos" w:cs="Times New Roman"/>
          <w:kern w:val="2"/>
          <w14:ligatures w14:val="standardContextual"/>
        </w:rPr>
        <w:t xml:space="preserve"> </w:t>
      </w:r>
      <w:r w:rsidR="00AB4C80" w:rsidRPr="00AB4C80">
        <w:rPr>
          <w:rFonts w:ascii="Times New Roman" w:eastAsia="Aptos" w:hAnsi="Times New Roman" w:cs="Times New Roman"/>
          <w:kern w:val="2"/>
          <w14:ligatures w14:val="standardContextual"/>
        </w:rPr>
        <w:t xml:space="preserve">The 2020 </w:t>
      </w:r>
      <w:r>
        <w:rPr>
          <w:rFonts w:ascii="Times New Roman" w:eastAsia="Aptos" w:hAnsi="Times New Roman" w:cs="Times New Roman"/>
          <w:kern w:val="2"/>
          <w14:ligatures w14:val="standardContextual"/>
        </w:rPr>
        <w:t xml:space="preserve">wave of the </w:t>
      </w:r>
      <w:r w:rsidR="00AB4C80" w:rsidRPr="00AB4C80">
        <w:rPr>
          <w:rFonts w:ascii="Times New Roman" w:eastAsia="Aptos" w:hAnsi="Times New Roman" w:cs="Times New Roman"/>
          <w:kern w:val="2"/>
          <w14:ligatures w14:val="standardContextual"/>
        </w:rPr>
        <w:t>survey sampled 18,496 households across all 50 states and Washington D.C. It contains information about housing unit characteristics, household demographics, and energy use patterns. This survey is valuable to our research as it provides data on both EV ownership and a proxy for home</w:t>
      </w:r>
      <w:r w:rsidR="004D7D9A">
        <w:rPr>
          <w:rFonts w:ascii="Times New Roman" w:eastAsia="Aptos" w:hAnsi="Times New Roman" w:cs="Times New Roman"/>
          <w:kern w:val="2"/>
          <w14:ligatures w14:val="standardContextual"/>
        </w:rPr>
        <w:t>-</w:t>
      </w:r>
      <w:r w:rsidR="00AB4C80" w:rsidRPr="00AB4C80">
        <w:rPr>
          <w:rFonts w:ascii="Times New Roman" w:eastAsia="Aptos" w:hAnsi="Times New Roman" w:cs="Times New Roman"/>
          <w:kern w:val="2"/>
          <w14:ligatures w14:val="standardContextual"/>
        </w:rPr>
        <w:t xml:space="preserve">based charging capabilities </w:t>
      </w:r>
      <w:r w:rsidR="007C36B0">
        <w:rPr>
          <w:rFonts w:ascii="Times New Roman" w:eastAsia="Aptos" w:hAnsi="Times New Roman" w:cs="Times New Roman"/>
          <w:kern w:val="2"/>
          <w14:ligatures w14:val="standardContextual"/>
        </w:rPr>
        <w:t>from</w:t>
      </w:r>
      <w:r w:rsidR="007C36B0" w:rsidRPr="00AB4C80">
        <w:rPr>
          <w:rFonts w:ascii="Times New Roman" w:eastAsia="Aptos" w:hAnsi="Times New Roman" w:cs="Times New Roman"/>
          <w:kern w:val="2"/>
          <w14:ligatures w14:val="standardContextual"/>
        </w:rPr>
        <w:t xml:space="preserve"> </w:t>
      </w:r>
      <w:r w:rsidR="00AB4C80" w:rsidRPr="00AB4C80">
        <w:rPr>
          <w:rFonts w:ascii="Times New Roman" w:eastAsia="Aptos" w:hAnsi="Times New Roman" w:cs="Times New Roman"/>
          <w:kern w:val="2"/>
          <w14:ligatures w14:val="standardContextual"/>
        </w:rPr>
        <w:t>a nationally representative sample. For our model, we approximate consumer behavior. Home</w:t>
      </w:r>
      <w:r w:rsidR="004D7D9A">
        <w:rPr>
          <w:rFonts w:ascii="Times New Roman" w:eastAsia="Aptos" w:hAnsi="Times New Roman" w:cs="Times New Roman"/>
          <w:kern w:val="2"/>
          <w14:ligatures w14:val="standardContextual"/>
        </w:rPr>
        <w:t>-</w:t>
      </w:r>
      <w:r w:rsidR="00AB4C80" w:rsidRPr="00AB4C80">
        <w:rPr>
          <w:rFonts w:ascii="Times New Roman" w:eastAsia="Aptos" w:hAnsi="Times New Roman" w:cs="Times New Roman"/>
          <w:kern w:val="2"/>
          <w14:ligatures w14:val="standardContextual"/>
        </w:rPr>
        <w:t>based charging availability is measured as a binary variable equal to one if the respondent has an outlet within 20 feet of their vehicle parking, and zero otherwise. RECS reports EV ownership as a binary variable equal to one if the household owns or leases at least one EV or PHEV and zero otherwise. RECS also includes sociodemographic characteristics such as income and race that we utilize to explore equity dimensions of EV adoption.</w:t>
      </w:r>
      <w:r w:rsidR="008D2BC8">
        <w:rPr>
          <w:rFonts w:ascii="Times New Roman" w:eastAsia="Aptos" w:hAnsi="Times New Roman" w:cs="Times New Roman"/>
          <w:kern w:val="2"/>
          <w14:ligatures w14:val="standardContextual"/>
        </w:rPr>
        <w:t xml:space="preserve"> </w:t>
      </w:r>
      <w:bookmarkStart w:id="30" w:name="_Hlk165433569"/>
      <w:r w:rsidR="00100D2A" w:rsidRPr="00AB4C80">
        <w:rPr>
          <w:rFonts w:ascii="Times New Roman" w:eastAsia="Aptos" w:hAnsi="Times New Roman" w:cs="Times New Roman"/>
          <w:kern w:val="2"/>
          <w14:ligatures w14:val="standardContextual"/>
        </w:rPr>
        <w:t>Table</w:t>
      </w:r>
      <w:r w:rsidR="00100D2A">
        <w:rPr>
          <w:rFonts w:ascii="Times New Roman" w:eastAsia="Aptos" w:hAnsi="Times New Roman" w:cs="Times New Roman"/>
          <w:kern w:val="2"/>
          <w14:ligatures w14:val="standardContextual"/>
        </w:rPr>
        <w:t xml:space="preserve"> 1</w:t>
      </w:r>
      <w:r w:rsidR="00100D2A" w:rsidRPr="00AB4C80">
        <w:rPr>
          <w:rFonts w:ascii="Times New Roman" w:eastAsia="Aptos" w:hAnsi="Times New Roman" w:cs="Times New Roman"/>
          <w:kern w:val="2"/>
          <w14:ligatures w14:val="standardContextual"/>
        </w:rPr>
        <w:t xml:space="preserve"> summarizes </w:t>
      </w:r>
      <w:r w:rsidR="00100D2A">
        <w:rPr>
          <w:rFonts w:ascii="Times New Roman" w:eastAsia="Aptos" w:hAnsi="Times New Roman" w:cs="Times New Roman"/>
          <w:kern w:val="2"/>
          <w14:ligatures w14:val="standardContextual"/>
        </w:rPr>
        <w:t xml:space="preserve">the </w:t>
      </w:r>
      <w:r w:rsidR="00100D2A" w:rsidRPr="00AB4C80">
        <w:rPr>
          <w:rFonts w:ascii="Times New Roman" w:eastAsia="Aptos" w:hAnsi="Times New Roman" w:cs="Times New Roman"/>
          <w:kern w:val="2"/>
          <w14:ligatures w14:val="standardContextual"/>
        </w:rPr>
        <w:t xml:space="preserve">relevant variables for our study. </w:t>
      </w:r>
    </w:p>
    <w:p w14:paraId="5EAD9868" w14:textId="5681EDA6" w:rsidR="00100D2A" w:rsidRDefault="00100D2A" w:rsidP="00100D2A">
      <w:pPr>
        <w:spacing w:line="480" w:lineRule="auto"/>
        <w:ind w:firstLine="720"/>
        <w:rPr>
          <w:rFonts w:ascii="Times New Roman" w:hAnsi="Times New Roman" w:cs="Times New Roman"/>
        </w:rPr>
      </w:pPr>
      <w:r w:rsidRPr="00C95F03">
        <w:rPr>
          <w:rFonts w:ascii="Times New Roman" w:hAnsi="Times New Roman" w:cs="Times New Roman"/>
        </w:rPr>
        <w:t>The RECS is conducted in two phases</w:t>
      </w:r>
      <w:r>
        <w:rPr>
          <w:rFonts w:ascii="Times New Roman" w:hAnsi="Times New Roman" w:cs="Times New Roman"/>
        </w:rPr>
        <w:t xml:space="preserve"> by the EIA</w:t>
      </w:r>
      <w:r w:rsidRPr="00C95F03">
        <w:rPr>
          <w:rFonts w:ascii="Times New Roman" w:hAnsi="Times New Roman" w:cs="Times New Roman"/>
        </w:rPr>
        <w:t xml:space="preserve">. The first phase is through a cross-sectional household survey </w:t>
      </w:r>
      <w:r>
        <w:rPr>
          <w:rFonts w:ascii="Times New Roman" w:hAnsi="Times New Roman" w:cs="Times New Roman"/>
        </w:rPr>
        <w:t>which</w:t>
      </w:r>
      <w:r w:rsidRPr="00C95F03">
        <w:rPr>
          <w:rFonts w:ascii="Times New Roman" w:hAnsi="Times New Roman" w:cs="Times New Roman"/>
        </w:rPr>
        <w:t xml:space="preserve"> collects energy-related characteristics and energy usage data. The second phase corresponds with energy suppliers for the housing units surveyed, which is to estimate energy consumption and expenditure.</w:t>
      </w:r>
    </w:p>
    <w:bookmarkEnd w:id="30"/>
    <w:p w14:paraId="60464225" w14:textId="2450A097" w:rsidR="00100D2A" w:rsidRDefault="00100D2A" w:rsidP="00B16B61">
      <w:pPr>
        <w:spacing w:line="480" w:lineRule="auto"/>
        <w:rPr>
          <w:rFonts w:ascii="Times New Roman" w:eastAsia="Aptos" w:hAnsi="Times New Roman" w:cs="Times New Roman"/>
          <w:b/>
          <w:bCs/>
          <w:kern w:val="2"/>
          <w14:ligatures w14:val="standardContextual"/>
        </w:rPr>
      </w:pPr>
    </w:p>
    <w:p w14:paraId="081A3516" w14:textId="77777777" w:rsidR="00BA4858" w:rsidRDefault="00BA4858" w:rsidP="00B16B61">
      <w:pPr>
        <w:spacing w:line="480" w:lineRule="auto"/>
        <w:rPr>
          <w:rFonts w:ascii="Times New Roman" w:eastAsia="Aptos" w:hAnsi="Times New Roman" w:cs="Times New Roman"/>
          <w:b/>
          <w:bCs/>
          <w:kern w:val="2"/>
          <w14:ligatures w14:val="standardContextual"/>
        </w:rPr>
      </w:pPr>
    </w:p>
    <w:p w14:paraId="69407A74" w14:textId="66FBADC5" w:rsidR="008D2BC8" w:rsidRPr="00384647" w:rsidRDefault="00384647" w:rsidP="00100D2A">
      <w:pPr>
        <w:pStyle w:val="Heading2"/>
        <w:rPr>
          <w:rFonts w:eastAsia="Aptos"/>
        </w:rPr>
      </w:pPr>
      <w:bookmarkStart w:id="31" w:name="_Toc167481002"/>
      <w:bookmarkStart w:id="32" w:name="_Toc173410593"/>
      <w:bookmarkStart w:id="33" w:name="_Toc174454608"/>
      <w:bookmarkStart w:id="34" w:name="_Toc174455335"/>
      <w:r w:rsidRPr="00384647">
        <w:rPr>
          <w:rFonts w:eastAsia="Aptos"/>
        </w:rPr>
        <w:lastRenderedPageBreak/>
        <w:t>Table 1</w:t>
      </w:r>
      <w:r>
        <w:rPr>
          <w:rFonts w:eastAsia="Aptos"/>
        </w:rPr>
        <w:t>.</w:t>
      </w:r>
      <w:r w:rsidRPr="00384647">
        <w:rPr>
          <w:rFonts w:eastAsia="Aptos"/>
        </w:rPr>
        <w:t xml:space="preserve"> Variables from RECS</w:t>
      </w:r>
      <w:bookmarkEnd w:id="31"/>
      <w:bookmarkEnd w:id="32"/>
      <w:bookmarkEnd w:id="33"/>
      <w:bookmarkEnd w:id="34"/>
    </w:p>
    <w:tbl>
      <w:tblPr>
        <w:tblStyle w:val="TableGrid"/>
        <w:tblW w:w="0" w:type="auto"/>
        <w:tblLook w:val="04A0" w:firstRow="1" w:lastRow="0" w:firstColumn="1" w:lastColumn="0" w:noHBand="0" w:noVBand="1"/>
      </w:tblPr>
      <w:tblGrid>
        <w:gridCol w:w="2824"/>
        <w:gridCol w:w="2833"/>
        <w:gridCol w:w="2825"/>
      </w:tblGrid>
      <w:tr w:rsidR="00AB4C80" w:rsidRPr="003C54B2" w14:paraId="10CDCD31" w14:textId="77777777" w:rsidTr="00384647">
        <w:trPr>
          <w:trHeight w:val="326"/>
        </w:trPr>
        <w:tc>
          <w:tcPr>
            <w:tcW w:w="2824" w:type="dxa"/>
          </w:tcPr>
          <w:p w14:paraId="6BA27F11" w14:textId="77777777" w:rsidR="00AB4C80" w:rsidRPr="00370A9C" w:rsidRDefault="00AB4C80" w:rsidP="00BC0366">
            <w:pPr>
              <w:spacing w:after="160" w:line="480" w:lineRule="auto"/>
              <w:rPr>
                <w:rFonts w:ascii="Times New Roman" w:hAnsi="Times New Roman" w:cs="Times New Roman"/>
              </w:rPr>
            </w:pPr>
            <w:bookmarkStart w:id="35" w:name="_Hlk165287473"/>
            <w:r w:rsidRPr="00370A9C">
              <w:rPr>
                <w:rFonts w:ascii="Times New Roman" w:hAnsi="Times New Roman" w:cs="Times New Roman"/>
              </w:rPr>
              <w:t>Variable</w:t>
            </w:r>
          </w:p>
        </w:tc>
        <w:tc>
          <w:tcPr>
            <w:tcW w:w="2833" w:type="dxa"/>
          </w:tcPr>
          <w:p w14:paraId="53F1B1ED" w14:textId="77777777" w:rsidR="00AB4C80" w:rsidRPr="00370A9C" w:rsidRDefault="00AB4C80" w:rsidP="00BC0366">
            <w:pPr>
              <w:spacing w:after="160" w:line="480" w:lineRule="auto"/>
              <w:rPr>
                <w:rFonts w:ascii="Times New Roman" w:hAnsi="Times New Roman" w:cs="Times New Roman"/>
              </w:rPr>
            </w:pPr>
            <w:r w:rsidRPr="00370A9C">
              <w:rPr>
                <w:rFonts w:ascii="Times New Roman" w:hAnsi="Times New Roman" w:cs="Times New Roman"/>
              </w:rPr>
              <w:t>Type</w:t>
            </w:r>
          </w:p>
        </w:tc>
        <w:tc>
          <w:tcPr>
            <w:tcW w:w="2825" w:type="dxa"/>
          </w:tcPr>
          <w:p w14:paraId="7A43A996" w14:textId="77777777" w:rsidR="00AB4C80" w:rsidRPr="00370A9C" w:rsidRDefault="00AB4C80" w:rsidP="00BC0366">
            <w:pPr>
              <w:spacing w:after="160" w:line="480" w:lineRule="auto"/>
              <w:rPr>
                <w:rFonts w:ascii="Times New Roman" w:hAnsi="Times New Roman" w:cs="Times New Roman"/>
              </w:rPr>
            </w:pPr>
            <w:r w:rsidRPr="00370A9C">
              <w:rPr>
                <w:rFonts w:ascii="Times New Roman" w:hAnsi="Times New Roman" w:cs="Times New Roman"/>
              </w:rPr>
              <w:t>Description</w:t>
            </w:r>
          </w:p>
        </w:tc>
      </w:tr>
      <w:tr w:rsidR="00AB4C80" w:rsidRPr="003C54B2" w14:paraId="4778C0F3" w14:textId="77777777" w:rsidTr="00384647">
        <w:trPr>
          <w:trHeight w:val="753"/>
        </w:trPr>
        <w:tc>
          <w:tcPr>
            <w:tcW w:w="2824" w:type="dxa"/>
          </w:tcPr>
          <w:p w14:paraId="42458148"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Own or lease an electric vehicle</w:t>
            </w:r>
          </w:p>
        </w:tc>
        <w:tc>
          <w:tcPr>
            <w:tcW w:w="2833" w:type="dxa"/>
          </w:tcPr>
          <w:p w14:paraId="7F7D6EA2"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Vehicle ownership</w:t>
            </w:r>
          </w:p>
        </w:tc>
        <w:tc>
          <w:tcPr>
            <w:tcW w:w="2825" w:type="dxa"/>
          </w:tcPr>
          <w:p w14:paraId="0A0A47FF"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The household owns or leases at least one PHEV or electric vehicle.</w:t>
            </w:r>
          </w:p>
        </w:tc>
      </w:tr>
      <w:tr w:rsidR="00AB4C80" w:rsidRPr="003C54B2" w14:paraId="0C26A28D" w14:textId="77777777" w:rsidTr="00384647">
        <w:trPr>
          <w:trHeight w:val="582"/>
        </w:trPr>
        <w:tc>
          <w:tcPr>
            <w:tcW w:w="2824" w:type="dxa"/>
          </w:tcPr>
          <w:p w14:paraId="7E8F16C5"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Gross household income</w:t>
            </w:r>
          </w:p>
        </w:tc>
        <w:tc>
          <w:tcPr>
            <w:tcW w:w="2833" w:type="dxa"/>
          </w:tcPr>
          <w:p w14:paraId="5269845E"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3507ED48"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Annual total household income</w:t>
            </w:r>
          </w:p>
        </w:tc>
      </w:tr>
      <w:tr w:rsidR="00100D2A" w:rsidRPr="003C54B2" w14:paraId="7F0B3011" w14:textId="77777777" w:rsidTr="00384647">
        <w:trPr>
          <w:trHeight w:val="837"/>
        </w:trPr>
        <w:tc>
          <w:tcPr>
            <w:tcW w:w="2824" w:type="dxa"/>
          </w:tcPr>
          <w:p w14:paraId="2BE47731" w14:textId="1B427122" w:rsidR="00100D2A" w:rsidRPr="00370A9C" w:rsidRDefault="00100D2A" w:rsidP="00384647">
            <w:pPr>
              <w:spacing w:after="160" w:line="276" w:lineRule="auto"/>
              <w:rPr>
                <w:rFonts w:ascii="Times New Roman" w:hAnsi="Times New Roman" w:cs="Times New Roman"/>
              </w:rPr>
            </w:pPr>
            <w:r>
              <w:rPr>
                <w:rFonts w:ascii="Times New Roman" w:hAnsi="Times New Roman" w:cs="Times New Roman"/>
              </w:rPr>
              <w:t>Low Income</w:t>
            </w:r>
          </w:p>
        </w:tc>
        <w:tc>
          <w:tcPr>
            <w:tcW w:w="2833" w:type="dxa"/>
          </w:tcPr>
          <w:p w14:paraId="76BD642B" w14:textId="7022C0AE" w:rsidR="00100D2A" w:rsidRPr="00370A9C" w:rsidRDefault="00100D2A"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5AB8CFDD" w14:textId="7BF9BEA3" w:rsidR="00100D2A" w:rsidRPr="00370A9C" w:rsidRDefault="00100D2A" w:rsidP="00384647">
            <w:pPr>
              <w:spacing w:after="160" w:line="276" w:lineRule="auto"/>
              <w:rPr>
                <w:rFonts w:ascii="Times New Roman" w:hAnsi="Times New Roman" w:cs="Times New Roman"/>
              </w:rPr>
            </w:pPr>
            <w:r>
              <w:rPr>
                <w:rFonts w:ascii="Times New Roman" w:hAnsi="Times New Roman" w:cs="Times New Roman"/>
              </w:rPr>
              <w:t>If reported household income is $60,000 or less.</w:t>
            </w:r>
          </w:p>
        </w:tc>
      </w:tr>
      <w:tr w:rsidR="00AB4C80" w:rsidRPr="003C54B2" w14:paraId="05963AA1" w14:textId="77777777" w:rsidTr="00384647">
        <w:trPr>
          <w:trHeight w:val="837"/>
        </w:trPr>
        <w:tc>
          <w:tcPr>
            <w:tcW w:w="2824" w:type="dxa"/>
          </w:tcPr>
          <w:p w14:paraId="4136A1F6"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Type of housing unit</w:t>
            </w:r>
          </w:p>
        </w:tc>
        <w:tc>
          <w:tcPr>
            <w:tcW w:w="2833" w:type="dxa"/>
          </w:tcPr>
          <w:p w14:paraId="67F030AF"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04888D02"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Type of house the respondent lives in (e.g., detached house)</w:t>
            </w:r>
          </w:p>
        </w:tc>
      </w:tr>
      <w:tr w:rsidR="00AB4C80" w:rsidRPr="003C54B2" w14:paraId="3F6CEA2A" w14:textId="77777777" w:rsidTr="00384647">
        <w:trPr>
          <w:trHeight w:val="326"/>
        </w:trPr>
        <w:tc>
          <w:tcPr>
            <w:tcW w:w="2824" w:type="dxa"/>
          </w:tcPr>
          <w:p w14:paraId="6F53EF1A"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Sex</w:t>
            </w:r>
          </w:p>
        </w:tc>
        <w:tc>
          <w:tcPr>
            <w:tcW w:w="2833" w:type="dxa"/>
          </w:tcPr>
          <w:p w14:paraId="0208B6A1"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2352ED78"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 xml:space="preserve">Gender of respondent </w:t>
            </w:r>
          </w:p>
        </w:tc>
      </w:tr>
      <w:tr w:rsidR="00AB4C80" w:rsidRPr="003C54B2" w14:paraId="2445DA8A" w14:textId="77777777" w:rsidTr="00384647">
        <w:trPr>
          <w:trHeight w:val="326"/>
        </w:trPr>
        <w:tc>
          <w:tcPr>
            <w:tcW w:w="2824" w:type="dxa"/>
          </w:tcPr>
          <w:p w14:paraId="5060285F"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Ethnicity</w:t>
            </w:r>
          </w:p>
        </w:tc>
        <w:tc>
          <w:tcPr>
            <w:tcW w:w="2833" w:type="dxa"/>
          </w:tcPr>
          <w:p w14:paraId="13F9998F"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6984BCA4"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Ethnicity of respondent</w:t>
            </w:r>
          </w:p>
        </w:tc>
      </w:tr>
      <w:tr w:rsidR="00AB4C80" w:rsidRPr="003C54B2" w14:paraId="276E9527" w14:textId="77777777" w:rsidTr="00384647">
        <w:trPr>
          <w:trHeight w:val="326"/>
        </w:trPr>
        <w:tc>
          <w:tcPr>
            <w:tcW w:w="2824" w:type="dxa"/>
          </w:tcPr>
          <w:p w14:paraId="26DD9662"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Race</w:t>
            </w:r>
          </w:p>
        </w:tc>
        <w:tc>
          <w:tcPr>
            <w:tcW w:w="2833" w:type="dxa"/>
          </w:tcPr>
          <w:p w14:paraId="1DDEF490"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0D58EC51"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Race of respondent</w:t>
            </w:r>
          </w:p>
        </w:tc>
      </w:tr>
      <w:tr w:rsidR="00AB4C80" w:rsidRPr="003C54B2" w14:paraId="0DEE6B83" w14:textId="77777777" w:rsidTr="00384647">
        <w:trPr>
          <w:trHeight w:val="587"/>
        </w:trPr>
        <w:tc>
          <w:tcPr>
            <w:tcW w:w="2824" w:type="dxa"/>
          </w:tcPr>
          <w:p w14:paraId="585CB5B5"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Employment</w:t>
            </w:r>
          </w:p>
        </w:tc>
        <w:tc>
          <w:tcPr>
            <w:tcW w:w="2833" w:type="dxa"/>
          </w:tcPr>
          <w:p w14:paraId="77B3D7F6"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4970F832"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Employment status of respondent</w:t>
            </w:r>
          </w:p>
        </w:tc>
      </w:tr>
      <w:tr w:rsidR="00AB4C80" w:rsidRPr="003C54B2" w14:paraId="79FBAC5F" w14:textId="77777777" w:rsidTr="00384647">
        <w:trPr>
          <w:trHeight w:val="582"/>
        </w:trPr>
        <w:tc>
          <w:tcPr>
            <w:tcW w:w="2824" w:type="dxa"/>
          </w:tcPr>
          <w:p w14:paraId="0E9F2FCC"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Education</w:t>
            </w:r>
          </w:p>
        </w:tc>
        <w:tc>
          <w:tcPr>
            <w:tcW w:w="2833" w:type="dxa"/>
          </w:tcPr>
          <w:p w14:paraId="0BF96939"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7A466773"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Education level of respondent</w:t>
            </w:r>
          </w:p>
        </w:tc>
      </w:tr>
      <w:tr w:rsidR="00AB4C80" w:rsidRPr="003C54B2" w14:paraId="2AA5EB47" w14:textId="77777777" w:rsidTr="00384647">
        <w:trPr>
          <w:trHeight w:val="582"/>
        </w:trPr>
        <w:tc>
          <w:tcPr>
            <w:tcW w:w="2824" w:type="dxa"/>
          </w:tcPr>
          <w:p w14:paraId="4710B39E"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State of residence</w:t>
            </w:r>
          </w:p>
        </w:tc>
        <w:tc>
          <w:tcPr>
            <w:tcW w:w="2833" w:type="dxa"/>
          </w:tcPr>
          <w:p w14:paraId="66C79F05"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Socio-demographic</w:t>
            </w:r>
          </w:p>
        </w:tc>
        <w:tc>
          <w:tcPr>
            <w:tcW w:w="2825" w:type="dxa"/>
          </w:tcPr>
          <w:p w14:paraId="132C6EDE"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Which state the respondent lives in</w:t>
            </w:r>
          </w:p>
        </w:tc>
      </w:tr>
      <w:tr w:rsidR="00AB4C80" w:rsidRPr="003C54B2" w14:paraId="0CBA9ECE" w14:textId="77777777" w:rsidTr="00384647">
        <w:trPr>
          <w:trHeight w:val="582"/>
        </w:trPr>
        <w:tc>
          <w:tcPr>
            <w:tcW w:w="2824" w:type="dxa"/>
          </w:tcPr>
          <w:p w14:paraId="3A3FD836"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Charging outlet</w:t>
            </w:r>
          </w:p>
        </w:tc>
        <w:tc>
          <w:tcPr>
            <w:tcW w:w="2833" w:type="dxa"/>
          </w:tcPr>
          <w:p w14:paraId="3E566C27"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Home charging availability</w:t>
            </w:r>
          </w:p>
        </w:tc>
        <w:tc>
          <w:tcPr>
            <w:tcW w:w="2825" w:type="dxa"/>
          </w:tcPr>
          <w:p w14:paraId="147FFA86"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Has an outlet within 20 feet of vehicle parking</w:t>
            </w:r>
          </w:p>
        </w:tc>
      </w:tr>
      <w:tr w:rsidR="00AB4C80" w:rsidRPr="003C54B2" w14:paraId="4CA94A1A" w14:textId="77777777" w:rsidTr="00384647">
        <w:trPr>
          <w:trHeight w:val="582"/>
        </w:trPr>
        <w:tc>
          <w:tcPr>
            <w:tcW w:w="2824" w:type="dxa"/>
          </w:tcPr>
          <w:p w14:paraId="6E6AFA2F"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EV charged at home</w:t>
            </w:r>
          </w:p>
        </w:tc>
        <w:tc>
          <w:tcPr>
            <w:tcW w:w="2833" w:type="dxa"/>
          </w:tcPr>
          <w:p w14:paraId="190CC381"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Home charging availability</w:t>
            </w:r>
          </w:p>
        </w:tc>
        <w:tc>
          <w:tcPr>
            <w:tcW w:w="2825" w:type="dxa"/>
          </w:tcPr>
          <w:p w14:paraId="19B4EB08" w14:textId="77777777" w:rsidR="00AB4C80" w:rsidRPr="00370A9C" w:rsidRDefault="00AB4C80" w:rsidP="00384647">
            <w:pPr>
              <w:spacing w:after="160" w:line="276" w:lineRule="auto"/>
              <w:rPr>
                <w:rFonts w:ascii="Times New Roman" w:hAnsi="Times New Roman" w:cs="Times New Roman"/>
              </w:rPr>
            </w:pPr>
            <w:r w:rsidRPr="00370A9C">
              <w:rPr>
                <w:rFonts w:ascii="Times New Roman" w:hAnsi="Times New Roman" w:cs="Times New Roman"/>
              </w:rPr>
              <w:t>The respondent charges its EV at home</w:t>
            </w:r>
          </w:p>
        </w:tc>
      </w:tr>
      <w:bookmarkEnd w:id="35"/>
    </w:tbl>
    <w:p w14:paraId="0A9757DB" w14:textId="77777777" w:rsidR="00100D2A" w:rsidRDefault="00100D2A" w:rsidP="00100D2A">
      <w:pPr>
        <w:spacing w:line="480" w:lineRule="auto"/>
        <w:rPr>
          <w:rFonts w:ascii="Times New Roman" w:hAnsi="Times New Roman" w:cs="Times New Roman"/>
        </w:rPr>
      </w:pPr>
    </w:p>
    <w:p w14:paraId="543E0000" w14:textId="77777777" w:rsidR="00E75827" w:rsidRDefault="00E75827" w:rsidP="00100D2A">
      <w:pPr>
        <w:spacing w:line="480" w:lineRule="auto"/>
        <w:rPr>
          <w:rFonts w:ascii="Times New Roman" w:hAnsi="Times New Roman" w:cs="Times New Roman"/>
        </w:rPr>
      </w:pPr>
    </w:p>
    <w:p w14:paraId="4B8B4136" w14:textId="181FAD2A" w:rsidR="00100D2A" w:rsidRPr="00AB4C80" w:rsidRDefault="00100D2A" w:rsidP="00623B78">
      <w:pPr>
        <w:spacing w:line="480" w:lineRule="auto"/>
        <w:rPr>
          <w:rFonts w:ascii="Times New Roman" w:hAnsi="Times New Roman" w:cs="Times New Roman"/>
        </w:rPr>
      </w:pPr>
      <w:r>
        <w:rPr>
          <w:rFonts w:ascii="Times New Roman" w:hAnsi="Times New Roman" w:cs="Times New Roman"/>
        </w:rPr>
        <w:lastRenderedPageBreak/>
        <w:t>Table 2 displays RECs respondents</w:t>
      </w:r>
      <w:r>
        <w:rPr>
          <w:rFonts w:ascii="Garamond" w:eastAsia="Garamond" w:hAnsi="Garamond" w:cs="Garamond"/>
        </w:rPr>
        <w:t xml:space="preserve"> </w:t>
      </w:r>
      <w:r>
        <w:rPr>
          <w:rFonts w:ascii="Times New Roman" w:hAnsi="Times New Roman" w:cs="Times New Roman"/>
        </w:rPr>
        <w:t>home charging availability and EV ownership. I</w:t>
      </w:r>
      <w:r w:rsidR="00AB4C80">
        <w:rPr>
          <w:rFonts w:ascii="Times New Roman" w:hAnsi="Times New Roman" w:cs="Times New Roman"/>
        </w:rPr>
        <w:t>mportant for our study</w:t>
      </w:r>
      <w:r>
        <w:rPr>
          <w:rFonts w:ascii="Times New Roman" w:hAnsi="Times New Roman" w:cs="Times New Roman"/>
        </w:rPr>
        <w:t>,</w:t>
      </w:r>
      <w:r w:rsidR="00AB4C80">
        <w:rPr>
          <w:rFonts w:ascii="Times New Roman" w:hAnsi="Times New Roman" w:cs="Times New Roman"/>
        </w:rPr>
        <w:t xml:space="preserve"> 62%</w:t>
      </w:r>
      <w:r>
        <w:rPr>
          <w:rFonts w:ascii="Times New Roman" w:hAnsi="Times New Roman" w:cs="Times New Roman"/>
        </w:rPr>
        <w:t xml:space="preserve"> of households surveyed </w:t>
      </w:r>
      <w:r w:rsidR="00AB4C80">
        <w:rPr>
          <w:rFonts w:ascii="Times New Roman" w:hAnsi="Times New Roman" w:cs="Times New Roman"/>
        </w:rPr>
        <w:t>reported having an outlet within 20 feet of parking their car</w:t>
      </w:r>
      <w:r>
        <w:rPr>
          <w:rFonts w:ascii="Times New Roman" w:hAnsi="Times New Roman" w:cs="Times New Roman"/>
        </w:rPr>
        <w:t>. This is</w:t>
      </w:r>
      <w:r w:rsidR="00AB4C80">
        <w:rPr>
          <w:rFonts w:ascii="Times New Roman" w:hAnsi="Times New Roman" w:cs="Times New Roman"/>
        </w:rPr>
        <w:t xml:space="preserve"> </w:t>
      </w:r>
      <w:r>
        <w:rPr>
          <w:rFonts w:ascii="Times New Roman" w:hAnsi="Times New Roman" w:cs="Times New Roman"/>
        </w:rPr>
        <w:t>a</w:t>
      </w:r>
      <w:r w:rsidR="00AB4C80">
        <w:rPr>
          <w:rFonts w:ascii="Times New Roman" w:hAnsi="Times New Roman" w:cs="Times New Roman"/>
        </w:rPr>
        <w:t xml:space="preserve"> </w:t>
      </w:r>
      <w:r>
        <w:rPr>
          <w:rFonts w:ascii="Times New Roman" w:hAnsi="Times New Roman" w:cs="Times New Roman"/>
        </w:rPr>
        <w:t xml:space="preserve">lower-bound estimate </w:t>
      </w:r>
      <w:r w:rsidR="00AB4C80">
        <w:rPr>
          <w:rFonts w:ascii="Times New Roman" w:hAnsi="Times New Roman" w:cs="Times New Roman"/>
        </w:rPr>
        <w:t>for HBCI</w:t>
      </w:r>
      <w:r>
        <w:rPr>
          <w:rFonts w:ascii="Times New Roman" w:hAnsi="Times New Roman" w:cs="Times New Roman"/>
        </w:rPr>
        <w:t xml:space="preserve"> access</w:t>
      </w:r>
      <w:r w:rsidR="00AB4C80">
        <w:rPr>
          <w:rFonts w:ascii="Times New Roman" w:hAnsi="Times New Roman" w:cs="Times New Roman"/>
        </w:rPr>
        <w:t xml:space="preserve">. </w:t>
      </w:r>
      <w:r>
        <w:rPr>
          <w:rFonts w:ascii="Times New Roman" w:hAnsi="Times New Roman" w:cs="Times New Roman"/>
        </w:rPr>
        <w:t xml:space="preserve">Only </w:t>
      </w:r>
      <w:r w:rsidR="00AB4C80">
        <w:rPr>
          <w:rFonts w:ascii="Times New Roman" w:hAnsi="Times New Roman" w:cs="Times New Roman"/>
        </w:rPr>
        <w:t xml:space="preserve">38% of households surveyed did not have access to HBCI. </w:t>
      </w:r>
      <w:r>
        <w:rPr>
          <w:rFonts w:ascii="Times New Roman" w:hAnsi="Times New Roman" w:cs="Times New Roman"/>
        </w:rPr>
        <w:t xml:space="preserve">Notably, </w:t>
      </w:r>
      <w:r w:rsidR="00AB4C80">
        <w:rPr>
          <w:rFonts w:ascii="Times New Roman" w:hAnsi="Times New Roman" w:cs="Times New Roman"/>
        </w:rPr>
        <w:t xml:space="preserve">EV ownership </w:t>
      </w:r>
      <w:r>
        <w:rPr>
          <w:rFonts w:ascii="Times New Roman" w:hAnsi="Times New Roman" w:cs="Times New Roman"/>
        </w:rPr>
        <w:t>is</w:t>
      </w:r>
      <w:r w:rsidR="00AB4C80">
        <w:rPr>
          <w:rFonts w:ascii="Times New Roman" w:hAnsi="Times New Roman" w:cs="Times New Roman"/>
        </w:rPr>
        <w:t xml:space="preserve"> </w:t>
      </w:r>
      <w:r>
        <w:rPr>
          <w:rFonts w:ascii="Times New Roman" w:hAnsi="Times New Roman" w:cs="Times New Roman"/>
        </w:rPr>
        <w:t>roughly</w:t>
      </w:r>
      <w:r w:rsidR="00AB4C80">
        <w:rPr>
          <w:rFonts w:ascii="Times New Roman" w:hAnsi="Times New Roman" w:cs="Times New Roman"/>
        </w:rPr>
        <w:t xml:space="preserve"> 700% higher for respondents with access to HBCI than those without.</w:t>
      </w:r>
    </w:p>
    <w:p w14:paraId="056584B1" w14:textId="0BB7501C" w:rsidR="00AE743B" w:rsidRDefault="008712FB" w:rsidP="00100D2A">
      <w:pPr>
        <w:pStyle w:val="Heading2"/>
        <w:jc w:val="left"/>
      </w:pPr>
      <w:bookmarkStart w:id="36" w:name="_Toc174455336"/>
      <w:r>
        <w:t>Methods</w:t>
      </w:r>
      <w:bookmarkEnd w:id="36"/>
    </w:p>
    <w:p w14:paraId="6F1ACEF8" w14:textId="59B177B4" w:rsidR="00100D2A" w:rsidRPr="008D4FB5" w:rsidRDefault="00100D2A" w:rsidP="00100D2A">
      <w:pPr>
        <w:spacing w:after="160" w:line="480" w:lineRule="auto"/>
        <w:ind w:firstLine="720"/>
        <w:rPr>
          <w:rFonts w:ascii="Times New Roman" w:eastAsia="Aptos" w:hAnsi="Times New Roman" w:cs="Times New Roman"/>
          <w:b/>
          <w:bCs/>
          <w:kern w:val="2"/>
          <w14:ligatures w14:val="standardContextual"/>
        </w:rPr>
      </w:pPr>
      <w:r w:rsidRPr="00AB4C80">
        <w:rPr>
          <w:rFonts w:ascii="Times New Roman" w:eastAsia="Aptos" w:hAnsi="Times New Roman" w:cs="Times New Roman"/>
          <w:kern w:val="2"/>
          <w14:ligatures w14:val="standardContextual"/>
        </w:rPr>
        <w:t>Our objective is to estimate the value of home</w:t>
      </w:r>
      <w:r w:rsidR="004D7D9A">
        <w:rPr>
          <w:rFonts w:ascii="Times New Roman" w:eastAsia="Aptos" w:hAnsi="Times New Roman" w:cs="Times New Roman"/>
          <w:kern w:val="2"/>
          <w14:ligatures w14:val="standardContextual"/>
        </w:rPr>
        <w:t>-</w:t>
      </w:r>
      <w:r w:rsidRPr="00AB4C80">
        <w:rPr>
          <w:rFonts w:ascii="Times New Roman" w:eastAsia="Aptos" w:hAnsi="Times New Roman" w:cs="Times New Roman"/>
          <w:kern w:val="2"/>
          <w14:ligatures w14:val="standardContextual"/>
        </w:rPr>
        <w:t>based charging infrastructure (HBCI) to EV ownership, annualized over the lifespan of the vehicle, or 12 years.</w:t>
      </w:r>
      <w:r>
        <w:rPr>
          <w:rFonts w:ascii="Times New Roman" w:eastAsia="Aptos" w:hAnsi="Times New Roman" w:cs="Times New Roman"/>
          <w:kern w:val="2"/>
          <w14:ligatures w14:val="standardContextual"/>
        </w:rPr>
        <w:t xml:space="preserve">  W</w:t>
      </w:r>
      <w:r w:rsidRPr="00AB4C80">
        <w:rPr>
          <w:rFonts w:ascii="Times New Roman" w:eastAsia="Aptos" w:hAnsi="Times New Roman" w:cs="Times New Roman"/>
          <w:kern w:val="2"/>
          <w14:ligatures w14:val="standardContextual"/>
        </w:rPr>
        <w:t xml:space="preserve">e evaluate the number of households in RECs who report owning EVs and if they have an outlet within 20 feet of parking their vehicle, </w:t>
      </w:r>
      <w:r>
        <w:rPr>
          <w:rFonts w:ascii="Times New Roman" w:eastAsia="Aptos" w:hAnsi="Times New Roman" w:cs="Times New Roman"/>
          <w:kern w:val="2"/>
          <w14:ligatures w14:val="standardContextual"/>
        </w:rPr>
        <w:t xml:space="preserve">which is </w:t>
      </w:r>
      <w:r w:rsidRPr="00AB4C80">
        <w:rPr>
          <w:rFonts w:ascii="Times New Roman" w:eastAsia="Aptos" w:hAnsi="Times New Roman" w:cs="Times New Roman"/>
          <w:kern w:val="2"/>
          <w14:ligatures w14:val="standardContextual"/>
        </w:rPr>
        <w:t>our proxy for HBCI availability.</w:t>
      </w:r>
      <w:r>
        <w:rPr>
          <w:rFonts w:ascii="Times New Roman" w:eastAsia="Aptos" w:hAnsi="Times New Roman" w:cs="Times New Roman"/>
          <w:kern w:val="2"/>
          <w14:ligatures w14:val="standardContextual"/>
        </w:rPr>
        <w:t xml:space="preserve"> We estimate two demand lines for EVs assuming a constant price elasticity of demand. The demand equation for EVs </w:t>
      </w:r>
      <w:r w:rsidR="007C36B0">
        <w:rPr>
          <w:rFonts w:ascii="Times New Roman" w:eastAsia="Aptos" w:hAnsi="Times New Roman" w:cs="Times New Roman"/>
          <w:kern w:val="2"/>
          <w14:ligatures w14:val="standardContextual"/>
        </w:rPr>
        <w:t xml:space="preserve">for </w:t>
      </w:r>
      <w:r>
        <w:rPr>
          <w:rFonts w:ascii="Times New Roman" w:eastAsia="Aptos" w:hAnsi="Times New Roman" w:cs="Times New Roman"/>
          <w:kern w:val="2"/>
          <w14:ligatures w14:val="standardContextual"/>
        </w:rPr>
        <w:t xml:space="preserve">households without access to HBCI is represented by Equation 1. Equation 2 represents the demand line for EVs </w:t>
      </w:r>
      <w:r w:rsidR="007C36B0">
        <w:rPr>
          <w:rFonts w:ascii="Times New Roman" w:eastAsia="Aptos" w:hAnsi="Times New Roman" w:cs="Times New Roman"/>
          <w:kern w:val="2"/>
          <w14:ligatures w14:val="standardContextual"/>
        </w:rPr>
        <w:t xml:space="preserve">for </w:t>
      </w:r>
      <w:r>
        <w:rPr>
          <w:rFonts w:ascii="Times New Roman" w:eastAsia="Aptos" w:hAnsi="Times New Roman" w:cs="Times New Roman"/>
          <w:kern w:val="2"/>
          <w14:ligatures w14:val="standardContextual"/>
        </w:rPr>
        <w:t xml:space="preserve">households with access to HBCI. </w:t>
      </w:r>
    </w:p>
    <w:p w14:paraId="7282FC19" w14:textId="77777777" w:rsidR="00100D2A" w:rsidRPr="00FB231E" w:rsidRDefault="00100D2A" w:rsidP="00100D2A">
      <w:pPr>
        <w:spacing w:after="160" w:line="480" w:lineRule="auto"/>
        <w:rPr>
          <w:rFonts w:ascii="Times New Roman" w:eastAsia="Aptos" w:hAnsi="Times New Roman" w:cs="Times New Roman"/>
          <w:iCs/>
        </w:rPr>
      </w:pPr>
      <w:r w:rsidRPr="00093B69">
        <w:rPr>
          <w:rFonts w:ascii="Times New Roman" w:eastAsia="Aptos" w:hAnsi="Times New Roman" w:cs="Times New Roman"/>
        </w:rPr>
        <w:t xml:space="preserve">Equation 1: </w:t>
      </w:r>
      <w:r w:rsidRPr="00093B69">
        <w:rPr>
          <w:rFonts w:ascii="Times New Roman" w:eastAsia="Aptos" w:hAnsi="Times New Roman" w:cs="Times New Roman"/>
        </w:rPr>
        <w:tab/>
      </w:r>
      <w:r w:rsidRPr="00093B69">
        <w:rPr>
          <w:rFonts w:ascii="Times New Roman" w:eastAsia="Aptos" w:hAnsi="Times New Roman" w:cs="Times New Roman"/>
        </w:rPr>
        <w:tab/>
      </w:r>
      <w:r w:rsidRPr="00093B69">
        <w:rPr>
          <w:rFonts w:ascii="Times New Roman" w:eastAsia="Aptos" w:hAnsi="Times New Roman" w:cs="Times New Roman"/>
          <w:i/>
        </w:rPr>
        <w:tab/>
      </w:r>
      <m:oMath>
        <m:func>
          <m:funcPr>
            <m:ctrlPr>
              <w:rPr>
                <w:rFonts w:ascii="Cambria Math" w:hAnsi="Cambria Math" w:cs="Times New Roman"/>
                <w:i/>
              </w:rPr>
            </m:ctrlPr>
          </m:funcPr>
          <m:fName>
            <m: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Q0</m:t>
                </m:r>
              </m:e>
            </m:d>
          </m:e>
        </m:func>
        <m:r>
          <w:rPr>
            <w:rFonts w:ascii="Cambria Math" w:hAnsi="Cambria Math" w:cs="Times New Roman"/>
          </w:rPr>
          <m:t>= α0 + ε *</m:t>
        </m:r>
        <m:func>
          <m:funcPr>
            <m:ctrlPr>
              <w:rPr>
                <w:rFonts w:ascii="Cambria Math" w:hAnsi="Cambria Math" w:cs="Times New Roman"/>
                <w:i/>
              </w:rPr>
            </m:ctrlPr>
          </m:funcPr>
          <m:fName>
            <m: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P</m:t>
                </m:r>
              </m:e>
            </m:d>
          </m:e>
        </m:func>
      </m:oMath>
    </w:p>
    <w:p w14:paraId="260E3C9A" w14:textId="030A3F9D" w:rsidR="00100D2A" w:rsidRDefault="00100D2A" w:rsidP="00100D2A">
      <w:pPr>
        <w:spacing w:after="160" w:line="480" w:lineRule="auto"/>
        <w:rPr>
          <w:rFonts w:ascii="Times New Roman" w:eastAsia="Aptos" w:hAnsi="Times New Roman" w:cs="Times New Roman"/>
          <w:iCs/>
        </w:rPr>
      </w:pPr>
      <w:r w:rsidRPr="00093B69">
        <w:rPr>
          <w:rFonts w:ascii="Times New Roman" w:eastAsia="Aptos" w:hAnsi="Times New Roman" w:cs="Times New Roman"/>
          <w:iCs/>
        </w:rPr>
        <w:t>Equation 2:</w:t>
      </w:r>
      <w:r w:rsidRPr="00093B69">
        <w:rPr>
          <w:rFonts w:ascii="Times New Roman" w:eastAsia="Aptos" w:hAnsi="Times New Roman" w:cs="Times New Roman"/>
          <w:i/>
        </w:rPr>
        <w:t xml:space="preserve"> </w:t>
      </w:r>
      <w:r w:rsidRPr="00093B69">
        <w:rPr>
          <w:rFonts w:ascii="Times New Roman" w:eastAsia="Aptos" w:hAnsi="Times New Roman" w:cs="Times New Roman"/>
          <w:i/>
        </w:rPr>
        <w:tab/>
      </w:r>
      <w:r w:rsidRPr="00FB231E">
        <w:rPr>
          <w:rFonts w:ascii="Times New Roman" w:eastAsia="Aptos" w:hAnsi="Times New Roman" w:cs="Times New Roman"/>
          <w:iCs/>
        </w:rPr>
        <w:tab/>
      </w:r>
      <w:r w:rsidRPr="00FB231E">
        <w:rPr>
          <w:rFonts w:ascii="Times New Roman" w:eastAsia="Aptos" w:hAnsi="Times New Roman" w:cs="Times New Roman"/>
          <w:iCs/>
        </w:rPr>
        <w:tab/>
      </w:r>
      <m:oMath>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Q1</m:t>
                </m:r>
              </m:e>
            </m:d>
          </m:e>
        </m:func>
        <m:r>
          <w:rPr>
            <w:rFonts w:ascii="Cambria Math" w:hAnsi="Cambria Math" w:cs="Times New Roman"/>
          </w:rPr>
          <m:t>= α1 + ε *</m:t>
        </m:r>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P</m:t>
                </m:r>
              </m:e>
            </m:d>
          </m:e>
        </m:func>
      </m:oMath>
    </w:p>
    <w:p w14:paraId="21C17AE7" w14:textId="77777777" w:rsidR="00F62E12" w:rsidRDefault="00100D2A" w:rsidP="00100D2A">
      <w:pPr>
        <w:spacing w:after="160" w:line="480" w:lineRule="auto"/>
        <w:rPr>
          <w:rFonts w:ascii="Times New Roman" w:hAnsi="Times New Roman" w:cs="Times New Roman"/>
        </w:rPr>
      </w:pPr>
      <w:r>
        <w:rPr>
          <w:rFonts w:ascii="Times New Roman" w:eastAsia="Aptos" w:hAnsi="Times New Roman" w:cs="Times New Roman"/>
          <w:kern w:val="2"/>
          <w14:ligatures w14:val="standardContextual"/>
        </w:rPr>
        <w:t>In both equations</w:t>
      </w:r>
      <w:r w:rsidR="00C81B84">
        <w:rPr>
          <w:rFonts w:ascii="Times New Roman" w:eastAsia="Aptos" w:hAnsi="Times New Roman" w:cs="Times New Roman"/>
          <w:kern w:val="2"/>
          <w14:ligatures w14:val="standardContextual"/>
        </w:rPr>
        <w:t>,</w:t>
      </w:r>
      <w:r>
        <w:rPr>
          <w:rFonts w:ascii="Times New Roman" w:eastAsia="Aptos" w:hAnsi="Times New Roman" w:cs="Times New Roman"/>
          <w:kern w:val="2"/>
          <w14:ligatures w14:val="standardContextual"/>
        </w:rPr>
        <w:t xml:space="preserve"> P is equivalent to the average price of an EV in 2020 in the US, and </w:t>
      </w:r>
      <m:oMath>
        <m:r>
          <m:rPr>
            <m:sty m:val="p"/>
          </m:rPr>
          <w:rPr>
            <w:rFonts w:ascii="Cambria Math" w:hAnsi="Cambria Math" w:cs="Times New Roman"/>
          </w:rPr>
          <m:t>ε</m:t>
        </m:r>
      </m:oMath>
      <w:r>
        <w:rPr>
          <w:rFonts w:ascii="Times New Roman" w:eastAsia="Aptos" w:hAnsi="Times New Roman" w:cs="Times New Roman"/>
          <w:iCs/>
        </w:rPr>
        <w:t xml:space="preserve"> represents the constant price elasticity of demand for EVs. </w:t>
      </w:r>
      <w:r>
        <w:rPr>
          <w:rFonts w:ascii="Times New Roman" w:hAnsi="Times New Roman" w:cs="Times New Roman"/>
        </w:rPr>
        <w:t xml:space="preserve">For our baseline estimation we assume that the median price of new and used EVs in 2020 was $27,058, and that the lifespan of the vehicle for a consumer is 12 years. </w:t>
      </w:r>
      <w:r>
        <w:rPr>
          <w:rFonts w:ascii="Times New Roman" w:eastAsia="Aptos" w:hAnsi="Times New Roman" w:cs="Times New Roman"/>
          <w:iCs/>
        </w:rPr>
        <w:t xml:space="preserve">The intercepts to our demand lines are represented by </w:t>
      </w:r>
      <m:oMath>
        <m:r>
          <m:rPr>
            <m:sty m:val="p"/>
          </m:rPr>
          <w:rPr>
            <w:rFonts w:ascii="Cambria Math" w:hAnsi="Cambria Math" w:cs="Times New Roman"/>
          </w:rPr>
          <m:t>α0</m:t>
        </m:r>
      </m:oMath>
      <w:r>
        <w:rPr>
          <w:rFonts w:ascii="Times New Roman" w:eastAsia="Aptos" w:hAnsi="Times New Roman" w:cs="Times New Roman"/>
          <w:iCs/>
        </w:rPr>
        <w:t xml:space="preserve"> and </w:t>
      </w:r>
      <m:oMath>
        <m:r>
          <m:rPr>
            <m:sty m:val="p"/>
          </m:rPr>
          <w:rPr>
            <w:rFonts w:ascii="Cambria Math" w:hAnsi="Cambria Math" w:cs="Times New Roman"/>
          </w:rPr>
          <m:t>α1.</m:t>
        </m:r>
      </m:oMath>
      <w:r>
        <w:rPr>
          <w:rFonts w:ascii="Times New Roman" w:eastAsia="Aptos" w:hAnsi="Times New Roman" w:cs="Times New Roman"/>
          <w:iCs/>
        </w:rPr>
        <w:t xml:space="preserve"> </w:t>
      </w:r>
      <w:r w:rsidRPr="008D6055">
        <w:rPr>
          <w:rFonts w:ascii="Times New Roman" w:eastAsia="Aptos" w:hAnsi="Times New Roman" w:cs="Times New Roman"/>
          <w:iCs/>
        </w:rPr>
        <w:t xml:space="preserve">The difference between </w:t>
      </w:r>
      <m:oMath>
        <m:r>
          <m:rPr>
            <m:sty m:val="p"/>
          </m:rPr>
          <w:rPr>
            <w:rFonts w:ascii="Cambria Math" w:hAnsi="Cambria Math" w:cs="Times New Roman"/>
          </w:rPr>
          <m:t>α0</m:t>
        </m:r>
      </m:oMath>
      <w:r>
        <w:rPr>
          <w:rFonts w:ascii="Times New Roman" w:eastAsia="Aptos" w:hAnsi="Times New Roman" w:cs="Times New Roman"/>
          <w:iCs/>
        </w:rPr>
        <w:t xml:space="preserve"> and </w:t>
      </w:r>
      <m:oMath>
        <m:r>
          <m:rPr>
            <m:sty m:val="p"/>
          </m:rPr>
          <w:rPr>
            <w:rFonts w:ascii="Cambria Math" w:hAnsi="Cambria Math" w:cs="Times New Roman"/>
          </w:rPr>
          <m:t>α1,</m:t>
        </m:r>
      </m:oMath>
      <w:r>
        <w:rPr>
          <w:rFonts w:ascii="Times New Roman" w:eastAsia="Aptos" w:hAnsi="Times New Roman" w:cs="Times New Roman"/>
          <w:iCs/>
        </w:rPr>
        <w:t xml:space="preserve"> the vertical distance between the two demand lines, c</w:t>
      </w:r>
      <w:r w:rsidRPr="008D6055">
        <w:rPr>
          <w:rFonts w:ascii="Times New Roman" w:eastAsia="Aptos" w:hAnsi="Times New Roman" w:cs="Times New Roman"/>
          <w:iCs/>
        </w:rPr>
        <w:t>aptures the impact of HBC</w:t>
      </w:r>
      <w:r>
        <w:rPr>
          <w:rFonts w:ascii="Times New Roman" w:eastAsia="Aptos" w:hAnsi="Times New Roman" w:cs="Times New Roman"/>
          <w:iCs/>
        </w:rPr>
        <w:t>I</w:t>
      </w:r>
      <w:r w:rsidRPr="008D6055">
        <w:rPr>
          <w:rFonts w:ascii="Times New Roman" w:eastAsia="Aptos" w:hAnsi="Times New Roman" w:cs="Times New Roman"/>
          <w:iCs/>
        </w:rPr>
        <w:t xml:space="preserve"> on EV demand.</w:t>
      </w:r>
      <w:r>
        <w:rPr>
          <w:rFonts w:ascii="Times New Roman" w:eastAsia="Aptos" w:hAnsi="Times New Roman" w:cs="Times New Roman"/>
          <w:iCs/>
        </w:rPr>
        <w:t xml:space="preserve"> </w:t>
      </w:r>
      <w:r>
        <w:rPr>
          <w:rFonts w:ascii="Times New Roman" w:hAnsi="Times New Roman" w:cs="Times New Roman"/>
        </w:rPr>
        <w:t xml:space="preserve">Q0 is given </w:t>
      </w:r>
    </w:p>
    <w:p w14:paraId="2E8A8FB3" w14:textId="77777777" w:rsidR="00F62E12" w:rsidRPr="00100D2A" w:rsidRDefault="00F62E12" w:rsidP="00F62E12">
      <w:pPr>
        <w:pStyle w:val="Heading2"/>
        <w:rPr>
          <w:rFonts w:eastAsia="Garamond"/>
        </w:rPr>
      </w:pPr>
      <w:bookmarkStart w:id="37" w:name="_Toc167481003"/>
      <w:bookmarkStart w:id="38" w:name="_Toc173410594"/>
      <w:bookmarkStart w:id="39" w:name="_Toc174454610"/>
      <w:bookmarkStart w:id="40" w:name="_Toc174455337"/>
      <w:r w:rsidRPr="6B34148A">
        <w:rPr>
          <w:rFonts w:eastAsia="Garamond"/>
        </w:rPr>
        <w:lastRenderedPageBreak/>
        <w:t xml:space="preserve">Table </w:t>
      </w:r>
      <w:r>
        <w:rPr>
          <w:rFonts w:eastAsia="Garamond"/>
        </w:rPr>
        <w:t>2.</w:t>
      </w:r>
      <w:r w:rsidRPr="6B34148A">
        <w:rPr>
          <w:rFonts w:eastAsia="Garamond"/>
        </w:rPr>
        <w:t xml:space="preserve"> Home Charging Capability and EV Ownership</w:t>
      </w:r>
      <w:bookmarkEnd w:id="37"/>
      <w:bookmarkEnd w:id="38"/>
      <w:bookmarkEnd w:id="39"/>
      <w:bookmarkEnd w:id="40"/>
    </w:p>
    <w:tbl>
      <w:tblPr>
        <w:tblStyle w:val="TableGrid"/>
        <w:tblW w:w="8825" w:type="dxa"/>
        <w:tblInd w:w="-8"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801"/>
        <w:gridCol w:w="1737"/>
        <w:gridCol w:w="4287"/>
      </w:tblGrid>
      <w:tr w:rsidR="00F62E12" w14:paraId="4D06A225" w14:textId="77777777" w:rsidTr="00722492">
        <w:trPr>
          <w:trHeight w:val="867"/>
        </w:trPr>
        <w:tc>
          <w:tcPr>
            <w:tcW w:w="2801" w:type="dxa"/>
            <w:vMerge w:val="restart"/>
            <w:tcBorders>
              <w:top w:val="single" w:sz="6" w:space="0" w:color="000000" w:themeColor="text1"/>
              <w:left w:val="single" w:sz="6" w:space="0" w:color="000000" w:themeColor="text1"/>
              <w:bottom w:val="single" w:sz="12" w:space="0" w:color="000000" w:themeColor="text1"/>
              <w:right w:val="single" w:sz="6" w:space="0" w:color="000000" w:themeColor="text1"/>
            </w:tcBorders>
            <w:tcMar>
              <w:top w:w="45" w:type="dxa"/>
              <w:right w:w="105" w:type="dxa"/>
            </w:tcMar>
            <w:vAlign w:val="bottom"/>
          </w:tcPr>
          <w:p w14:paraId="14B7821F" w14:textId="77777777" w:rsidR="00F62E12" w:rsidRDefault="00F62E12" w:rsidP="00722492">
            <w:pPr>
              <w:spacing w:line="259" w:lineRule="auto"/>
              <w:ind w:left="113"/>
              <w:jc w:val="center"/>
              <w:rPr>
                <w:rFonts w:ascii="Garamond" w:eastAsia="Garamond" w:hAnsi="Garamond" w:cs="Garamond"/>
              </w:rPr>
            </w:pPr>
            <w:r w:rsidRPr="6B34148A">
              <w:rPr>
                <w:rFonts w:ascii="Garamond" w:eastAsia="Garamond" w:hAnsi="Garamond" w:cs="Garamond"/>
                <w:b/>
                <w:bCs/>
              </w:rPr>
              <w:t xml:space="preserve">Electric </w:t>
            </w:r>
          </w:p>
          <w:p w14:paraId="5F07ACA9" w14:textId="77777777" w:rsidR="00F62E12" w:rsidRDefault="00F62E12" w:rsidP="00722492">
            <w:pPr>
              <w:spacing w:line="259" w:lineRule="auto"/>
              <w:ind w:left="113"/>
              <w:jc w:val="center"/>
              <w:rPr>
                <w:rFonts w:ascii="Garamond" w:eastAsia="Garamond" w:hAnsi="Garamond" w:cs="Garamond"/>
              </w:rPr>
            </w:pPr>
            <w:r w:rsidRPr="6B34148A">
              <w:rPr>
                <w:rFonts w:ascii="Garamond" w:eastAsia="Garamond" w:hAnsi="Garamond" w:cs="Garamond"/>
                <w:b/>
                <w:bCs/>
              </w:rPr>
              <w:t xml:space="preserve">Vehicle </w:t>
            </w:r>
          </w:p>
          <w:p w14:paraId="4477C196" w14:textId="77777777" w:rsidR="00F62E12" w:rsidRDefault="00F62E12" w:rsidP="00722492">
            <w:pPr>
              <w:spacing w:after="73" w:line="259" w:lineRule="auto"/>
              <w:ind w:left="117"/>
              <w:jc w:val="center"/>
              <w:rPr>
                <w:rFonts w:ascii="Garamond" w:eastAsia="Garamond" w:hAnsi="Garamond" w:cs="Garamond"/>
              </w:rPr>
            </w:pPr>
            <w:r w:rsidRPr="6B34148A">
              <w:rPr>
                <w:rFonts w:ascii="Garamond" w:eastAsia="Garamond" w:hAnsi="Garamond" w:cs="Garamond"/>
                <w:b/>
                <w:bCs/>
              </w:rPr>
              <w:t xml:space="preserve">Ownership </w:t>
            </w:r>
          </w:p>
          <w:p w14:paraId="414A6A70" w14:textId="77777777" w:rsidR="00F62E12" w:rsidRDefault="00F62E12" w:rsidP="00722492">
            <w:pPr>
              <w:spacing w:line="259" w:lineRule="auto"/>
              <w:ind w:left="171"/>
              <w:jc w:val="center"/>
              <w:rPr>
                <w:rFonts w:ascii="Garamond" w:eastAsia="Garamond" w:hAnsi="Garamond" w:cs="Garamond"/>
              </w:rPr>
            </w:pPr>
            <w:r w:rsidRPr="6B34148A">
              <w:rPr>
                <w:rFonts w:ascii="Garamond" w:eastAsia="Garamond" w:hAnsi="Garamond" w:cs="Garamond"/>
              </w:rPr>
              <w:t xml:space="preserve"> </w:t>
            </w:r>
          </w:p>
        </w:tc>
        <w:tc>
          <w:tcPr>
            <w:tcW w:w="1737" w:type="dxa"/>
            <w:tcBorders>
              <w:top w:val="single" w:sz="6" w:space="0" w:color="000000" w:themeColor="text1"/>
              <w:left w:val="single" w:sz="6" w:space="0" w:color="000000" w:themeColor="text1"/>
              <w:bottom w:val="single" w:sz="6" w:space="0" w:color="000000" w:themeColor="text1"/>
              <w:right w:val="nil"/>
            </w:tcBorders>
            <w:tcMar>
              <w:top w:w="45" w:type="dxa"/>
              <w:right w:w="105" w:type="dxa"/>
            </w:tcMar>
          </w:tcPr>
          <w:p w14:paraId="5EE22772" w14:textId="77777777" w:rsidR="00F62E12" w:rsidRDefault="00F62E12" w:rsidP="00722492">
            <w:pPr>
              <w:spacing w:line="259" w:lineRule="auto"/>
              <w:rPr>
                <w:rFonts w:ascii="Calibri" w:eastAsia="Calibri" w:hAnsi="Calibri" w:cs="Calibri"/>
              </w:rPr>
            </w:pPr>
          </w:p>
        </w:tc>
        <w:tc>
          <w:tcPr>
            <w:tcW w:w="4287" w:type="dxa"/>
            <w:tcBorders>
              <w:top w:val="single" w:sz="6" w:space="0" w:color="000000" w:themeColor="text1"/>
              <w:left w:val="nil"/>
              <w:bottom w:val="single" w:sz="6" w:space="0" w:color="000000" w:themeColor="text1"/>
              <w:right w:val="single" w:sz="6" w:space="0" w:color="000000" w:themeColor="text1"/>
            </w:tcBorders>
            <w:tcMar>
              <w:top w:w="45" w:type="dxa"/>
              <w:right w:w="105" w:type="dxa"/>
            </w:tcMar>
          </w:tcPr>
          <w:p w14:paraId="25103BAC" w14:textId="77777777" w:rsidR="00F62E12" w:rsidRDefault="00F62E12" w:rsidP="00722492">
            <w:pPr>
              <w:spacing w:line="259" w:lineRule="auto"/>
              <w:ind w:left="761"/>
              <w:rPr>
                <w:rFonts w:ascii="Garamond" w:eastAsia="Garamond" w:hAnsi="Garamond" w:cs="Garamond"/>
              </w:rPr>
            </w:pPr>
            <w:r w:rsidRPr="6B34148A">
              <w:rPr>
                <w:rFonts w:ascii="Garamond" w:eastAsia="Garamond" w:hAnsi="Garamond" w:cs="Garamond"/>
                <w:b/>
                <w:bCs/>
              </w:rPr>
              <w:t xml:space="preserve"> </w:t>
            </w:r>
          </w:p>
          <w:p w14:paraId="7ACE079A" w14:textId="77777777" w:rsidR="00F62E12" w:rsidRDefault="00F62E12" w:rsidP="00722492">
            <w:pPr>
              <w:spacing w:line="259" w:lineRule="auto"/>
              <w:ind w:left="284" w:hanging="284"/>
              <w:rPr>
                <w:rFonts w:ascii="Garamond" w:eastAsia="Garamond" w:hAnsi="Garamond" w:cs="Garamond"/>
              </w:rPr>
            </w:pPr>
            <w:r w:rsidRPr="6B34148A">
              <w:rPr>
                <w:rFonts w:ascii="Garamond" w:eastAsia="Garamond" w:hAnsi="Garamond" w:cs="Garamond"/>
                <w:b/>
                <w:bCs/>
              </w:rPr>
              <w:t>Home Charging Capability</w:t>
            </w:r>
            <w:r w:rsidRPr="6B34148A">
              <w:rPr>
                <w:rFonts w:ascii="Garamond" w:eastAsia="Garamond" w:hAnsi="Garamond" w:cs="Garamond"/>
              </w:rPr>
              <w:t xml:space="preserve"> </w:t>
            </w:r>
          </w:p>
        </w:tc>
      </w:tr>
      <w:tr w:rsidR="00F62E12" w14:paraId="40F27DAF" w14:textId="77777777" w:rsidTr="00722492">
        <w:trPr>
          <w:trHeight w:val="316"/>
        </w:trPr>
        <w:tc>
          <w:tcPr>
            <w:tcW w:w="2801" w:type="dxa"/>
            <w:vMerge/>
            <w:vAlign w:val="center"/>
          </w:tcPr>
          <w:p w14:paraId="12874162" w14:textId="77777777" w:rsidR="00F62E12" w:rsidRDefault="00F62E12" w:rsidP="00722492"/>
        </w:tc>
        <w:tc>
          <w:tcPr>
            <w:tcW w:w="1737" w:type="dxa"/>
            <w:tcBorders>
              <w:top w:val="single" w:sz="6" w:space="0" w:color="000000" w:themeColor="text1"/>
              <w:left w:val="single" w:sz="6" w:space="0" w:color="000000" w:themeColor="text1"/>
              <w:bottom w:val="single" w:sz="12" w:space="0" w:color="000000" w:themeColor="text1"/>
              <w:right w:val="nil"/>
            </w:tcBorders>
            <w:tcMar>
              <w:top w:w="45" w:type="dxa"/>
              <w:right w:w="105" w:type="dxa"/>
            </w:tcMar>
          </w:tcPr>
          <w:p w14:paraId="69E3FB34" w14:textId="77777777" w:rsidR="00F62E12" w:rsidRDefault="00F62E12" w:rsidP="00722492">
            <w:pPr>
              <w:spacing w:line="259" w:lineRule="auto"/>
              <w:ind w:left="235"/>
              <w:jc w:val="center"/>
              <w:rPr>
                <w:rFonts w:ascii="Garamond" w:eastAsia="Garamond" w:hAnsi="Garamond" w:cs="Garamond"/>
              </w:rPr>
            </w:pPr>
            <w:r w:rsidRPr="6B34148A">
              <w:rPr>
                <w:rFonts w:ascii="Garamond" w:eastAsia="Garamond" w:hAnsi="Garamond" w:cs="Garamond"/>
                <w:b/>
                <w:bCs/>
              </w:rPr>
              <w:t>No</w:t>
            </w:r>
          </w:p>
        </w:tc>
        <w:tc>
          <w:tcPr>
            <w:tcW w:w="4287" w:type="dxa"/>
            <w:tcBorders>
              <w:top w:val="single" w:sz="6" w:space="0" w:color="000000" w:themeColor="text1"/>
              <w:left w:val="nil"/>
              <w:bottom w:val="single" w:sz="12" w:space="0" w:color="000000" w:themeColor="text1"/>
              <w:right w:val="single" w:sz="6" w:space="0" w:color="000000" w:themeColor="text1"/>
            </w:tcBorders>
            <w:tcMar>
              <w:top w:w="45" w:type="dxa"/>
              <w:right w:w="105" w:type="dxa"/>
            </w:tcMar>
          </w:tcPr>
          <w:p w14:paraId="6A28F957" w14:textId="77777777" w:rsidR="00F62E12" w:rsidRDefault="00F62E12" w:rsidP="00722492">
            <w:pPr>
              <w:tabs>
                <w:tab w:val="center" w:pos="696"/>
                <w:tab w:val="center" w:pos="1915"/>
              </w:tabs>
              <w:spacing w:line="259" w:lineRule="auto"/>
              <w:jc w:val="center"/>
              <w:rPr>
                <w:rFonts w:ascii="Garamond" w:eastAsia="Garamond" w:hAnsi="Garamond" w:cs="Garamond"/>
              </w:rPr>
            </w:pPr>
            <w:r w:rsidRPr="6B34148A">
              <w:rPr>
                <w:rFonts w:ascii="Garamond" w:eastAsia="Garamond" w:hAnsi="Garamond" w:cs="Garamond"/>
                <w:b/>
                <w:bCs/>
              </w:rPr>
              <w:t xml:space="preserve">Yes </w:t>
            </w:r>
            <w:r>
              <w:rPr>
                <w:rFonts w:ascii="Garamond" w:eastAsia="Garamond" w:hAnsi="Garamond" w:cs="Garamond"/>
                <w:b/>
                <w:bCs/>
              </w:rPr>
              <w:t xml:space="preserve">             </w:t>
            </w:r>
            <w:r w:rsidRPr="00BE2389">
              <w:rPr>
                <w:rFonts w:ascii="Garamond" w:eastAsia="Garamond" w:hAnsi="Garamond" w:cs="Garamond"/>
                <w:b/>
                <w:bCs/>
              </w:rPr>
              <w:t>Total</w:t>
            </w:r>
          </w:p>
        </w:tc>
      </w:tr>
      <w:tr w:rsidR="00F62E12" w14:paraId="7D468028" w14:textId="77777777" w:rsidTr="00722492">
        <w:trPr>
          <w:trHeight w:val="300"/>
        </w:trPr>
        <w:tc>
          <w:tcPr>
            <w:tcW w:w="2801" w:type="dxa"/>
            <w:tcBorders>
              <w:top w:val="single" w:sz="12" w:space="0" w:color="000000" w:themeColor="text1"/>
              <w:left w:val="single" w:sz="6" w:space="0" w:color="000000" w:themeColor="text1"/>
              <w:bottom w:val="nil"/>
              <w:right w:val="single" w:sz="6" w:space="0" w:color="000000" w:themeColor="text1"/>
            </w:tcBorders>
            <w:tcMar>
              <w:top w:w="45" w:type="dxa"/>
              <w:right w:w="105" w:type="dxa"/>
            </w:tcMar>
          </w:tcPr>
          <w:p w14:paraId="31CC7ED0" w14:textId="77777777" w:rsidR="00F62E12" w:rsidRDefault="00F62E12" w:rsidP="00722492">
            <w:pPr>
              <w:spacing w:line="259" w:lineRule="auto"/>
              <w:ind w:left="116"/>
              <w:jc w:val="center"/>
              <w:rPr>
                <w:rFonts w:ascii="Garamond" w:eastAsia="Garamond" w:hAnsi="Garamond" w:cs="Garamond"/>
              </w:rPr>
            </w:pPr>
            <w:r w:rsidRPr="6B34148A">
              <w:rPr>
                <w:rFonts w:ascii="Garamond" w:eastAsia="Garamond" w:hAnsi="Garamond" w:cs="Garamond"/>
                <w:b/>
                <w:bCs/>
              </w:rPr>
              <w:t xml:space="preserve">No </w:t>
            </w:r>
          </w:p>
        </w:tc>
        <w:tc>
          <w:tcPr>
            <w:tcW w:w="1737" w:type="dxa"/>
            <w:tcBorders>
              <w:top w:val="single" w:sz="12" w:space="0" w:color="000000" w:themeColor="text1"/>
              <w:left w:val="single" w:sz="6" w:space="0" w:color="000000" w:themeColor="text1"/>
              <w:bottom w:val="nil"/>
              <w:right w:val="nil"/>
            </w:tcBorders>
            <w:tcMar>
              <w:top w:w="45" w:type="dxa"/>
              <w:right w:w="105" w:type="dxa"/>
            </w:tcMar>
          </w:tcPr>
          <w:p w14:paraId="0D29BC0B" w14:textId="77777777" w:rsidR="00F62E12" w:rsidRDefault="00F62E12" w:rsidP="00722492">
            <w:pPr>
              <w:spacing w:line="259" w:lineRule="auto"/>
              <w:ind w:left="236"/>
              <w:jc w:val="center"/>
              <w:rPr>
                <w:rFonts w:ascii="Garamond" w:eastAsia="Garamond" w:hAnsi="Garamond" w:cs="Garamond"/>
              </w:rPr>
            </w:pPr>
            <w:r w:rsidRPr="6B34148A">
              <w:rPr>
                <w:rFonts w:ascii="Garamond" w:eastAsia="Garamond" w:hAnsi="Garamond" w:cs="Garamond"/>
              </w:rPr>
              <w:t>6,985</w:t>
            </w:r>
          </w:p>
        </w:tc>
        <w:tc>
          <w:tcPr>
            <w:tcW w:w="4287" w:type="dxa"/>
            <w:tcBorders>
              <w:top w:val="single" w:sz="12" w:space="0" w:color="000000" w:themeColor="text1"/>
              <w:left w:val="nil"/>
              <w:bottom w:val="nil"/>
              <w:right w:val="single" w:sz="6" w:space="0" w:color="000000" w:themeColor="text1"/>
            </w:tcBorders>
            <w:tcMar>
              <w:top w:w="45" w:type="dxa"/>
              <w:right w:w="105" w:type="dxa"/>
            </w:tcMar>
          </w:tcPr>
          <w:p w14:paraId="151FBA9B" w14:textId="77777777" w:rsidR="00F62E12" w:rsidRDefault="00F62E12" w:rsidP="00722492">
            <w:pPr>
              <w:tabs>
                <w:tab w:val="center" w:pos="695"/>
                <w:tab w:val="center" w:pos="1912"/>
              </w:tabs>
              <w:spacing w:line="259" w:lineRule="auto"/>
              <w:jc w:val="center"/>
              <w:rPr>
                <w:rFonts w:ascii="Garamond" w:eastAsia="Garamond" w:hAnsi="Garamond" w:cs="Garamond"/>
              </w:rPr>
            </w:pPr>
            <w:r w:rsidRPr="6B34148A">
              <w:rPr>
                <w:rFonts w:ascii="Garamond" w:eastAsia="Garamond" w:hAnsi="Garamond" w:cs="Garamond"/>
              </w:rPr>
              <w:t xml:space="preserve">11,225 </w:t>
            </w:r>
            <w:r>
              <w:t xml:space="preserve">           </w:t>
            </w:r>
            <w:r w:rsidRPr="6B34148A">
              <w:rPr>
                <w:rFonts w:ascii="Garamond" w:eastAsia="Garamond" w:hAnsi="Garamond" w:cs="Garamond"/>
              </w:rPr>
              <w:t>18,210</w:t>
            </w:r>
          </w:p>
        </w:tc>
      </w:tr>
      <w:tr w:rsidR="00F62E12" w14:paraId="09571F89" w14:textId="77777777" w:rsidTr="00722492">
        <w:trPr>
          <w:trHeight w:val="316"/>
        </w:trPr>
        <w:tc>
          <w:tcPr>
            <w:tcW w:w="2801" w:type="dxa"/>
            <w:tcBorders>
              <w:top w:val="nil"/>
              <w:left w:val="single" w:sz="6" w:space="0" w:color="000000" w:themeColor="text1"/>
              <w:bottom w:val="single" w:sz="6" w:space="0" w:color="000000" w:themeColor="text1"/>
              <w:right w:val="single" w:sz="6" w:space="0" w:color="000000" w:themeColor="text1"/>
            </w:tcBorders>
            <w:tcMar>
              <w:top w:w="45" w:type="dxa"/>
              <w:right w:w="105" w:type="dxa"/>
            </w:tcMar>
          </w:tcPr>
          <w:p w14:paraId="14AF730C" w14:textId="77777777" w:rsidR="00F62E12" w:rsidRDefault="00F62E12" w:rsidP="00722492">
            <w:pPr>
              <w:spacing w:line="259" w:lineRule="auto"/>
              <w:ind w:left="115"/>
              <w:jc w:val="center"/>
              <w:rPr>
                <w:rFonts w:ascii="Garamond" w:eastAsia="Garamond" w:hAnsi="Garamond" w:cs="Garamond"/>
              </w:rPr>
            </w:pPr>
            <w:r w:rsidRPr="6B34148A">
              <w:rPr>
                <w:rFonts w:ascii="Garamond" w:eastAsia="Garamond" w:hAnsi="Garamond" w:cs="Garamond"/>
                <w:b/>
                <w:bCs/>
              </w:rPr>
              <w:t xml:space="preserve">Yes </w:t>
            </w:r>
          </w:p>
        </w:tc>
        <w:tc>
          <w:tcPr>
            <w:tcW w:w="1737" w:type="dxa"/>
            <w:tcBorders>
              <w:top w:val="nil"/>
              <w:left w:val="single" w:sz="6" w:space="0" w:color="000000" w:themeColor="text1"/>
              <w:bottom w:val="single" w:sz="6" w:space="0" w:color="000000" w:themeColor="text1"/>
              <w:right w:val="nil"/>
            </w:tcBorders>
            <w:tcMar>
              <w:top w:w="45" w:type="dxa"/>
              <w:right w:w="105" w:type="dxa"/>
            </w:tcMar>
          </w:tcPr>
          <w:p w14:paraId="29DD5838" w14:textId="77777777" w:rsidR="00F62E12" w:rsidRDefault="00F62E12" w:rsidP="00722492">
            <w:pPr>
              <w:spacing w:line="259" w:lineRule="auto"/>
              <w:ind w:left="236"/>
              <w:jc w:val="center"/>
              <w:rPr>
                <w:rFonts w:ascii="Garamond" w:eastAsia="Garamond" w:hAnsi="Garamond" w:cs="Garamond"/>
              </w:rPr>
            </w:pPr>
            <w:r w:rsidRPr="6B34148A">
              <w:rPr>
                <w:rFonts w:ascii="Garamond" w:eastAsia="Garamond" w:hAnsi="Garamond" w:cs="Garamond"/>
              </w:rPr>
              <w:t>36</w:t>
            </w:r>
          </w:p>
        </w:tc>
        <w:tc>
          <w:tcPr>
            <w:tcW w:w="4287" w:type="dxa"/>
            <w:tcBorders>
              <w:top w:val="nil"/>
              <w:left w:val="nil"/>
              <w:bottom w:val="single" w:sz="6" w:space="0" w:color="000000" w:themeColor="text1"/>
              <w:right w:val="single" w:sz="6" w:space="0" w:color="000000" w:themeColor="text1"/>
            </w:tcBorders>
            <w:tcMar>
              <w:top w:w="45" w:type="dxa"/>
              <w:right w:w="105" w:type="dxa"/>
            </w:tcMar>
          </w:tcPr>
          <w:p w14:paraId="2B8E3369" w14:textId="77777777" w:rsidR="00F62E12" w:rsidRDefault="00F62E12" w:rsidP="00722492">
            <w:pPr>
              <w:tabs>
                <w:tab w:val="center" w:pos="695"/>
                <w:tab w:val="center" w:pos="1912"/>
              </w:tabs>
              <w:spacing w:line="259" w:lineRule="auto"/>
              <w:jc w:val="center"/>
              <w:rPr>
                <w:rFonts w:ascii="Garamond" w:eastAsia="Garamond" w:hAnsi="Garamond" w:cs="Garamond"/>
              </w:rPr>
            </w:pPr>
            <w:r w:rsidRPr="6B34148A">
              <w:rPr>
                <w:rFonts w:ascii="Garamond" w:eastAsia="Garamond" w:hAnsi="Garamond" w:cs="Garamond"/>
              </w:rPr>
              <w:t xml:space="preserve">250 </w:t>
            </w:r>
            <w:r>
              <w:tab/>
              <w:t xml:space="preserve">                  </w:t>
            </w:r>
            <w:r w:rsidRPr="6B34148A">
              <w:rPr>
                <w:rFonts w:ascii="Garamond" w:eastAsia="Garamond" w:hAnsi="Garamond" w:cs="Garamond"/>
              </w:rPr>
              <w:t>286</w:t>
            </w:r>
          </w:p>
        </w:tc>
      </w:tr>
      <w:tr w:rsidR="00F62E12" w14:paraId="6BFBD6D9" w14:textId="77777777" w:rsidTr="00722492">
        <w:trPr>
          <w:trHeight w:val="75"/>
        </w:trPr>
        <w:tc>
          <w:tcPr>
            <w:tcW w:w="28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right w:w="105" w:type="dxa"/>
            </w:tcMar>
          </w:tcPr>
          <w:p w14:paraId="6E617CD2" w14:textId="77777777" w:rsidR="00F62E12" w:rsidRPr="00BE2389" w:rsidRDefault="00F62E12" w:rsidP="00722492">
            <w:pPr>
              <w:spacing w:line="259" w:lineRule="auto"/>
              <w:ind w:left="119"/>
              <w:jc w:val="center"/>
              <w:rPr>
                <w:rFonts w:ascii="Garamond" w:eastAsia="Garamond" w:hAnsi="Garamond" w:cs="Garamond"/>
                <w:b/>
                <w:bCs/>
              </w:rPr>
            </w:pPr>
            <w:r w:rsidRPr="00BE2389">
              <w:rPr>
                <w:rFonts w:ascii="Garamond" w:eastAsia="Garamond" w:hAnsi="Garamond" w:cs="Garamond"/>
                <w:b/>
                <w:bCs/>
              </w:rPr>
              <w:t xml:space="preserve">Total </w:t>
            </w:r>
          </w:p>
        </w:tc>
        <w:tc>
          <w:tcPr>
            <w:tcW w:w="1737" w:type="dxa"/>
            <w:tcBorders>
              <w:top w:val="single" w:sz="6" w:space="0" w:color="000000" w:themeColor="text1"/>
              <w:left w:val="single" w:sz="6" w:space="0" w:color="000000" w:themeColor="text1"/>
              <w:bottom w:val="single" w:sz="6" w:space="0" w:color="000000" w:themeColor="text1"/>
              <w:right w:val="nil"/>
            </w:tcBorders>
            <w:tcMar>
              <w:top w:w="45" w:type="dxa"/>
              <w:right w:w="105" w:type="dxa"/>
            </w:tcMar>
          </w:tcPr>
          <w:p w14:paraId="2CFE6B04" w14:textId="77777777" w:rsidR="00F62E12" w:rsidRDefault="00F62E12" w:rsidP="00722492">
            <w:pPr>
              <w:spacing w:line="259" w:lineRule="auto"/>
              <w:ind w:left="236"/>
              <w:jc w:val="center"/>
              <w:rPr>
                <w:rFonts w:ascii="Garamond" w:eastAsia="Garamond" w:hAnsi="Garamond" w:cs="Garamond"/>
              </w:rPr>
            </w:pPr>
            <w:r w:rsidRPr="6B34148A">
              <w:rPr>
                <w:rFonts w:ascii="Garamond" w:eastAsia="Garamond" w:hAnsi="Garamond" w:cs="Garamond"/>
              </w:rPr>
              <w:t>7,021</w:t>
            </w:r>
          </w:p>
        </w:tc>
        <w:tc>
          <w:tcPr>
            <w:tcW w:w="4287" w:type="dxa"/>
            <w:tcBorders>
              <w:top w:val="single" w:sz="6" w:space="0" w:color="000000" w:themeColor="text1"/>
              <w:left w:val="nil"/>
              <w:bottom w:val="single" w:sz="6" w:space="0" w:color="000000" w:themeColor="text1"/>
              <w:right w:val="single" w:sz="6" w:space="0" w:color="000000" w:themeColor="text1"/>
            </w:tcBorders>
            <w:tcMar>
              <w:top w:w="45" w:type="dxa"/>
              <w:right w:w="105" w:type="dxa"/>
            </w:tcMar>
          </w:tcPr>
          <w:p w14:paraId="375C537E" w14:textId="77777777" w:rsidR="00F62E12" w:rsidRDefault="00F62E12" w:rsidP="00722492">
            <w:pPr>
              <w:tabs>
                <w:tab w:val="center" w:pos="695"/>
                <w:tab w:val="center" w:pos="1912"/>
              </w:tabs>
              <w:spacing w:line="259" w:lineRule="auto"/>
              <w:jc w:val="center"/>
              <w:rPr>
                <w:rFonts w:ascii="Garamond" w:eastAsia="Garamond" w:hAnsi="Garamond" w:cs="Garamond"/>
              </w:rPr>
            </w:pPr>
            <w:r w:rsidRPr="6B34148A">
              <w:rPr>
                <w:rFonts w:ascii="Garamond" w:eastAsia="Garamond" w:hAnsi="Garamond" w:cs="Garamond"/>
              </w:rPr>
              <w:t xml:space="preserve">11,475 </w:t>
            </w:r>
            <w:r>
              <w:t xml:space="preserve">           </w:t>
            </w:r>
            <w:r w:rsidRPr="6B34148A">
              <w:rPr>
                <w:rFonts w:ascii="Garamond" w:eastAsia="Garamond" w:hAnsi="Garamond" w:cs="Garamond"/>
              </w:rPr>
              <w:t>18,496</w:t>
            </w:r>
          </w:p>
        </w:tc>
      </w:tr>
    </w:tbl>
    <w:p w14:paraId="61BFCF2B" w14:textId="77777777" w:rsidR="00F62E12" w:rsidRDefault="00F62E12" w:rsidP="00100D2A">
      <w:pPr>
        <w:spacing w:after="160" w:line="480" w:lineRule="auto"/>
        <w:rPr>
          <w:rFonts w:ascii="Times New Roman" w:hAnsi="Times New Roman" w:cs="Times New Roman"/>
        </w:rPr>
      </w:pPr>
    </w:p>
    <w:p w14:paraId="1DF6A0C7" w14:textId="77777777" w:rsidR="00F62E12" w:rsidRDefault="00F62E12" w:rsidP="00100D2A">
      <w:pPr>
        <w:spacing w:after="160" w:line="480" w:lineRule="auto"/>
        <w:rPr>
          <w:rFonts w:ascii="Times New Roman" w:hAnsi="Times New Roman" w:cs="Times New Roman"/>
        </w:rPr>
      </w:pPr>
    </w:p>
    <w:p w14:paraId="47B05F1D" w14:textId="77777777" w:rsidR="00F62E12" w:rsidRDefault="00F62E12" w:rsidP="00100D2A">
      <w:pPr>
        <w:spacing w:after="160" w:line="480" w:lineRule="auto"/>
        <w:rPr>
          <w:rFonts w:ascii="Times New Roman" w:hAnsi="Times New Roman" w:cs="Times New Roman"/>
        </w:rPr>
      </w:pPr>
    </w:p>
    <w:p w14:paraId="5D6700ED" w14:textId="77777777" w:rsidR="00F62E12" w:rsidRDefault="00F62E12" w:rsidP="00100D2A">
      <w:pPr>
        <w:spacing w:after="160" w:line="480" w:lineRule="auto"/>
        <w:rPr>
          <w:rFonts w:ascii="Times New Roman" w:hAnsi="Times New Roman" w:cs="Times New Roman"/>
        </w:rPr>
      </w:pPr>
    </w:p>
    <w:p w14:paraId="0CF934A3" w14:textId="77777777" w:rsidR="00F62E12" w:rsidRDefault="00F62E12" w:rsidP="00100D2A">
      <w:pPr>
        <w:spacing w:after="160" w:line="480" w:lineRule="auto"/>
        <w:rPr>
          <w:rFonts w:ascii="Times New Roman" w:hAnsi="Times New Roman" w:cs="Times New Roman"/>
        </w:rPr>
      </w:pPr>
    </w:p>
    <w:p w14:paraId="6FC85F1C" w14:textId="77777777" w:rsidR="00F62E12" w:rsidRDefault="00F62E12" w:rsidP="00100D2A">
      <w:pPr>
        <w:spacing w:after="160" w:line="480" w:lineRule="auto"/>
        <w:rPr>
          <w:rFonts w:ascii="Times New Roman" w:hAnsi="Times New Roman" w:cs="Times New Roman"/>
        </w:rPr>
      </w:pPr>
    </w:p>
    <w:p w14:paraId="10953D20" w14:textId="77777777" w:rsidR="00F62E12" w:rsidRDefault="00F62E12" w:rsidP="00100D2A">
      <w:pPr>
        <w:spacing w:after="160" w:line="480" w:lineRule="auto"/>
        <w:rPr>
          <w:rFonts w:ascii="Times New Roman" w:hAnsi="Times New Roman" w:cs="Times New Roman"/>
        </w:rPr>
      </w:pPr>
    </w:p>
    <w:p w14:paraId="41CBE47A" w14:textId="77777777" w:rsidR="00F62E12" w:rsidRDefault="00F62E12" w:rsidP="00100D2A">
      <w:pPr>
        <w:spacing w:after="160" w:line="480" w:lineRule="auto"/>
        <w:rPr>
          <w:rFonts w:ascii="Times New Roman" w:hAnsi="Times New Roman" w:cs="Times New Roman"/>
        </w:rPr>
      </w:pPr>
    </w:p>
    <w:p w14:paraId="60095DE0" w14:textId="77777777" w:rsidR="00F62E12" w:rsidRDefault="00F62E12" w:rsidP="00100D2A">
      <w:pPr>
        <w:spacing w:after="160" w:line="480" w:lineRule="auto"/>
        <w:rPr>
          <w:rFonts w:ascii="Times New Roman" w:hAnsi="Times New Roman" w:cs="Times New Roman"/>
        </w:rPr>
      </w:pPr>
    </w:p>
    <w:p w14:paraId="16FE83CE" w14:textId="77777777" w:rsidR="00F62E12" w:rsidRDefault="00F62E12" w:rsidP="00100D2A">
      <w:pPr>
        <w:spacing w:after="160" w:line="480" w:lineRule="auto"/>
        <w:rPr>
          <w:rFonts w:ascii="Times New Roman" w:hAnsi="Times New Roman" w:cs="Times New Roman"/>
        </w:rPr>
      </w:pPr>
    </w:p>
    <w:p w14:paraId="284EF6A0" w14:textId="77777777" w:rsidR="00F62E12" w:rsidRDefault="00F62E12" w:rsidP="00100D2A">
      <w:pPr>
        <w:spacing w:after="160" w:line="480" w:lineRule="auto"/>
        <w:rPr>
          <w:rFonts w:ascii="Times New Roman" w:hAnsi="Times New Roman" w:cs="Times New Roman"/>
        </w:rPr>
      </w:pPr>
    </w:p>
    <w:p w14:paraId="359A6CD4" w14:textId="77777777" w:rsidR="00F504FA" w:rsidRDefault="00F504FA" w:rsidP="00100D2A">
      <w:pPr>
        <w:spacing w:after="160" w:line="480" w:lineRule="auto"/>
        <w:rPr>
          <w:rFonts w:ascii="Times New Roman" w:hAnsi="Times New Roman" w:cs="Times New Roman"/>
        </w:rPr>
      </w:pPr>
    </w:p>
    <w:p w14:paraId="487AEAB2" w14:textId="77777777" w:rsidR="00F62E12" w:rsidRDefault="00F62E12" w:rsidP="00100D2A">
      <w:pPr>
        <w:spacing w:after="160" w:line="480" w:lineRule="auto"/>
        <w:rPr>
          <w:rFonts w:ascii="Times New Roman" w:hAnsi="Times New Roman" w:cs="Times New Roman"/>
        </w:rPr>
      </w:pPr>
    </w:p>
    <w:p w14:paraId="5189C64F" w14:textId="78F41FF5" w:rsidR="00100D2A" w:rsidRDefault="00100D2A" w:rsidP="00100D2A">
      <w:pPr>
        <w:spacing w:after="160" w:line="480" w:lineRule="auto"/>
        <w:rPr>
          <w:rFonts w:ascii="Times New Roman" w:hAnsi="Times New Roman" w:cs="Times New Roman"/>
        </w:rPr>
      </w:pPr>
      <w:r>
        <w:rPr>
          <w:rFonts w:ascii="Times New Roman" w:hAnsi="Times New Roman" w:cs="Times New Roman"/>
        </w:rPr>
        <w:lastRenderedPageBreak/>
        <w:t>by RECs, 36 households own EVs but report no access to HBCI. Q1 is estimated by multiplying the marginal effect of HBCI onto the sample of the population which does not report having HBCI. Theoretically, this is equivalent to giving all households access to home</w:t>
      </w:r>
      <w:r w:rsidR="00E55E36">
        <w:rPr>
          <w:rFonts w:ascii="Times New Roman" w:hAnsi="Times New Roman" w:cs="Times New Roman"/>
        </w:rPr>
        <w:t>-</w:t>
      </w:r>
      <w:r>
        <w:rPr>
          <w:rFonts w:ascii="Times New Roman" w:hAnsi="Times New Roman" w:cs="Times New Roman"/>
        </w:rPr>
        <w:t xml:space="preserve">based charging. In 2020 RECs the sample of households without HBCI was 6,985. Q1 is estimated through an assumption of </w:t>
      </w:r>
      <m:oMath>
        <m:r>
          <m:rPr>
            <m:sty m:val="p"/>
          </m:rPr>
          <w:rPr>
            <w:rFonts w:ascii="Cambria Math" w:hAnsi="Cambria Math" w:cs="Times New Roman"/>
          </w:rPr>
          <m:t>β</m:t>
        </m:r>
      </m:oMath>
      <w:r>
        <w:rPr>
          <w:rFonts w:ascii="Times New Roman" w:hAnsi="Times New Roman" w:cs="Times New Roman"/>
        </w:rPr>
        <w:t>, the marginal effect of home</w:t>
      </w:r>
      <w:r w:rsidR="004D7D9A">
        <w:rPr>
          <w:rFonts w:ascii="Times New Roman" w:hAnsi="Times New Roman" w:cs="Times New Roman"/>
        </w:rPr>
        <w:t>-</w:t>
      </w:r>
      <w:r>
        <w:rPr>
          <w:rFonts w:ascii="Times New Roman" w:hAnsi="Times New Roman" w:cs="Times New Roman"/>
        </w:rPr>
        <w:t>based charging.</w:t>
      </w:r>
    </w:p>
    <w:p w14:paraId="680B371C" w14:textId="28DD9071" w:rsidR="00100D2A" w:rsidRPr="00100D2A" w:rsidRDefault="00100D2A" w:rsidP="00100D2A">
      <w:pPr>
        <w:spacing w:after="160" w:line="480" w:lineRule="auto"/>
        <w:rPr>
          <w:rFonts w:ascii="Times New Roman" w:eastAsia="Aptos" w:hAnsi="Times New Roman" w:cs="Times New Roman"/>
          <w:kern w:val="2"/>
          <w14:ligatures w14:val="standardContextual"/>
        </w:rPr>
      </w:pPr>
      <w:r w:rsidRPr="00093B69">
        <w:rPr>
          <w:rFonts w:ascii="Times New Roman" w:hAnsi="Times New Roman" w:cs="Times New Roman"/>
        </w:rPr>
        <w:t xml:space="preserve">Equation </w:t>
      </w:r>
      <w:r>
        <w:rPr>
          <w:rFonts w:ascii="Times New Roman" w:hAnsi="Times New Roman" w:cs="Times New Roman"/>
        </w:rPr>
        <w:t>3</w:t>
      </w:r>
      <w:r w:rsidRPr="00093B69">
        <w:rPr>
          <w:rFonts w:ascii="Times New Roman" w:hAnsi="Times New Roman" w:cs="Times New Roman"/>
        </w:rPr>
        <w:t>:</w:t>
      </w:r>
      <w:r w:rsidRPr="00093B69">
        <w:rPr>
          <w:rFonts w:ascii="Times New Roman" w:hAnsi="Times New Roman" w:cs="Times New Roman"/>
        </w:rPr>
        <w:tab/>
      </w:r>
      <w:r w:rsidRPr="00FB231E">
        <w:rPr>
          <w:rFonts w:ascii="Times New Roman" w:hAnsi="Times New Roman" w:cs="Times New Roman"/>
        </w:rPr>
        <w:t xml:space="preserve"> </w:t>
      </w:r>
      <w:r>
        <w:rPr>
          <w:rFonts w:ascii="Times New Roman" w:hAnsi="Times New Roman" w:cs="Times New Roman"/>
        </w:rPr>
        <w:tab/>
        <w:t xml:space="preserve">  </w:t>
      </w:r>
      <w:r w:rsidR="00E75827">
        <w:rPr>
          <w:rFonts w:ascii="Times New Roman" w:hAnsi="Times New Roman" w:cs="Times New Roman"/>
        </w:rPr>
        <w:t xml:space="preserve">     </w:t>
      </w:r>
      <w:r>
        <w:rPr>
          <w:rFonts w:ascii="Times New Roman" w:hAnsi="Times New Roman" w:cs="Times New Roman"/>
        </w:rPr>
        <w:t xml:space="preserve">     </w:t>
      </w:r>
      <w:r w:rsidRPr="00093B69">
        <w:rPr>
          <w:rFonts w:ascii="Times New Roman" w:hAnsi="Times New Roman" w:cs="Times New Roman"/>
          <w:i/>
          <w:iCs/>
        </w:rPr>
        <w:t xml:space="preserve"> </w:t>
      </w:r>
      <m:oMath>
        <m:r>
          <m:rPr>
            <m:sty m:val="p"/>
          </m:rPr>
          <w:rPr>
            <w:rFonts w:ascii="Cambria Math" w:hAnsi="Cambria Math" w:cs="Times New Roman"/>
          </w:rPr>
          <m:t>Q1=Q0+β</m:t>
        </m:r>
        <m:d>
          <m:dPr>
            <m:ctrlPr>
              <w:rPr>
                <w:rFonts w:ascii="Cambria Math" w:hAnsi="Cambria Math" w:cs="Times New Roman"/>
              </w:rPr>
            </m:ctrlPr>
          </m:dPr>
          <m:e>
            <m:r>
              <m:rPr>
                <m:sty m:val="p"/>
              </m:rPr>
              <w:rPr>
                <w:rFonts w:ascii="Cambria Math" w:hAnsi="Cambria Math" w:cs="Times New Roman"/>
              </w:rPr>
              <m:t>6,985</m:t>
            </m:r>
          </m:e>
        </m:d>
      </m:oMath>
    </w:p>
    <w:p w14:paraId="0B379A9E" w14:textId="1288E998" w:rsidR="00100D2A" w:rsidRPr="00100D2A" w:rsidRDefault="00100D2A" w:rsidP="00100D2A">
      <w:pPr>
        <w:spacing w:line="480" w:lineRule="auto"/>
        <w:rPr>
          <w:rFonts w:ascii="Times New Roman" w:hAnsi="Times New Roman" w:cs="Times New Roman"/>
        </w:rPr>
      </w:pPr>
      <w:r>
        <w:rPr>
          <w:rFonts w:ascii="Times New Roman" w:hAnsi="Times New Roman" w:cs="Times New Roman"/>
        </w:rPr>
        <w:t>The dependent variable is binary; therefore, we use a</w:t>
      </w:r>
      <w:r w:rsidRPr="00C12767">
        <w:rPr>
          <w:rFonts w:ascii="Times New Roman" w:hAnsi="Times New Roman" w:cs="Times New Roman"/>
        </w:rPr>
        <w:t xml:space="preserve"> logit model</w:t>
      </w:r>
      <w:r>
        <w:rPr>
          <w:rFonts w:ascii="Times New Roman" w:hAnsi="Times New Roman" w:cs="Times New Roman"/>
        </w:rPr>
        <w:t xml:space="preserve"> to estimate the marginal effect of HBCI. </w:t>
      </w:r>
      <w:r w:rsidRPr="00C12767">
        <w:rPr>
          <w:rFonts w:ascii="Times New Roman" w:hAnsi="Times New Roman" w:cs="Times New Roman"/>
        </w:rPr>
        <w:t xml:space="preserve"> </w:t>
      </w:r>
      <w:r w:rsidRPr="009101C4">
        <w:rPr>
          <w:rFonts w:ascii="Times New Roman" w:hAnsi="Times New Roman" w:cs="Times New Roman"/>
        </w:rPr>
        <w:t xml:space="preserve">The model </w:t>
      </w:r>
      <w:r>
        <w:rPr>
          <w:rFonts w:ascii="Times New Roman" w:hAnsi="Times New Roman" w:cs="Times New Roman"/>
        </w:rPr>
        <w:t>is</w:t>
      </w:r>
      <w:r w:rsidRPr="009101C4">
        <w:rPr>
          <w:rFonts w:ascii="Times New Roman" w:hAnsi="Times New Roman" w:cs="Times New Roman"/>
        </w:rPr>
        <w:t xml:space="preserve"> structural in nature, where </w:t>
      </w:r>
      <w:r>
        <w:rPr>
          <w:rFonts w:ascii="Times New Roman" w:hAnsi="Times New Roman" w:cs="Times New Roman"/>
        </w:rPr>
        <w:t xml:space="preserve">we assume </w:t>
      </w:r>
      <w:r w:rsidRPr="009101C4">
        <w:rPr>
          <w:rFonts w:ascii="Times New Roman" w:hAnsi="Times New Roman" w:cs="Times New Roman"/>
        </w:rPr>
        <w:t>respondents make decisions based on random utility theory</w:t>
      </w:r>
      <w:r>
        <w:rPr>
          <w:rFonts w:ascii="Times New Roman" w:hAnsi="Times New Roman" w:cs="Times New Roman"/>
        </w:rPr>
        <w:t>. Our</w:t>
      </w:r>
      <w:r w:rsidRPr="009101C4">
        <w:rPr>
          <w:rFonts w:ascii="Times New Roman" w:hAnsi="Times New Roman" w:cs="Times New Roman"/>
        </w:rPr>
        <w:t xml:space="preserve"> model</w:t>
      </w:r>
      <w:r>
        <w:rPr>
          <w:rFonts w:ascii="Times New Roman" w:hAnsi="Times New Roman" w:cs="Times New Roman"/>
        </w:rPr>
        <w:t xml:space="preserve"> </w:t>
      </w:r>
      <w:r w:rsidRPr="009101C4">
        <w:rPr>
          <w:rFonts w:ascii="Times New Roman" w:hAnsi="Times New Roman" w:cs="Times New Roman"/>
        </w:rPr>
        <w:t>use</w:t>
      </w:r>
      <w:r>
        <w:rPr>
          <w:rFonts w:ascii="Times New Roman" w:hAnsi="Times New Roman" w:cs="Times New Roman"/>
        </w:rPr>
        <w:t>s</w:t>
      </w:r>
      <w:r w:rsidRPr="009101C4">
        <w:rPr>
          <w:rFonts w:ascii="Times New Roman" w:hAnsi="Times New Roman" w:cs="Times New Roman"/>
        </w:rPr>
        <w:t xml:space="preserve"> a reduced-form econometric approach</w:t>
      </w:r>
      <w:r>
        <w:rPr>
          <w:rFonts w:ascii="Times New Roman" w:hAnsi="Times New Roman" w:cs="Times New Roman"/>
        </w:rPr>
        <w:t xml:space="preserve"> </w:t>
      </w:r>
      <w:r w:rsidRPr="009101C4">
        <w:rPr>
          <w:rFonts w:ascii="Times New Roman" w:hAnsi="Times New Roman" w:cs="Times New Roman"/>
        </w:rPr>
        <w:t>to define the</w:t>
      </w:r>
      <w:r>
        <w:rPr>
          <w:rFonts w:ascii="Times New Roman" w:hAnsi="Times New Roman" w:cs="Times New Roman"/>
        </w:rPr>
        <w:t xml:space="preserve"> </w:t>
      </w:r>
      <w:r w:rsidRPr="009101C4">
        <w:rPr>
          <w:rFonts w:ascii="Times New Roman" w:hAnsi="Times New Roman" w:cs="Times New Roman"/>
        </w:rPr>
        <w:t>decision of EV ownership as a function of household characteristics.</w:t>
      </w:r>
      <w:r>
        <w:rPr>
          <w:rFonts w:ascii="Times New Roman" w:hAnsi="Times New Roman" w:cs="Times New Roman"/>
        </w:rPr>
        <w:t xml:space="preserve"> The econometric estimation takes the form of a probability function:</w:t>
      </w:r>
    </w:p>
    <w:p w14:paraId="6F335B7D" w14:textId="69081B81" w:rsidR="00100D2A" w:rsidRPr="00FB231E" w:rsidRDefault="00100D2A" w:rsidP="00100D2A">
      <w:pPr>
        <w:spacing w:after="160" w:line="480" w:lineRule="auto"/>
        <w:rPr>
          <w:rFonts w:ascii="Times New Roman" w:eastAsia="Aptos" w:hAnsi="Times New Roman" w:cs="Times New Roman"/>
          <w:kern w:val="2"/>
          <w14:ligatures w14:val="standardContextual"/>
        </w:rPr>
      </w:pPr>
      <w:r w:rsidRPr="00093B69">
        <w:rPr>
          <w:rFonts w:ascii="Times New Roman" w:hAnsi="Times New Roman" w:cs="Times New Roman"/>
        </w:rPr>
        <w:t xml:space="preserve">Equation </w:t>
      </w:r>
      <w:r>
        <w:rPr>
          <w:rFonts w:ascii="Times New Roman" w:hAnsi="Times New Roman" w:cs="Times New Roman"/>
        </w:rPr>
        <w:t>4</w:t>
      </w:r>
      <w:r w:rsidRPr="00093B69">
        <w:rPr>
          <w:rFonts w:ascii="Times New Roman" w:hAnsi="Times New Roman" w:cs="Times New Roman"/>
        </w:rPr>
        <w:t>:</w:t>
      </w:r>
      <w:r w:rsidRPr="00093B69">
        <w:rPr>
          <w:rFonts w:ascii="Times New Roman" w:hAnsi="Times New Roman" w:cs="Times New Roman"/>
        </w:rPr>
        <w:tab/>
      </w:r>
      <w:r w:rsidRPr="00FB231E">
        <w:rPr>
          <w:rFonts w:ascii="Times New Roman" w:hAnsi="Times New Roman" w:cs="Times New Roman"/>
        </w:rPr>
        <w:t xml:space="preserve"> </w:t>
      </w:r>
      <w:r>
        <w:rPr>
          <w:rFonts w:ascii="Times New Roman" w:hAnsi="Times New Roman" w:cs="Times New Roman"/>
        </w:rPr>
        <w:tab/>
        <w:t xml:space="preserve"> </w:t>
      </w:r>
      <w:r w:rsidRPr="00093B69">
        <w:rPr>
          <w:rFonts w:ascii="Times New Roman" w:hAnsi="Times New Roman" w:cs="Times New Roman"/>
          <w:i/>
          <w:iCs/>
        </w:rPr>
        <w:t xml:space="preserve"> </w:t>
      </w:r>
      <m:oMath>
        <m:r>
          <w:rPr>
            <w:rFonts w:ascii="Cambria Math" w:hAnsi="Cambria Math" w:cs="Times New Roman"/>
          </w:rPr>
          <m:t>Prob</m:t>
        </m:r>
        <m:d>
          <m:dPr>
            <m:ctrlPr>
              <w:rPr>
                <w:rFonts w:ascii="Cambria Math" w:hAnsi="Cambria Math" w:cs="Times New Roman"/>
                <w:i/>
              </w:rPr>
            </m:ctrlPr>
          </m:dPr>
          <m:e>
            <m:r>
              <w:rPr>
                <w:rFonts w:ascii="Cambria Math" w:hAnsi="Cambria Math" w:cs="Times New Roman"/>
              </w:rPr>
              <m:t>E</m:t>
            </m:r>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i</m:t>
                </m:r>
              </m:sub>
            </m:sSub>
            <m:r>
              <w:rPr>
                <w:rFonts w:ascii="Cambria Math" w:hAnsi="Cambria Math" w:cs="Times New Roman"/>
              </w:rPr>
              <m:t>=1</m:t>
            </m:r>
          </m:e>
        </m:d>
        <m:r>
          <w:rPr>
            <w:rFonts w:ascii="Cambria Math" w:hAnsi="Cambria Math" w:cs="Times New Roman"/>
          </w:rPr>
          <m:t>=f</m:t>
        </m:r>
        <m:d>
          <m:dPr>
            <m:ctrlPr>
              <w:rPr>
                <w:rFonts w:ascii="Cambria Math" w:hAnsi="Cambria Math" w:cs="Times New Roman"/>
                <w:i/>
              </w:rPr>
            </m:ctrlPr>
          </m:dPr>
          <m:e>
            <m:r>
              <w:rPr>
                <w:rFonts w:ascii="Cambria Math" w:hAnsi="Cambria Math" w:cs="Times New Roman"/>
              </w:rPr>
              <m:t>homecharg</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 xml:space="preserve">, </m:t>
            </m:r>
            <m:sSub>
              <m:sSubPr>
                <m:ctrlPr>
                  <w:rPr>
                    <w:rFonts w:ascii="Cambria Math" w:hAnsi="Cambria Math" w:cs="Times New Roman"/>
                    <w:i/>
                    <w:iCs/>
                  </w:rPr>
                </m:ctrlPr>
              </m:sSubPr>
              <m:e>
                <m:r>
                  <w:rPr>
                    <w:rFonts w:ascii="Cambria Math" w:hAnsi="Cambria Math" w:cs="Times New Roman"/>
                  </w:rPr>
                  <m:t>X</m:t>
                </m:r>
              </m:e>
              <m:sub>
                <m:r>
                  <w:rPr>
                    <w:rFonts w:ascii="Cambria Math" w:hAnsi="Cambria Math" w:cs="Times New Roman"/>
                  </w:rPr>
                  <m:t>i</m:t>
                </m:r>
              </m:sub>
            </m:sSub>
          </m:e>
        </m:d>
      </m:oMath>
    </w:p>
    <w:p w14:paraId="41CEE194" w14:textId="1759C555" w:rsidR="00100D2A" w:rsidRDefault="00100D2A" w:rsidP="00100D2A">
      <w:pPr>
        <w:spacing w:line="480" w:lineRule="auto"/>
        <w:rPr>
          <w:rFonts w:ascii="Times New Roman" w:hAnsi="Times New Roman" w:cs="Times New Roman"/>
        </w:rPr>
      </w:pPr>
      <w:r w:rsidRPr="00755B5F">
        <w:rPr>
          <w:rFonts w:ascii="Times New Roman" w:hAnsi="Times New Roman" w:cs="Times New Roman"/>
        </w:rPr>
        <w:t xml:space="preserve">The term </w:t>
      </w:r>
      <m:oMath>
        <m:r>
          <w:rPr>
            <w:rFonts w:ascii="Cambria Math" w:hAnsi="Cambria Math" w:cs="Times New Roman"/>
          </w:rPr>
          <m:t>E</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m:t>
            </m:r>
          </m:sub>
        </m:sSub>
      </m:oMath>
      <w:r w:rsidRPr="00755B5F">
        <w:rPr>
          <w:rFonts w:ascii="Times New Roman" w:hAnsi="Times New Roman" w:cs="Times New Roman"/>
        </w:rPr>
        <w:t xml:space="preserve"> is a binary variable indicating whether household </w:t>
      </w:r>
      <m:oMath>
        <m:r>
          <w:rPr>
            <w:rFonts w:ascii="Cambria Math" w:hAnsi="Cambria Math" w:cs="Times New Roman"/>
          </w:rPr>
          <m:t>i</m:t>
        </m:r>
      </m:oMath>
      <w:r w:rsidRPr="00755B5F">
        <w:rPr>
          <w:rFonts w:ascii="Times New Roman" w:hAnsi="Times New Roman" w:cs="Times New Roman"/>
        </w:rPr>
        <w:t xml:space="preserve"> owns an electric vehicle. The variable </w:t>
      </w:r>
      <m:oMath>
        <m:r>
          <w:rPr>
            <w:rFonts w:ascii="Cambria Math" w:hAnsi="Cambria Math" w:cs="Times New Roman"/>
          </w:rPr>
          <m:t>homecharg</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oMath>
      <w:r w:rsidRPr="00755B5F">
        <w:rPr>
          <w:rFonts w:ascii="Times New Roman" w:hAnsi="Times New Roman" w:cs="Times New Roman"/>
        </w:rPr>
        <w:t xml:space="preserve"> is a binary variable indicating whether household </w:t>
      </w:r>
      <m:oMath>
        <m:r>
          <w:rPr>
            <w:rFonts w:ascii="Cambria Math" w:hAnsi="Cambria Math" w:cs="Times New Roman"/>
          </w:rPr>
          <m:t>i</m:t>
        </m:r>
      </m:oMath>
      <w:r w:rsidRPr="00755B5F">
        <w:rPr>
          <w:rFonts w:ascii="Times New Roman" w:hAnsi="Times New Roman" w:cs="Times New Roman"/>
        </w:rPr>
        <w:t xml:space="preserve"> has home charging capability, and the vector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sidRPr="00755B5F">
        <w:rPr>
          <w:rFonts w:ascii="Times New Roman" w:hAnsi="Times New Roman" w:cs="Times New Roman"/>
        </w:rPr>
        <w:t xml:space="preserve"> includes socio-demographic controls, such as income level, state of residence, etc. </w:t>
      </w:r>
      <w:r>
        <w:rPr>
          <w:rFonts w:ascii="Times New Roman" w:hAnsi="Times New Roman" w:cs="Times New Roman"/>
        </w:rPr>
        <w:t xml:space="preserve"> We use an approximation of our discrete choice model to estimate the marginal effect of home charging. For tractability we</w:t>
      </w:r>
      <w:r w:rsidRPr="00100D2A">
        <w:rPr>
          <w:rFonts w:ascii="Times New Roman" w:hAnsi="Times New Roman" w:cs="Times New Roman"/>
        </w:rPr>
        <w:t xml:space="preserve"> assume that there is a constant price elasticity of demand for EVs. Our price elasticity </w:t>
      </w:r>
      <w:r>
        <w:rPr>
          <w:rFonts w:ascii="Times New Roman" w:hAnsi="Times New Roman" w:cs="Times New Roman"/>
        </w:rPr>
        <w:t xml:space="preserve">estimates </w:t>
      </w:r>
      <w:r w:rsidRPr="00100D2A">
        <w:rPr>
          <w:rFonts w:ascii="Times New Roman" w:hAnsi="Times New Roman" w:cs="Times New Roman"/>
        </w:rPr>
        <w:t xml:space="preserve">come from Leard et al. </w:t>
      </w:r>
      <w:r>
        <w:rPr>
          <w:rFonts w:ascii="Times New Roman" w:hAnsi="Times New Roman" w:cs="Times New Roman"/>
        </w:rPr>
        <w:t>(</w:t>
      </w:r>
      <w:r w:rsidRPr="00100D2A">
        <w:rPr>
          <w:rFonts w:ascii="Times New Roman" w:hAnsi="Times New Roman" w:cs="Times New Roman"/>
        </w:rPr>
        <w:t>2021</w:t>
      </w:r>
      <w:r>
        <w:rPr>
          <w:rFonts w:ascii="Times New Roman" w:hAnsi="Times New Roman" w:cs="Times New Roman"/>
        </w:rPr>
        <w:t>)</w:t>
      </w:r>
      <w:r w:rsidRPr="00100D2A">
        <w:rPr>
          <w:rFonts w:ascii="Times New Roman" w:hAnsi="Times New Roman" w:cs="Times New Roman"/>
        </w:rPr>
        <w:t xml:space="preserve"> and </w:t>
      </w:r>
      <w:proofErr w:type="spellStart"/>
      <w:r w:rsidRPr="00100D2A">
        <w:rPr>
          <w:rFonts w:ascii="Times New Roman" w:hAnsi="Times New Roman" w:cs="Times New Roman"/>
        </w:rPr>
        <w:t>Muehlegger</w:t>
      </w:r>
      <w:proofErr w:type="spellEnd"/>
      <w:r w:rsidRPr="00100D2A">
        <w:rPr>
          <w:rFonts w:ascii="Times New Roman" w:hAnsi="Times New Roman" w:cs="Times New Roman"/>
        </w:rPr>
        <w:t xml:space="preserve"> et.</w:t>
      </w:r>
      <w:r>
        <w:rPr>
          <w:rFonts w:ascii="Times New Roman" w:hAnsi="Times New Roman" w:cs="Times New Roman"/>
        </w:rPr>
        <w:t xml:space="preserve"> al (</w:t>
      </w:r>
      <w:r w:rsidRPr="00100D2A">
        <w:rPr>
          <w:rFonts w:ascii="Times New Roman" w:hAnsi="Times New Roman" w:cs="Times New Roman"/>
        </w:rPr>
        <w:t>2020</w:t>
      </w:r>
      <w:r>
        <w:rPr>
          <w:rFonts w:ascii="Times New Roman" w:hAnsi="Times New Roman" w:cs="Times New Roman"/>
        </w:rPr>
        <w:t xml:space="preserve">), which we use to assign a slope for our demand lines in Figure 1. For median income households EV price </w:t>
      </w:r>
      <w:r>
        <w:rPr>
          <w:rFonts w:ascii="Times New Roman" w:hAnsi="Times New Roman" w:cs="Times New Roman"/>
        </w:rPr>
        <w:lastRenderedPageBreak/>
        <w:t xml:space="preserve">elasticities </w:t>
      </w:r>
      <w:r w:rsidRPr="00100D2A">
        <w:rPr>
          <w:rFonts w:ascii="Times New Roman" w:hAnsi="Times New Roman" w:cs="Times New Roman"/>
        </w:rPr>
        <w:t xml:space="preserve">range between -1 and -2. We assume that lower income households, defined as households </w:t>
      </w:r>
      <w:r>
        <w:rPr>
          <w:rFonts w:ascii="Times New Roman" w:hAnsi="Times New Roman" w:cs="Times New Roman"/>
        </w:rPr>
        <w:t>that reported</w:t>
      </w:r>
      <w:r w:rsidRPr="00100D2A">
        <w:rPr>
          <w:rFonts w:ascii="Times New Roman" w:hAnsi="Times New Roman" w:cs="Times New Roman"/>
        </w:rPr>
        <w:t xml:space="preserve"> earning $60,000 a year or less have more elastic demand for EVs</w:t>
      </w:r>
      <w:r>
        <w:rPr>
          <w:rFonts w:ascii="Times New Roman" w:hAnsi="Times New Roman" w:cs="Times New Roman"/>
        </w:rPr>
        <w:t>, as EVs are considered a luxury good</w:t>
      </w:r>
      <w:r w:rsidRPr="00100D2A">
        <w:rPr>
          <w:rFonts w:ascii="Times New Roman" w:hAnsi="Times New Roman" w:cs="Times New Roman"/>
        </w:rPr>
        <w:t>. We assume that price elasticity of demand for EVs</w:t>
      </w:r>
      <w:r w:rsidR="007C36B0">
        <w:rPr>
          <w:rFonts w:ascii="Times New Roman" w:hAnsi="Times New Roman" w:cs="Times New Roman"/>
        </w:rPr>
        <w:t xml:space="preserve"> for</w:t>
      </w:r>
      <w:r w:rsidRPr="00100D2A">
        <w:rPr>
          <w:rFonts w:ascii="Times New Roman" w:hAnsi="Times New Roman" w:cs="Times New Roman"/>
        </w:rPr>
        <w:t xml:space="preserve"> </w:t>
      </w:r>
      <w:r>
        <w:rPr>
          <w:rFonts w:ascii="Times New Roman" w:hAnsi="Times New Roman" w:cs="Times New Roman"/>
        </w:rPr>
        <w:t>these</w:t>
      </w:r>
      <w:r w:rsidRPr="00100D2A">
        <w:rPr>
          <w:rFonts w:ascii="Times New Roman" w:hAnsi="Times New Roman" w:cs="Times New Roman"/>
        </w:rPr>
        <w:t xml:space="preserve"> households is between -2 and -3. </w:t>
      </w:r>
      <w:r>
        <w:rPr>
          <w:rFonts w:ascii="Times New Roman" w:hAnsi="Times New Roman" w:cs="Times New Roman"/>
        </w:rPr>
        <w:t xml:space="preserve">The price elasticity is represented by </w:t>
      </w:r>
      <m:oMath>
        <m:r>
          <w:rPr>
            <w:rFonts w:ascii="Cambria Math" w:hAnsi="Cambria Math" w:cs="Times New Roman"/>
          </w:rPr>
          <m:t xml:space="preserve">ε </m:t>
        </m:r>
      </m:oMath>
      <w:r>
        <w:rPr>
          <w:rFonts w:ascii="Times New Roman" w:hAnsi="Times New Roman" w:cs="Times New Roman"/>
        </w:rPr>
        <w:t xml:space="preserve">in Equations 1 and 2 and reflects the slope of the demand lines in Figure 1. </w:t>
      </w:r>
    </w:p>
    <w:p w14:paraId="5FD969E3" w14:textId="5F2D54A6" w:rsidR="00100D2A" w:rsidRPr="00100D2A" w:rsidRDefault="00100D2A" w:rsidP="00100D2A">
      <w:pPr>
        <w:spacing w:after="160" w:line="480" w:lineRule="auto"/>
        <w:rPr>
          <w:rFonts w:ascii="Times New Roman" w:hAnsi="Times New Roman" w:cs="Times New Roman"/>
        </w:rPr>
      </w:pPr>
      <w:r>
        <w:rPr>
          <w:rFonts w:ascii="Times New Roman" w:hAnsi="Times New Roman" w:cs="Times New Roman"/>
        </w:rPr>
        <w:t>To estimate the marginal willingness to pay for HBCI annualized over the lifespan of a vehicle, we first estimate the horizontal difference between demand lines, or the increased quantity demanded for EVs after 100% of respondents are given access to HBCI. We compare 9 scenarios using different combinations of elasticity and EV Price (P</w:t>
      </w:r>
      <w:r w:rsidRPr="00100D2A">
        <w:rPr>
          <w:rFonts w:ascii="Times New Roman" w:hAnsi="Times New Roman" w:cs="Times New Roman"/>
          <w:vertAlign w:val="subscript"/>
        </w:rPr>
        <w:t>EV</w:t>
      </w:r>
      <w:r>
        <w:rPr>
          <w:rFonts w:ascii="Times New Roman" w:hAnsi="Times New Roman" w:cs="Times New Roman"/>
        </w:rPr>
        <w:t xml:space="preserve">) assumptions. To find the vertical distance between demand lines we must estimate the parameter of EV ownership for D1, represented by </w:t>
      </w:r>
      <m:oMath>
        <m:r>
          <m:rPr>
            <m:sty m:val="p"/>
          </m:rPr>
          <w:rPr>
            <w:rFonts w:ascii="Cambria Math" w:hAnsi="Cambria Math" w:cs="Times New Roman"/>
          </w:rPr>
          <m:t>α1</m:t>
        </m:r>
      </m:oMath>
    </w:p>
    <w:p w14:paraId="1A7810CF" w14:textId="78A663A1" w:rsidR="00100D2A" w:rsidRDefault="00100D2A" w:rsidP="00100D2A">
      <w:pPr>
        <w:spacing w:after="160" w:line="480" w:lineRule="auto"/>
        <w:rPr>
          <w:rFonts w:ascii="Times New Roman" w:eastAsia="Aptos" w:hAnsi="Times New Roman" w:cs="Times New Roman"/>
        </w:rPr>
      </w:pPr>
      <m:oMath>
        <m:r>
          <m:rPr>
            <m:sty m:val="p"/>
          </m:rPr>
          <w:rPr>
            <w:rFonts w:ascii="Cambria Math" w:hAnsi="Cambria Math" w:cs="Times New Roman"/>
          </w:rPr>
          <m:t xml:space="preserve">Equation 5: </m:t>
        </m:r>
      </m:oMath>
      <w:r>
        <w:rPr>
          <w:rFonts w:ascii="Times New Roman" w:eastAsia="Aptos" w:hAnsi="Times New Roman" w:cs="Times New Roman"/>
        </w:rPr>
        <w:t xml:space="preserve">                   </w:t>
      </w:r>
      <w:r w:rsidR="00E75827">
        <w:rPr>
          <w:rFonts w:ascii="Times New Roman" w:eastAsia="Aptos" w:hAnsi="Times New Roman" w:cs="Times New Roman"/>
        </w:rPr>
        <w:t xml:space="preserve">  </w:t>
      </w:r>
      <w:r>
        <w:rPr>
          <w:rFonts w:ascii="Times New Roman" w:eastAsia="Aptos" w:hAnsi="Times New Roman" w:cs="Times New Roman"/>
        </w:rPr>
        <w:t xml:space="preserve">    </w:t>
      </w:r>
      <m:oMath>
        <m:r>
          <m:rPr>
            <m:sty m:val="p"/>
          </m:rPr>
          <w:rPr>
            <w:rFonts w:ascii="Cambria Math" w:hAnsi="Cambria Math" w:cs="Times New Roman"/>
          </w:rPr>
          <m:t>α1=lnQ1-</m:t>
        </m:r>
        <m:r>
          <w:rPr>
            <w:rFonts w:ascii="Cambria Math" w:hAnsi="Cambria Math" w:cs="Times New Roman"/>
          </w:rPr>
          <m:t>ε*</m:t>
        </m:r>
        <m:r>
          <m:rPr>
            <m:sty m:val="p"/>
          </m:rPr>
          <w:rPr>
            <w:rFonts w:ascii="Cambria Math" w:hAnsi="Cambria Math" w:cs="Times New Roman"/>
          </w:rPr>
          <m:t>lnP</m:t>
        </m:r>
      </m:oMath>
    </w:p>
    <w:p w14:paraId="670AF39E" w14:textId="77777777" w:rsidR="00E75827" w:rsidRDefault="00100D2A" w:rsidP="00E75827">
      <w:pPr>
        <w:spacing w:after="160" w:line="480" w:lineRule="auto"/>
        <w:rPr>
          <w:rFonts w:ascii="Times New Roman" w:eastAsia="Aptos" w:hAnsi="Times New Roman" w:cs="Times New Roman"/>
        </w:rPr>
      </w:pPr>
      <w:r>
        <w:rPr>
          <w:rFonts w:ascii="Times New Roman" w:eastAsia="Aptos" w:hAnsi="Times New Roman" w:cs="Times New Roman"/>
        </w:rPr>
        <w:t xml:space="preserve">To solve D1 at Q0 we divide both sides of Equation 5 by </w:t>
      </w:r>
      <m:oMath>
        <m:r>
          <w:rPr>
            <w:rFonts w:ascii="Cambria Math" w:hAnsi="Cambria Math" w:cs="Times New Roman"/>
          </w:rPr>
          <m:t>ε</m:t>
        </m:r>
      </m:oMath>
      <w:r>
        <w:rPr>
          <w:rFonts w:ascii="Times New Roman" w:eastAsia="Aptos" w:hAnsi="Times New Roman" w:cs="Times New Roman"/>
        </w:rPr>
        <w:t xml:space="preserve">. </w:t>
      </w:r>
    </w:p>
    <w:p w14:paraId="5D6A8881" w14:textId="1A3464C7" w:rsidR="00100D2A" w:rsidRPr="00E75827" w:rsidRDefault="00100D2A" w:rsidP="00E75827">
      <w:pPr>
        <w:spacing w:after="160" w:line="480" w:lineRule="auto"/>
        <w:rPr>
          <w:rFonts w:ascii="Times New Roman" w:eastAsia="Aptos" w:hAnsi="Times New Roman" w:cs="Times New Roman"/>
        </w:rPr>
      </w:pPr>
      <m:oMath>
        <m:r>
          <m:rPr>
            <m:sty m:val="p"/>
          </m:rPr>
          <w:rPr>
            <w:rFonts w:ascii="Cambria Math" w:hAnsi="Cambria Math" w:cs="Times New Roman"/>
          </w:rPr>
          <m:t xml:space="preserve">Equation 6: </m:t>
        </m:r>
      </m:oMath>
      <w:r>
        <w:rPr>
          <w:rFonts w:ascii="Times New Roman" w:eastAsia="Aptos" w:hAnsi="Times New Roman" w:cs="Times New Roman"/>
        </w:rPr>
        <w:t xml:space="preserve">                     </w:t>
      </w:r>
      <w:r w:rsidR="00E75827">
        <w:rPr>
          <w:rFonts w:ascii="Times New Roman" w:eastAsia="Aptos" w:hAnsi="Times New Roman" w:cs="Times New Roman"/>
        </w:rPr>
        <w:t xml:space="preserve">  </w:t>
      </w:r>
      <w:r>
        <w:rPr>
          <w:rFonts w:ascii="Times New Roman" w:eastAsia="Aptos" w:hAnsi="Times New Roman" w:cs="Times New Roman"/>
        </w:rPr>
        <w:t xml:space="preserve">   </w:t>
      </w:r>
      <m:oMath>
        <m:f>
          <m:fPr>
            <m:ctrlPr>
              <w:rPr>
                <w:rFonts w:ascii="Cambria Math" w:hAnsi="Cambria Math" w:cs="Times New Roman"/>
              </w:rPr>
            </m:ctrlPr>
          </m:fPr>
          <m:num>
            <m:func>
              <m:funcPr>
                <m:ctrlPr>
                  <w:rPr>
                    <w:rFonts w:ascii="Cambria Math" w:hAnsi="Cambria Math" w:cs="Times New Roman"/>
                  </w:rPr>
                </m:ctrlPr>
              </m:funcPr>
              <m:fName>
                <m:r>
                  <m:rPr>
                    <m:sty m:val="p"/>
                  </m:rPr>
                  <w:rPr>
                    <w:rFonts w:ascii="Cambria Math" w:hAnsi="Cambria Math" w:cs="Times New Roman"/>
                  </w:rPr>
                  <m:t>ln</m:t>
                </m:r>
              </m:fName>
              <m:e>
                <m:r>
                  <w:rPr>
                    <w:rFonts w:ascii="Cambria Math" w:hAnsi="Cambria Math" w:cs="Times New Roman"/>
                  </w:rPr>
                  <m:t xml:space="preserve">Q0- </m:t>
                </m:r>
              </m:e>
            </m:func>
            <m:r>
              <m:rPr>
                <m:sty m:val="p"/>
              </m:rPr>
              <w:rPr>
                <w:rFonts w:ascii="Cambria Math" w:hAnsi="Cambria Math" w:cs="Times New Roman"/>
              </w:rPr>
              <m:t>α1</m:t>
            </m:r>
          </m:num>
          <m:den>
            <m:r>
              <w:rPr>
                <w:rFonts w:ascii="Cambria Math" w:hAnsi="Cambria Math" w:cs="Times New Roman"/>
              </w:rPr>
              <m:t xml:space="preserve">ε </m:t>
            </m:r>
          </m:den>
        </m:f>
        <m:r>
          <w:rPr>
            <w:rFonts w:ascii="Cambria Math" w:hAnsi="Cambria Math" w:cs="Times New Roman"/>
          </w:rPr>
          <m:t>=</m:t>
        </m:r>
        <m:r>
          <m:rPr>
            <m:sty m:val="p"/>
          </m:rPr>
          <w:rPr>
            <w:rFonts w:ascii="Cambria Math" w:hAnsi="Cambria Math" w:cs="Times New Roman"/>
          </w:rPr>
          <m:t>lnP</m:t>
        </m:r>
      </m:oMath>
    </w:p>
    <w:p w14:paraId="5F618EBF" w14:textId="180AE00A" w:rsidR="00100D2A" w:rsidRDefault="00100D2A" w:rsidP="00100D2A">
      <w:pPr>
        <w:spacing w:line="480" w:lineRule="auto"/>
        <w:rPr>
          <w:rFonts w:ascii="Times New Roman" w:eastAsia="Aptos" w:hAnsi="Times New Roman" w:cs="Times New Roman"/>
          <w:iCs/>
        </w:rPr>
      </w:pPr>
      <w:r>
        <w:rPr>
          <w:rFonts w:ascii="Times New Roman" w:eastAsia="Aptos" w:hAnsi="Times New Roman" w:cs="Times New Roman"/>
          <w:iCs/>
        </w:rPr>
        <w:t>To find P*, the price of EVs demanded from household with home</w:t>
      </w:r>
      <w:r w:rsidR="00E55E36">
        <w:rPr>
          <w:rFonts w:ascii="Times New Roman" w:eastAsia="Aptos" w:hAnsi="Times New Roman" w:cs="Times New Roman"/>
          <w:iCs/>
        </w:rPr>
        <w:t>-</w:t>
      </w:r>
      <w:r>
        <w:rPr>
          <w:rFonts w:ascii="Times New Roman" w:eastAsia="Aptos" w:hAnsi="Times New Roman" w:cs="Times New Roman"/>
          <w:iCs/>
        </w:rPr>
        <w:t>based charging (D1) at Q0, we solve for P in equation 6.</w:t>
      </w:r>
      <w:r w:rsidR="005E53C3">
        <w:rPr>
          <w:rFonts w:ascii="Times New Roman" w:eastAsia="Aptos" w:hAnsi="Times New Roman" w:cs="Times New Roman"/>
          <w:iCs/>
        </w:rPr>
        <w:t xml:space="preserve"> </w:t>
      </w:r>
    </w:p>
    <w:p w14:paraId="4153DC3D" w14:textId="2709F2E3" w:rsidR="00100D2A" w:rsidRDefault="00100D2A" w:rsidP="00100D2A">
      <w:pPr>
        <w:spacing w:line="480" w:lineRule="auto"/>
        <w:rPr>
          <w:rFonts w:ascii="Times New Roman" w:eastAsia="Aptos" w:hAnsi="Times New Roman" w:cs="Times New Roman"/>
          <w:iCs/>
        </w:rPr>
      </w:pPr>
      <m:oMath>
        <m:r>
          <m:rPr>
            <m:sty m:val="p"/>
          </m:rPr>
          <w:rPr>
            <w:rFonts w:ascii="Cambria Math" w:hAnsi="Cambria Math" w:cs="Times New Roman"/>
          </w:rPr>
          <m:t xml:space="preserve">Equation 7: </m:t>
        </m:r>
      </m:oMath>
      <w:r>
        <w:rPr>
          <w:rFonts w:ascii="Times New Roman" w:eastAsia="Aptos" w:hAnsi="Times New Roman" w:cs="Times New Roman"/>
        </w:rPr>
        <w:t xml:space="preserve">                     </w:t>
      </w:r>
      <w:r>
        <w:rPr>
          <w:rFonts w:ascii="Times New Roman" w:eastAsia="Aptos" w:hAnsi="Times New Roman" w:cs="Times New Roman"/>
          <w:iCs/>
        </w:rPr>
        <w:t>P*</w:t>
      </w:r>
      <m:oMath>
        <m:r>
          <w:rPr>
            <w:rFonts w:ascii="Cambria Math" w:eastAsia="Aptos" w:hAnsi="Cambria Math" w:cs="Times New Roman"/>
          </w:rPr>
          <m:t>=</m:t>
        </m:r>
        <m:sSup>
          <m:sSupPr>
            <m:ctrlPr>
              <w:rPr>
                <w:rFonts w:ascii="Cambria Math" w:hAnsi="Cambria Math" w:cs="Times New Roman"/>
              </w:rPr>
            </m:ctrlPr>
          </m:sSupPr>
          <m:e>
            <m:r>
              <w:rPr>
                <w:rFonts w:ascii="Cambria Math" w:hAnsi="Cambria Math" w:cs="Times New Roman"/>
              </w:rPr>
              <m:t>e</m:t>
            </m:r>
          </m:e>
          <m:sup>
            <m:f>
              <m:fPr>
                <m:ctrlPr>
                  <w:rPr>
                    <w:rFonts w:ascii="Cambria Math" w:hAnsi="Cambria Math" w:cs="Times New Roman"/>
                  </w:rPr>
                </m:ctrlPr>
              </m:fPr>
              <m:num>
                <m:func>
                  <m:funcPr>
                    <m:ctrlPr>
                      <w:rPr>
                        <w:rFonts w:ascii="Cambria Math" w:hAnsi="Cambria Math" w:cs="Times New Roman"/>
                      </w:rPr>
                    </m:ctrlPr>
                  </m:funcPr>
                  <m:fName>
                    <m:r>
                      <m:rPr>
                        <m:sty m:val="p"/>
                      </m:rPr>
                      <w:rPr>
                        <w:rFonts w:ascii="Cambria Math" w:hAnsi="Cambria Math" w:cs="Times New Roman"/>
                      </w:rPr>
                      <m:t>ln</m:t>
                    </m:r>
                  </m:fName>
                  <m:e>
                    <m:r>
                      <w:rPr>
                        <w:rFonts w:ascii="Cambria Math" w:hAnsi="Cambria Math" w:cs="Times New Roman"/>
                      </w:rPr>
                      <m:t xml:space="preserve">Q0- </m:t>
                    </m:r>
                  </m:e>
                </m:func>
                <m:r>
                  <m:rPr>
                    <m:sty m:val="p"/>
                  </m:rPr>
                  <w:rPr>
                    <w:rFonts w:ascii="Cambria Math" w:hAnsi="Cambria Math" w:cs="Times New Roman"/>
                  </w:rPr>
                  <m:t>α1</m:t>
                </m:r>
              </m:num>
              <m:den>
                <m:r>
                  <w:rPr>
                    <w:rFonts w:ascii="Cambria Math" w:hAnsi="Cambria Math" w:cs="Times New Roman"/>
                  </w:rPr>
                  <m:t xml:space="preserve">ε </m:t>
                </m:r>
              </m:den>
            </m:f>
          </m:sup>
        </m:sSup>
      </m:oMath>
    </w:p>
    <w:p w14:paraId="2C3E0AA2" w14:textId="13424483" w:rsidR="005E53C3" w:rsidRDefault="00100D2A" w:rsidP="00100D2A">
      <w:pPr>
        <w:spacing w:line="480" w:lineRule="auto"/>
        <w:rPr>
          <w:rFonts w:ascii="Times New Roman" w:hAnsi="Times New Roman" w:cs="Times New Roman"/>
        </w:rPr>
      </w:pPr>
      <w:r>
        <w:rPr>
          <w:rFonts w:ascii="Times New Roman" w:hAnsi="Times New Roman" w:cs="Times New Roman"/>
        </w:rPr>
        <w:t>To find the vertical distance between demand curves at Q0, representing the WTP for the attribute HBCI, we subtract P* from P</w:t>
      </w:r>
      <w:r w:rsidRPr="005E53C3">
        <w:rPr>
          <w:rFonts w:ascii="Times New Roman" w:hAnsi="Times New Roman" w:cs="Times New Roman"/>
          <w:vertAlign w:val="subscript"/>
        </w:rPr>
        <w:t>EV</w:t>
      </w:r>
      <w:r>
        <w:rPr>
          <w:rFonts w:ascii="Times New Roman" w:hAnsi="Times New Roman" w:cs="Times New Roman"/>
        </w:rPr>
        <w:t xml:space="preserve">, our initial assumption of the price of an EV. In Tables 4 and 5, located in the Appendix, we present results </w:t>
      </w:r>
      <w:r w:rsidR="005E53C3">
        <w:rPr>
          <w:rFonts w:ascii="Times New Roman" w:hAnsi="Times New Roman" w:cs="Times New Roman"/>
        </w:rPr>
        <w:t xml:space="preserve">which </w:t>
      </w:r>
      <w:r>
        <w:rPr>
          <w:rFonts w:ascii="Times New Roman" w:hAnsi="Times New Roman" w:cs="Times New Roman"/>
        </w:rPr>
        <w:t>calculat</w:t>
      </w:r>
      <w:r w:rsidR="005E53C3">
        <w:rPr>
          <w:rFonts w:ascii="Times New Roman" w:hAnsi="Times New Roman" w:cs="Times New Roman"/>
        </w:rPr>
        <w:t>e</w:t>
      </w:r>
      <w:r>
        <w:rPr>
          <w:rFonts w:ascii="Times New Roman" w:hAnsi="Times New Roman" w:cs="Times New Roman"/>
        </w:rPr>
        <w:t xml:space="preserve"> the implied willingness-to-pay for home</w:t>
      </w:r>
      <w:r w:rsidR="00E55E36">
        <w:rPr>
          <w:rFonts w:ascii="Times New Roman" w:hAnsi="Times New Roman" w:cs="Times New Roman"/>
        </w:rPr>
        <w:t>-</w:t>
      </w:r>
      <w:r>
        <w:rPr>
          <w:rFonts w:ascii="Times New Roman" w:hAnsi="Times New Roman" w:cs="Times New Roman"/>
        </w:rPr>
        <w:t xml:space="preserve">based charging infrastructure. </w:t>
      </w:r>
      <w:r w:rsidRPr="00100D2A">
        <w:rPr>
          <w:rFonts w:ascii="Times New Roman" w:hAnsi="Times New Roman" w:cs="Times New Roman"/>
        </w:rPr>
        <w:t xml:space="preserve">We report our calculation in </w:t>
      </w:r>
      <w:r w:rsidRPr="00100D2A">
        <w:rPr>
          <w:rFonts w:ascii="Times New Roman" w:hAnsi="Times New Roman" w:cs="Times New Roman"/>
        </w:rPr>
        <w:lastRenderedPageBreak/>
        <w:t>units of both money and equivalent time foregone by assuming a respondent’s average hourly wage. This can be interpreted as value of time foregone weekly by not having HBCI. We use a range of elasticities to develop a robust estimate of WTP for home</w:t>
      </w:r>
      <w:r w:rsidR="00E55E36">
        <w:rPr>
          <w:rFonts w:ascii="Times New Roman" w:hAnsi="Times New Roman" w:cs="Times New Roman"/>
        </w:rPr>
        <w:t>-</w:t>
      </w:r>
      <w:r w:rsidRPr="00100D2A">
        <w:rPr>
          <w:rFonts w:ascii="Times New Roman" w:hAnsi="Times New Roman" w:cs="Times New Roman"/>
        </w:rPr>
        <w:t>based charging and to reflect differences in consumer valuation of EVs.</w:t>
      </w:r>
    </w:p>
    <w:p w14:paraId="7BDB62C6" w14:textId="77777777" w:rsidR="00CF52FE" w:rsidRDefault="00CF52FE" w:rsidP="00100D2A">
      <w:pPr>
        <w:spacing w:line="480" w:lineRule="auto"/>
        <w:rPr>
          <w:rFonts w:ascii="Times New Roman" w:hAnsi="Times New Roman" w:cs="Times New Roman"/>
        </w:rPr>
      </w:pPr>
    </w:p>
    <w:p w14:paraId="20A39B7B" w14:textId="77777777" w:rsidR="00CF52FE" w:rsidRDefault="00CF52FE" w:rsidP="00100D2A">
      <w:pPr>
        <w:spacing w:line="480" w:lineRule="auto"/>
        <w:rPr>
          <w:rFonts w:ascii="Times New Roman" w:hAnsi="Times New Roman" w:cs="Times New Roman"/>
        </w:rPr>
      </w:pPr>
    </w:p>
    <w:p w14:paraId="2A974ABF" w14:textId="77777777" w:rsidR="00623B78" w:rsidRDefault="00623B78" w:rsidP="00100D2A">
      <w:pPr>
        <w:spacing w:line="480" w:lineRule="auto"/>
        <w:rPr>
          <w:rFonts w:ascii="Times New Roman" w:hAnsi="Times New Roman" w:cs="Times New Roman"/>
        </w:rPr>
      </w:pPr>
    </w:p>
    <w:p w14:paraId="74C4C893" w14:textId="77777777" w:rsidR="00623B78" w:rsidRDefault="00623B78" w:rsidP="00100D2A">
      <w:pPr>
        <w:spacing w:line="480" w:lineRule="auto"/>
        <w:rPr>
          <w:rFonts w:ascii="Times New Roman" w:hAnsi="Times New Roman" w:cs="Times New Roman"/>
        </w:rPr>
      </w:pPr>
    </w:p>
    <w:p w14:paraId="55647DD5" w14:textId="77777777" w:rsidR="00623B78" w:rsidRDefault="00623B78" w:rsidP="00100D2A">
      <w:pPr>
        <w:spacing w:line="480" w:lineRule="auto"/>
        <w:rPr>
          <w:rFonts w:ascii="Times New Roman" w:hAnsi="Times New Roman" w:cs="Times New Roman"/>
        </w:rPr>
      </w:pPr>
    </w:p>
    <w:p w14:paraId="23019B43" w14:textId="77777777" w:rsidR="00623B78" w:rsidRDefault="00623B78" w:rsidP="00100D2A">
      <w:pPr>
        <w:spacing w:line="480" w:lineRule="auto"/>
        <w:rPr>
          <w:rFonts w:ascii="Times New Roman" w:hAnsi="Times New Roman" w:cs="Times New Roman"/>
        </w:rPr>
      </w:pPr>
    </w:p>
    <w:p w14:paraId="25FFFF24" w14:textId="77777777" w:rsidR="00623B78" w:rsidRDefault="00623B78" w:rsidP="00100D2A">
      <w:pPr>
        <w:spacing w:line="480" w:lineRule="auto"/>
        <w:rPr>
          <w:rFonts w:ascii="Times New Roman" w:hAnsi="Times New Roman" w:cs="Times New Roman"/>
        </w:rPr>
      </w:pPr>
    </w:p>
    <w:p w14:paraId="36AC6694" w14:textId="77777777" w:rsidR="00623B78" w:rsidRDefault="00623B78" w:rsidP="00100D2A">
      <w:pPr>
        <w:spacing w:line="480" w:lineRule="auto"/>
        <w:rPr>
          <w:rFonts w:ascii="Times New Roman" w:hAnsi="Times New Roman" w:cs="Times New Roman"/>
        </w:rPr>
      </w:pPr>
    </w:p>
    <w:p w14:paraId="7638E802" w14:textId="77777777" w:rsidR="00623B78" w:rsidRDefault="00623B78" w:rsidP="00100D2A">
      <w:pPr>
        <w:spacing w:line="480" w:lineRule="auto"/>
        <w:rPr>
          <w:rFonts w:ascii="Times New Roman" w:hAnsi="Times New Roman" w:cs="Times New Roman"/>
        </w:rPr>
      </w:pPr>
    </w:p>
    <w:p w14:paraId="530A4540" w14:textId="77777777" w:rsidR="00623B78" w:rsidRDefault="00623B78" w:rsidP="00100D2A">
      <w:pPr>
        <w:spacing w:line="480" w:lineRule="auto"/>
        <w:rPr>
          <w:rFonts w:ascii="Times New Roman" w:hAnsi="Times New Roman" w:cs="Times New Roman"/>
        </w:rPr>
      </w:pPr>
    </w:p>
    <w:p w14:paraId="08F33872" w14:textId="77777777" w:rsidR="00623B78" w:rsidRDefault="00623B78" w:rsidP="00100D2A">
      <w:pPr>
        <w:spacing w:line="480" w:lineRule="auto"/>
        <w:rPr>
          <w:rFonts w:ascii="Times New Roman" w:hAnsi="Times New Roman" w:cs="Times New Roman"/>
        </w:rPr>
      </w:pPr>
    </w:p>
    <w:p w14:paraId="3F280633" w14:textId="77777777" w:rsidR="00623B78" w:rsidRDefault="00623B78" w:rsidP="00100D2A">
      <w:pPr>
        <w:spacing w:line="480" w:lineRule="auto"/>
        <w:rPr>
          <w:rFonts w:ascii="Times New Roman" w:hAnsi="Times New Roman" w:cs="Times New Roman"/>
        </w:rPr>
      </w:pPr>
    </w:p>
    <w:p w14:paraId="196060B8" w14:textId="77777777" w:rsidR="00623B78" w:rsidRDefault="00623B78" w:rsidP="00100D2A">
      <w:pPr>
        <w:spacing w:line="480" w:lineRule="auto"/>
        <w:rPr>
          <w:rFonts w:ascii="Times New Roman" w:hAnsi="Times New Roman" w:cs="Times New Roman"/>
        </w:rPr>
      </w:pPr>
    </w:p>
    <w:p w14:paraId="290B4E0C" w14:textId="77777777" w:rsidR="00623B78" w:rsidRDefault="00623B78" w:rsidP="00100D2A">
      <w:pPr>
        <w:spacing w:line="480" w:lineRule="auto"/>
        <w:rPr>
          <w:rFonts w:ascii="Times New Roman" w:hAnsi="Times New Roman" w:cs="Times New Roman"/>
        </w:rPr>
      </w:pPr>
    </w:p>
    <w:p w14:paraId="5BFD7630" w14:textId="77777777" w:rsidR="00623B78" w:rsidRDefault="00623B78" w:rsidP="00100D2A">
      <w:pPr>
        <w:spacing w:line="480" w:lineRule="auto"/>
        <w:rPr>
          <w:rFonts w:ascii="Times New Roman" w:hAnsi="Times New Roman" w:cs="Times New Roman"/>
        </w:rPr>
      </w:pPr>
    </w:p>
    <w:p w14:paraId="501E0F15" w14:textId="77777777" w:rsidR="00623B78" w:rsidRDefault="00623B78" w:rsidP="00100D2A">
      <w:pPr>
        <w:spacing w:line="480" w:lineRule="auto"/>
        <w:rPr>
          <w:rFonts w:ascii="Times New Roman" w:hAnsi="Times New Roman" w:cs="Times New Roman"/>
        </w:rPr>
      </w:pPr>
    </w:p>
    <w:p w14:paraId="0D46C81F" w14:textId="77777777" w:rsidR="00CF52FE" w:rsidRDefault="00CF52FE" w:rsidP="00100D2A">
      <w:pPr>
        <w:spacing w:line="480" w:lineRule="auto"/>
        <w:rPr>
          <w:rFonts w:ascii="Times New Roman" w:hAnsi="Times New Roman" w:cs="Times New Roman"/>
        </w:rPr>
      </w:pPr>
    </w:p>
    <w:p w14:paraId="70BAE41F" w14:textId="77777777" w:rsidR="00ED7808" w:rsidRPr="00AB4C80" w:rsidRDefault="00ED7808" w:rsidP="00100D2A">
      <w:pPr>
        <w:spacing w:line="480" w:lineRule="auto"/>
        <w:rPr>
          <w:rFonts w:ascii="Times New Roman" w:hAnsi="Times New Roman" w:cs="Times New Roman"/>
        </w:rPr>
      </w:pPr>
    </w:p>
    <w:p w14:paraId="787AF9B2" w14:textId="10FB22C5" w:rsidR="008712FB" w:rsidRDefault="00210BC5" w:rsidP="00C67197">
      <w:pPr>
        <w:pStyle w:val="Heading1"/>
      </w:pPr>
      <w:bookmarkStart w:id="41" w:name="_Toc174455338"/>
      <w:r>
        <w:lastRenderedPageBreak/>
        <w:t>Chapter Five</w:t>
      </w:r>
      <w:bookmarkEnd w:id="41"/>
    </w:p>
    <w:p w14:paraId="685FFAE0" w14:textId="499AB1F2" w:rsidR="00AB4C80" w:rsidRPr="00384647" w:rsidRDefault="00210BC5" w:rsidP="00C67197">
      <w:pPr>
        <w:pStyle w:val="Heading1"/>
        <w:rPr>
          <w:iCs/>
        </w:rPr>
      </w:pPr>
      <w:bookmarkStart w:id="42" w:name="_Toc174455339"/>
      <w:r>
        <w:t>Results</w:t>
      </w:r>
      <w:bookmarkEnd w:id="42"/>
    </w:p>
    <w:p w14:paraId="2BDEC791" w14:textId="76AEEB33" w:rsidR="00100D2A" w:rsidRDefault="00210BC5" w:rsidP="00100D2A">
      <w:pPr>
        <w:pStyle w:val="Heading2"/>
        <w:jc w:val="left"/>
      </w:pPr>
      <w:bookmarkStart w:id="43" w:name="_Toc174455340"/>
      <w:r>
        <w:t>Analysis</w:t>
      </w:r>
      <w:bookmarkEnd w:id="43"/>
    </w:p>
    <w:p w14:paraId="45D6F211" w14:textId="27494469" w:rsidR="00F36FF3" w:rsidRDefault="00100D2A" w:rsidP="00100D2A">
      <w:pPr>
        <w:spacing w:line="480" w:lineRule="auto"/>
        <w:ind w:firstLine="720"/>
        <w:rPr>
          <w:rFonts w:ascii="Times New Roman" w:hAnsi="Times New Roman" w:cs="Times New Roman"/>
        </w:rPr>
      </w:pPr>
      <w:bookmarkStart w:id="44" w:name="_Hlk168298889"/>
      <w:r w:rsidRPr="00100D2A">
        <w:rPr>
          <w:rFonts w:ascii="Times New Roman" w:hAnsi="Times New Roman" w:cs="Times New Roman"/>
        </w:rPr>
        <w:t xml:space="preserve">The coefficients </w:t>
      </w:r>
      <w:r>
        <w:rPr>
          <w:rFonts w:ascii="Times New Roman" w:hAnsi="Times New Roman" w:cs="Times New Roman"/>
        </w:rPr>
        <w:t xml:space="preserve">in Table 3 come from a reduced form logit model, they </w:t>
      </w:r>
      <w:r w:rsidRPr="00100D2A">
        <w:rPr>
          <w:rFonts w:ascii="Times New Roman" w:hAnsi="Times New Roman" w:cs="Times New Roman"/>
        </w:rPr>
        <w:t xml:space="preserve">represent the total effect of one variable on another. </w:t>
      </w:r>
      <w:r w:rsidR="00F36FF3" w:rsidRPr="00F36FF3">
        <w:rPr>
          <w:rFonts w:ascii="Times New Roman" w:hAnsi="Times New Roman" w:cs="Times New Roman"/>
        </w:rPr>
        <w:t xml:space="preserve">The increase in the fraction of households that own an EV </w:t>
      </w:r>
      <w:r w:rsidR="00364380">
        <w:rPr>
          <w:rFonts w:ascii="Times New Roman" w:hAnsi="Times New Roman" w:cs="Times New Roman"/>
        </w:rPr>
        <w:t xml:space="preserve">is </w:t>
      </w:r>
      <w:r w:rsidR="00F36FF3" w:rsidRPr="00F36FF3">
        <w:rPr>
          <w:rFonts w:ascii="Times New Roman" w:hAnsi="Times New Roman" w:cs="Times New Roman"/>
        </w:rPr>
        <w:t>associated with home</w:t>
      </w:r>
      <w:r w:rsidR="00F36FF3">
        <w:rPr>
          <w:rFonts w:ascii="Times New Roman" w:hAnsi="Times New Roman" w:cs="Times New Roman"/>
        </w:rPr>
        <w:t xml:space="preserve">-based charging </w:t>
      </w:r>
      <w:r w:rsidR="00163B7C">
        <w:rPr>
          <w:rFonts w:ascii="Times New Roman" w:hAnsi="Times New Roman" w:cs="Times New Roman"/>
        </w:rPr>
        <w:t>availability.</w:t>
      </w:r>
      <w:r w:rsidR="005B19F2" w:rsidRPr="005B19F2">
        <w:rPr>
          <w:rFonts w:ascii="Times New Roman" w:hAnsi="Times New Roman" w:cs="Times New Roman"/>
        </w:rPr>
        <w:t xml:space="preserve"> </w:t>
      </w:r>
      <w:r w:rsidR="005B19F2">
        <w:rPr>
          <w:rFonts w:ascii="Times New Roman" w:hAnsi="Times New Roman" w:cs="Times New Roman"/>
        </w:rPr>
        <w:t>Our results are reported in Table 3.</w:t>
      </w:r>
    </w:p>
    <w:p w14:paraId="7D17C1F2" w14:textId="4E66A428" w:rsidR="007B3177" w:rsidRDefault="00100D2A" w:rsidP="007B3177">
      <w:pPr>
        <w:spacing w:line="480" w:lineRule="auto"/>
        <w:ind w:firstLine="720"/>
        <w:rPr>
          <w:rFonts w:ascii="Times New Roman" w:hAnsi="Times New Roman" w:cs="Times New Roman"/>
        </w:rPr>
      </w:pPr>
      <w:r w:rsidRPr="00533554">
        <w:rPr>
          <w:rFonts w:ascii="Times New Roman" w:hAnsi="Times New Roman" w:cs="Times New Roman"/>
        </w:rPr>
        <w:t>In model (1)</w:t>
      </w:r>
      <w:r w:rsidR="005A4BF0">
        <w:rPr>
          <w:rFonts w:ascii="Times New Roman" w:hAnsi="Times New Roman" w:cs="Times New Roman"/>
        </w:rPr>
        <w:t xml:space="preserve"> the estimated constant is </w:t>
      </w:r>
      <w:r w:rsidR="00D00867">
        <w:rPr>
          <w:rFonts w:ascii="Times New Roman" w:hAnsi="Times New Roman" w:cs="Times New Roman"/>
        </w:rPr>
        <w:t>0</w:t>
      </w:r>
      <w:r w:rsidR="008A39D7">
        <w:rPr>
          <w:rFonts w:ascii="Times New Roman" w:hAnsi="Times New Roman" w:cs="Times New Roman"/>
        </w:rPr>
        <w:t xml:space="preserve">.005, which represents the fraction of households that own an EV and that do </w:t>
      </w:r>
      <w:r w:rsidR="00E90BEF">
        <w:rPr>
          <w:rFonts w:ascii="Times New Roman" w:hAnsi="Times New Roman" w:cs="Times New Roman"/>
        </w:rPr>
        <w:t>not</w:t>
      </w:r>
      <w:r w:rsidR="008A39D7">
        <w:rPr>
          <w:rFonts w:ascii="Times New Roman" w:hAnsi="Times New Roman" w:cs="Times New Roman"/>
        </w:rPr>
        <w:t xml:space="preserve"> have home-based charging</w:t>
      </w:r>
      <w:r w:rsidR="00E90BEF">
        <w:rPr>
          <w:rFonts w:ascii="Times New Roman" w:hAnsi="Times New Roman" w:cs="Times New Roman"/>
        </w:rPr>
        <w:t xml:space="preserve">. </w:t>
      </w:r>
      <w:r w:rsidR="00366834">
        <w:rPr>
          <w:rFonts w:ascii="Times New Roman" w:hAnsi="Times New Roman" w:cs="Times New Roman"/>
        </w:rPr>
        <w:t>We know from Table 2 this fraction is</w:t>
      </w:r>
      <w:r w:rsidRPr="00533554">
        <w:rPr>
          <w:rFonts w:ascii="Times New Roman" w:hAnsi="Times New Roman" w:cs="Times New Roman"/>
        </w:rPr>
        <w:t xml:space="preserve"> </w:t>
      </w:r>
      <w:r w:rsidR="00D0183B">
        <w:rPr>
          <w:rFonts w:ascii="Times New Roman" w:hAnsi="Times New Roman" w:cs="Times New Roman"/>
        </w:rPr>
        <w:t>36</w:t>
      </w:r>
      <w:r w:rsidR="00D00867">
        <w:rPr>
          <w:rFonts w:ascii="Times New Roman" w:hAnsi="Times New Roman" w:cs="Times New Roman"/>
        </w:rPr>
        <w:t xml:space="preserve"> out of </w:t>
      </w:r>
      <w:r w:rsidR="00D0183B">
        <w:rPr>
          <w:rFonts w:ascii="Times New Roman" w:hAnsi="Times New Roman" w:cs="Times New Roman"/>
        </w:rPr>
        <w:t xml:space="preserve">7,021 households. </w:t>
      </w:r>
      <w:r w:rsidR="00366834">
        <w:rPr>
          <w:rFonts w:ascii="Times New Roman" w:hAnsi="Times New Roman" w:cs="Times New Roman"/>
        </w:rPr>
        <w:t xml:space="preserve">The </w:t>
      </w:r>
      <w:r w:rsidR="00504D1C">
        <w:rPr>
          <w:rFonts w:ascii="Times New Roman" w:hAnsi="Times New Roman" w:cs="Times New Roman"/>
        </w:rPr>
        <w:t xml:space="preserve">proportion of households that own an EV among households that possess home-based charging capability is </w:t>
      </w:r>
      <w:r w:rsidR="00D00867">
        <w:rPr>
          <w:rFonts w:ascii="Times New Roman" w:hAnsi="Times New Roman" w:cs="Times New Roman"/>
        </w:rPr>
        <w:t>0</w:t>
      </w:r>
      <w:r w:rsidR="00504D1C">
        <w:rPr>
          <w:rFonts w:ascii="Times New Roman" w:hAnsi="Times New Roman" w:cs="Times New Roman"/>
        </w:rPr>
        <w:t>.022</w:t>
      </w:r>
      <w:r w:rsidR="00256306">
        <w:rPr>
          <w:rFonts w:ascii="Times New Roman" w:hAnsi="Times New Roman" w:cs="Times New Roman"/>
        </w:rPr>
        <w:t xml:space="preserve">. </w:t>
      </w:r>
      <w:r w:rsidR="00D0183B" w:rsidRPr="00533554">
        <w:rPr>
          <w:rFonts w:ascii="Times New Roman" w:hAnsi="Times New Roman" w:cs="Times New Roman"/>
        </w:rPr>
        <w:t>The</w:t>
      </w:r>
      <w:r w:rsidRPr="00533554">
        <w:rPr>
          <w:rFonts w:ascii="Times New Roman" w:hAnsi="Times New Roman" w:cs="Times New Roman"/>
        </w:rPr>
        <w:t xml:space="preserve"> coefficient </w:t>
      </w:r>
      <w:r w:rsidR="00A526F2">
        <w:rPr>
          <w:rFonts w:ascii="Times New Roman" w:hAnsi="Times New Roman" w:cs="Times New Roman"/>
        </w:rPr>
        <w:t>in model (1) is</w:t>
      </w:r>
      <w:r w:rsidRPr="00533554">
        <w:rPr>
          <w:rFonts w:ascii="Times New Roman" w:hAnsi="Times New Roman" w:cs="Times New Roman"/>
        </w:rPr>
        <w:t xml:space="preserve"> 0.01</w:t>
      </w:r>
      <w:r w:rsidR="00DD3E85">
        <w:rPr>
          <w:rFonts w:ascii="Times New Roman" w:hAnsi="Times New Roman" w:cs="Times New Roman"/>
        </w:rPr>
        <w:t>7</w:t>
      </w:r>
      <w:r w:rsidR="00CE11CA">
        <w:rPr>
          <w:rFonts w:ascii="Times New Roman" w:hAnsi="Times New Roman" w:cs="Times New Roman"/>
        </w:rPr>
        <w:t xml:space="preserve">, which reflects the difference </w:t>
      </w:r>
      <w:r w:rsidR="00646064">
        <w:rPr>
          <w:rFonts w:ascii="Times New Roman" w:hAnsi="Times New Roman" w:cs="Times New Roman"/>
        </w:rPr>
        <w:t xml:space="preserve">between the ratios </w:t>
      </w:r>
      <w:r w:rsidR="00D15252">
        <w:rPr>
          <w:rFonts w:ascii="Times New Roman" w:hAnsi="Times New Roman" w:cs="Times New Roman"/>
        </w:rPr>
        <w:t>of EV owners with and without home-based charging.</w:t>
      </w:r>
      <w:r>
        <w:rPr>
          <w:rFonts w:ascii="Times New Roman" w:hAnsi="Times New Roman" w:cs="Times New Roman"/>
        </w:rPr>
        <w:t xml:space="preserve"> </w:t>
      </w:r>
      <w:r w:rsidRPr="00100D2A">
        <w:rPr>
          <w:rFonts w:ascii="Times New Roman" w:hAnsi="Times New Roman" w:cs="Times New Roman"/>
        </w:rPr>
        <w:t>The interaction term “Home Charging * Low-Income” captures how the effect of home charging availability differs for low-income households, the coefficient is -0.019 with a standard error of 0.004. A negative coefficient suggests that the impact of home charging availability on EV ownership is weaker for low-income households</w:t>
      </w:r>
      <w:r>
        <w:rPr>
          <w:rFonts w:ascii="Times New Roman" w:hAnsi="Times New Roman" w:cs="Times New Roman"/>
        </w:rPr>
        <w:t>. This</w:t>
      </w:r>
      <w:r w:rsidRPr="00100D2A">
        <w:rPr>
          <w:rFonts w:ascii="Times New Roman" w:hAnsi="Times New Roman" w:cs="Times New Roman"/>
        </w:rPr>
        <w:t xml:space="preserve"> validat</w:t>
      </w:r>
      <w:r>
        <w:rPr>
          <w:rFonts w:ascii="Times New Roman" w:hAnsi="Times New Roman" w:cs="Times New Roman"/>
        </w:rPr>
        <w:t>es</w:t>
      </w:r>
      <w:r w:rsidRPr="00100D2A">
        <w:rPr>
          <w:rFonts w:ascii="Times New Roman" w:hAnsi="Times New Roman" w:cs="Times New Roman"/>
        </w:rPr>
        <w:t xml:space="preserve"> our hypothesis</w:t>
      </w:r>
      <w:r>
        <w:rPr>
          <w:rFonts w:ascii="Times New Roman" w:hAnsi="Times New Roman" w:cs="Times New Roman"/>
        </w:rPr>
        <w:t xml:space="preserve"> that lower income households are </w:t>
      </w:r>
      <w:r w:rsidR="00345D30">
        <w:rPr>
          <w:rFonts w:ascii="Times New Roman" w:hAnsi="Times New Roman" w:cs="Times New Roman"/>
        </w:rPr>
        <w:t xml:space="preserve">much </w:t>
      </w:r>
      <w:r>
        <w:rPr>
          <w:rFonts w:ascii="Times New Roman" w:hAnsi="Times New Roman" w:cs="Times New Roman"/>
        </w:rPr>
        <w:t>less likely to purchase an EV</w:t>
      </w:r>
      <w:r w:rsidR="005E53C3">
        <w:rPr>
          <w:rFonts w:ascii="Times New Roman" w:hAnsi="Times New Roman" w:cs="Times New Roman"/>
        </w:rPr>
        <w:t xml:space="preserve"> than median income households</w:t>
      </w:r>
      <w:r w:rsidRPr="00100D2A">
        <w:rPr>
          <w:rFonts w:ascii="Times New Roman" w:hAnsi="Times New Roman" w:cs="Times New Roman"/>
        </w:rPr>
        <w:t>.</w:t>
      </w:r>
      <w:r>
        <w:rPr>
          <w:rFonts w:ascii="Times New Roman" w:hAnsi="Times New Roman" w:cs="Times New Roman"/>
        </w:rPr>
        <w:t xml:space="preserve"> </w:t>
      </w:r>
      <w:r w:rsidR="007B3177">
        <w:rPr>
          <w:rFonts w:ascii="Times New Roman" w:hAnsi="Times New Roman" w:cs="Times New Roman"/>
        </w:rPr>
        <w:t>We use the different estimations of marginal effect of HBCI found in Table 3 to calculate the marginal WTP for HBCI in Tables 4 and 5 over the lifespan of a vehicle, or twelve years.</w:t>
      </w:r>
    </w:p>
    <w:p w14:paraId="094C71CB" w14:textId="30A91083" w:rsidR="00100D2A" w:rsidRDefault="00100D2A" w:rsidP="002D5F03">
      <w:pPr>
        <w:spacing w:line="480" w:lineRule="auto"/>
        <w:ind w:firstLine="720"/>
        <w:rPr>
          <w:rFonts w:ascii="Times New Roman" w:hAnsi="Times New Roman" w:cs="Times New Roman"/>
        </w:rPr>
      </w:pPr>
      <w:r>
        <w:rPr>
          <w:rFonts w:ascii="Times New Roman" w:hAnsi="Times New Roman" w:cs="Times New Roman"/>
        </w:rPr>
        <w:t>In Table 3,</w:t>
      </w:r>
      <w:r w:rsidRPr="00100D2A">
        <w:rPr>
          <w:rFonts w:ascii="Times New Roman" w:hAnsi="Times New Roman" w:cs="Times New Roman"/>
        </w:rPr>
        <w:t xml:space="preserve"> </w:t>
      </w:r>
      <w:r>
        <w:rPr>
          <w:rFonts w:ascii="Times New Roman" w:hAnsi="Times New Roman" w:cs="Times New Roman"/>
        </w:rPr>
        <w:t>i</w:t>
      </w:r>
      <w:r w:rsidRPr="00100D2A">
        <w:rPr>
          <w:rFonts w:ascii="Times New Roman" w:hAnsi="Times New Roman" w:cs="Times New Roman"/>
        </w:rPr>
        <w:t xml:space="preserve">ncome represents the midpoint estimate of annual gross household income based on income range categories from RECs; it is scaled to the nearest $100,000. College Degree is a binary variable indicating if respondents have completed </w:t>
      </w:r>
      <w:r w:rsidRPr="00100D2A">
        <w:rPr>
          <w:rFonts w:ascii="Times New Roman" w:hAnsi="Times New Roman" w:cs="Times New Roman"/>
        </w:rPr>
        <w:lastRenderedPageBreak/>
        <w:t xml:space="preserve">an associate degree or beyond. Race was only found to be statistically significant to EV ownership </w:t>
      </w:r>
      <w:r w:rsidR="000C24FF">
        <w:rPr>
          <w:rFonts w:ascii="Times New Roman" w:hAnsi="Times New Roman" w:cs="Times New Roman"/>
        </w:rPr>
        <w:t>for</w:t>
      </w:r>
      <w:r w:rsidR="000C24FF" w:rsidRPr="00100D2A">
        <w:rPr>
          <w:rFonts w:ascii="Times New Roman" w:hAnsi="Times New Roman" w:cs="Times New Roman"/>
        </w:rPr>
        <w:t xml:space="preserve"> </w:t>
      </w:r>
      <w:r w:rsidRPr="00100D2A">
        <w:rPr>
          <w:rFonts w:ascii="Times New Roman" w:hAnsi="Times New Roman" w:cs="Times New Roman"/>
        </w:rPr>
        <w:t>white and Asian households</w:t>
      </w:r>
      <w:r>
        <w:rPr>
          <w:rFonts w:ascii="Times New Roman" w:hAnsi="Times New Roman" w:cs="Times New Roman"/>
        </w:rPr>
        <w:t>.</w:t>
      </w:r>
      <w:r w:rsidRPr="00100D2A">
        <w:rPr>
          <w:rFonts w:ascii="Times New Roman" w:hAnsi="Times New Roman" w:cs="Times New Roman"/>
        </w:rPr>
        <w:t xml:space="preserve"> White is a binary variable aggregating the category of race. It reflects if the respondent identifies as a person of color or white. Urban is a binary variable representing if a respondent lives in an Urban Census Tract. </w:t>
      </w:r>
      <w:r w:rsidR="00D87C10">
        <w:rPr>
          <w:rFonts w:ascii="Times New Roman" w:hAnsi="Times New Roman" w:cs="Times New Roman"/>
        </w:rPr>
        <w:t>We cluster s</w:t>
      </w:r>
      <w:r w:rsidRPr="00100D2A">
        <w:rPr>
          <w:rFonts w:ascii="Times New Roman" w:hAnsi="Times New Roman" w:cs="Times New Roman"/>
        </w:rPr>
        <w:t>tandard errors at the state level and report</w:t>
      </w:r>
      <w:r w:rsidR="00D87C10">
        <w:rPr>
          <w:rFonts w:ascii="Times New Roman" w:hAnsi="Times New Roman" w:cs="Times New Roman"/>
        </w:rPr>
        <w:t xml:space="preserve"> them</w:t>
      </w:r>
      <w:r w:rsidRPr="00100D2A">
        <w:rPr>
          <w:rFonts w:ascii="Times New Roman" w:hAnsi="Times New Roman" w:cs="Times New Roman"/>
        </w:rPr>
        <w:t xml:space="preserve"> in parentheses.</w:t>
      </w:r>
      <w:r>
        <w:rPr>
          <w:rFonts w:ascii="Times New Roman" w:hAnsi="Times New Roman" w:cs="Times New Roman"/>
        </w:rPr>
        <w:t xml:space="preserve"> </w:t>
      </w:r>
      <w:r w:rsidR="00ED6350">
        <w:rPr>
          <w:rFonts w:ascii="Times New Roman" w:hAnsi="Times New Roman" w:cs="Times New Roman"/>
        </w:rPr>
        <w:t xml:space="preserve">Variables such as Male, White, Urban, College Degree, Home Charging, State of residence, and the interaction between Home Charging and Low-Income </w:t>
      </w:r>
      <w:r w:rsidR="004241A4">
        <w:rPr>
          <w:rFonts w:ascii="Times New Roman" w:hAnsi="Times New Roman" w:cs="Times New Roman"/>
        </w:rPr>
        <w:t>were all found to be</w:t>
      </w:r>
      <w:r w:rsidR="00ED6350">
        <w:rPr>
          <w:rFonts w:ascii="Times New Roman" w:hAnsi="Times New Roman" w:cs="Times New Roman"/>
        </w:rPr>
        <w:t xml:space="preserve"> statistically significant. </w:t>
      </w:r>
      <w:r w:rsidR="002D5F03">
        <w:rPr>
          <w:rFonts w:ascii="Times New Roman" w:hAnsi="Times New Roman" w:cs="Times New Roman"/>
        </w:rPr>
        <w:t>Notably, the R-</w:t>
      </w:r>
      <w:r w:rsidR="008B58AB">
        <w:rPr>
          <w:rFonts w:ascii="Times New Roman" w:hAnsi="Times New Roman" w:cs="Times New Roman"/>
        </w:rPr>
        <w:t>s</w:t>
      </w:r>
      <w:r w:rsidR="002D5F03">
        <w:rPr>
          <w:rFonts w:ascii="Times New Roman" w:hAnsi="Times New Roman" w:cs="Times New Roman"/>
        </w:rPr>
        <w:t>quared value for all four models is low. R-squared is the fraction of the variance in which the dependent variable can be explained by the independent variable.</w:t>
      </w:r>
      <w:r w:rsidR="009917F3">
        <w:rPr>
          <w:rFonts w:ascii="Times New Roman" w:hAnsi="Times New Roman" w:cs="Times New Roman"/>
        </w:rPr>
        <w:t xml:space="preserve"> </w:t>
      </w:r>
      <w:r w:rsidR="00760C83">
        <w:rPr>
          <w:rFonts w:ascii="Times New Roman" w:hAnsi="Times New Roman" w:cs="Times New Roman"/>
        </w:rPr>
        <w:t>One reason the R-squared is low could be because we are using microdata</w:t>
      </w:r>
      <w:r w:rsidR="008B58AB">
        <w:rPr>
          <w:rFonts w:ascii="Times New Roman" w:hAnsi="Times New Roman" w:cs="Times New Roman"/>
        </w:rPr>
        <w:t xml:space="preserve">. </w:t>
      </w:r>
    </w:p>
    <w:p w14:paraId="705F7BEC" w14:textId="1F66AB6F" w:rsidR="00100D2A" w:rsidRPr="005E53C3" w:rsidRDefault="00100D2A" w:rsidP="00100D2A">
      <w:pPr>
        <w:spacing w:line="480" w:lineRule="auto"/>
        <w:ind w:firstLine="720"/>
        <w:rPr>
          <w:rFonts w:ascii="Times New Roman" w:hAnsi="Times New Roman" w:cs="Times New Roman"/>
        </w:rPr>
      </w:pPr>
      <w:r>
        <w:rPr>
          <w:rFonts w:ascii="Times New Roman" w:hAnsi="Times New Roman" w:cs="Times New Roman"/>
        </w:rPr>
        <w:t xml:space="preserve">Table 4 </w:t>
      </w:r>
      <w:r w:rsidRPr="00100D2A">
        <w:rPr>
          <w:rFonts w:ascii="Times New Roman" w:hAnsi="Times New Roman" w:cs="Times New Roman"/>
        </w:rPr>
        <w:t>summarize</w:t>
      </w:r>
      <w:r>
        <w:rPr>
          <w:rFonts w:ascii="Times New Roman" w:hAnsi="Times New Roman" w:cs="Times New Roman"/>
        </w:rPr>
        <w:t>s</w:t>
      </w:r>
      <w:r w:rsidRPr="00100D2A">
        <w:rPr>
          <w:rFonts w:ascii="Times New Roman" w:hAnsi="Times New Roman" w:cs="Times New Roman"/>
        </w:rPr>
        <w:t xml:space="preserve"> the predicted </w:t>
      </w:r>
      <w:r>
        <w:rPr>
          <w:rFonts w:ascii="Times New Roman" w:hAnsi="Times New Roman" w:cs="Times New Roman"/>
        </w:rPr>
        <w:t xml:space="preserve">marginal </w:t>
      </w:r>
      <w:r w:rsidRPr="00100D2A">
        <w:rPr>
          <w:rFonts w:ascii="Times New Roman" w:hAnsi="Times New Roman" w:cs="Times New Roman"/>
        </w:rPr>
        <w:t>WTP estimates for home-based charging</w:t>
      </w:r>
      <w:r>
        <w:rPr>
          <w:rFonts w:ascii="Times New Roman" w:hAnsi="Times New Roman" w:cs="Times New Roman"/>
        </w:rPr>
        <w:t xml:space="preserve"> by median to high income households.</w:t>
      </w:r>
      <w:r w:rsidRPr="00100D2A">
        <w:rPr>
          <w:rFonts w:ascii="Times New Roman" w:hAnsi="Times New Roman" w:cs="Times New Roman"/>
        </w:rPr>
        <w:t xml:space="preserve"> </w:t>
      </w:r>
      <w:r>
        <w:rPr>
          <w:rFonts w:ascii="Times New Roman" w:hAnsi="Times New Roman" w:cs="Times New Roman"/>
        </w:rPr>
        <w:t>These are households which reported more than $60,000 annual income</w:t>
      </w:r>
      <w:r w:rsidRPr="00100D2A">
        <w:rPr>
          <w:rFonts w:ascii="Times New Roman" w:hAnsi="Times New Roman" w:cs="Times New Roman"/>
        </w:rPr>
        <w:t xml:space="preserve">. The scenarios reflect varying price elasticity estimates and the different EV price assumptions. The </w:t>
      </w:r>
      <w:r>
        <w:rPr>
          <w:rFonts w:ascii="Times New Roman" w:hAnsi="Times New Roman" w:cs="Times New Roman"/>
        </w:rPr>
        <w:t>benchmark</w:t>
      </w:r>
      <w:r w:rsidRPr="00100D2A">
        <w:rPr>
          <w:rFonts w:ascii="Times New Roman" w:hAnsi="Times New Roman" w:cs="Times New Roman"/>
        </w:rPr>
        <w:t xml:space="preserve"> EV price, $27,058 represents the average sticker price of a</w:t>
      </w:r>
      <w:r>
        <w:rPr>
          <w:rFonts w:ascii="Times New Roman" w:hAnsi="Times New Roman" w:cs="Times New Roman"/>
        </w:rPr>
        <w:t xml:space="preserve"> used</w:t>
      </w:r>
      <w:r w:rsidRPr="00100D2A">
        <w:rPr>
          <w:rFonts w:ascii="Times New Roman" w:hAnsi="Times New Roman" w:cs="Times New Roman"/>
        </w:rPr>
        <w:t xml:space="preserve"> EV in 2020. The high EV price, $</w:t>
      </w:r>
      <w:r>
        <w:rPr>
          <w:rFonts w:ascii="Times New Roman" w:hAnsi="Times New Roman" w:cs="Times New Roman"/>
        </w:rPr>
        <w:t>37,100</w:t>
      </w:r>
      <w:r w:rsidRPr="00100D2A">
        <w:rPr>
          <w:rFonts w:ascii="Times New Roman" w:hAnsi="Times New Roman" w:cs="Times New Roman"/>
        </w:rPr>
        <w:t xml:space="preserve"> represents the average sticker price of a new EV in 2020</w:t>
      </w:r>
      <w:r w:rsidR="005E53C3">
        <w:rPr>
          <w:rFonts w:ascii="Times New Roman" w:hAnsi="Times New Roman" w:cs="Times New Roman"/>
        </w:rPr>
        <w:t>. Our</w:t>
      </w:r>
      <w:r>
        <w:rPr>
          <w:rFonts w:ascii="Times New Roman" w:hAnsi="Times New Roman" w:cs="Times New Roman"/>
        </w:rPr>
        <w:t xml:space="preserve"> low price estimate</w:t>
      </w:r>
      <w:r w:rsidR="005E53C3">
        <w:rPr>
          <w:rFonts w:ascii="Times New Roman" w:hAnsi="Times New Roman" w:cs="Times New Roman"/>
        </w:rPr>
        <w:t xml:space="preserve"> for an EV was </w:t>
      </w:r>
      <w:r w:rsidR="005E53C3" w:rsidRPr="005E53C3">
        <w:rPr>
          <w:rFonts w:ascii="Times New Roman" w:hAnsi="Times New Roman" w:cs="Times New Roman"/>
        </w:rPr>
        <w:t>$17,100</w:t>
      </w:r>
      <w:r w:rsidRPr="005E53C3">
        <w:rPr>
          <w:rFonts w:ascii="Times New Roman" w:hAnsi="Times New Roman" w:cs="Times New Roman"/>
        </w:rPr>
        <w:t>. Our assumed price elasticity of demand for EVs at this income level is between -1 and -2. The marginal WTP across all 9 scenarios is between $1,913</w:t>
      </w:r>
      <w:r w:rsidR="00502089">
        <w:rPr>
          <w:rFonts w:ascii="Times New Roman" w:hAnsi="Times New Roman" w:cs="Times New Roman"/>
        </w:rPr>
        <w:t xml:space="preserve"> and</w:t>
      </w:r>
      <w:r w:rsidRPr="005E53C3">
        <w:rPr>
          <w:rFonts w:ascii="Times New Roman" w:hAnsi="Times New Roman" w:cs="Times New Roman"/>
        </w:rPr>
        <w:t xml:space="preserve"> $13,868 annually. </w:t>
      </w:r>
      <w:r w:rsidR="00CD3AA2">
        <w:rPr>
          <w:rFonts w:ascii="Times New Roman" w:hAnsi="Times New Roman" w:cs="Times New Roman"/>
        </w:rPr>
        <w:t>The average WTP for HBCI amongst median-to-high income households</w:t>
      </w:r>
      <w:r w:rsidR="005A6583">
        <w:rPr>
          <w:rFonts w:ascii="Times New Roman" w:hAnsi="Times New Roman" w:cs="Times New Roman"/>
        </w:rPr>
        <w:t xml:space="preserve"> across the 9 scenarios</w:t>
      </w:r>
      <w:r w:rsidR="00CD3AA2">
        <w:rPr>
          <w:rFonts w:ascii="Times New Roman" w:hAnsi="Times New Roman" w:cs="Times New Roman"/>
        </w:rPr>
        <w:t xml:space="preserve"> was </w:t>
      </w:r>
      <w:r w:rsidR="00DF5384">
        <w:rPr>
          <w:rFonts w:ascii="Times New Roman" w:hAnsi="Times New Roman" w:cs="Times New Roman"/>
        </w:rPr>
        <w:t>$5,973</w:t>
      </w:r>
      <w:r w:rsidR="005A6583">
        <w:rPr>
          <w:rFonts w:ascii="Times New Roman" w:hAnsi="Times New Roman" w:cs="Times New Roman"/>
        </w:rPr>
        <w:t>. This</w:t>
      </w:r>
      <w:r w:rsidRPr="005E53C3">
        <w:rPr>
          <w:rFonts w:ascii="Times New Roman" w:hAnsi="Times New Roman" w:cs="Times New Roman"/>
        </w:rPr>
        <w:t xml:space="preserve"> estimate represents a significant value to </w:t>
      </w:r>
      <w:r w:rsidRPr="005E53C3">
        <w:rPr>
          <w:rFonts w:ascii="Times New Roman" w:hAnsi="Times New Roman" w:cs="Times New Roman"/>
        </w:rPr>
        <w:lastRenderedPageBreak/>
        <w:t>households, supporting that home</w:t>
      </w:r>
      <w:r w:rsidR="00E55E36">
        <w:rPr>
          <w:rFonts w:ascii="Times New Roman" w:hAnsi="Times New Roman" w:cs="Times New Roman"/>
        </w:rPr>
        <w:t>-</w:t>
      </w:r>
      <w:r w:rsidRPr="005E53C3">
        <w:rPr>
          <w:rFonts w:ascii="Times New Roman" w:hAnsi="Times New Roman" w:cs="Times New Roman"/>
        </w:rPr>
        <w:t xml:space="preserve">based charging is </w:t>
      </w:r>
      <w:r w:rsidR="00CD3AA2" w:rsidRPr="005E53C3">
        <w:rPr>
          <w:rFonts w:ascii="Times New Roman" w:hAnsi="Times New Roman" w:cs="Times New Roman"/>
        </w:rPr>
        <w:t>a</w:t>
      </w:r>
      <w:r w:rsidR="00CD3AA2">
        <w:rPr>
          <w:rFonts w:ascii="Times New Roman" w:hAnsi="Times New Roman" w:cs="Times New Roman"/>
        </w:rPr>
        <w:t>n especially important</w:t>
      </w:r>
      <w:r w:rsidRPr="005E53C3">
        <w:rPr>
          <w:rFonts w:ascii="Times New Roman" w:hAnsi="Times New Roman" w:cs="Times New Roman"/>
        </w:rPr>
        <w:t xml:space="preserve"> attribute to EV consumers.</w:t>
      </w:r>
      <w:r w:rsidR="00CD3AA2">
        <w:rPr>
          <w:rFonts w:ascii="Times New Roman" w:hAnsi="Times New Roman" w:cs="Times New Roman"/>
        </w:rPr>
        <w:t xml:space="preserve"> </w:t>
      </w:r>
    </w:p>
    <w:p w14:paraId="54B4E2D0" w14:textId="23E15240" w:rsidR="00100D2A" w:rsidRPr="005E53C3" w:rsidRDefault="00100D2A" w:rsidP="00A25432">
      <w:pPr>
        <w:spacing w:line="480" w:lineRule="auto"/>
        <w:ind w:firstLine="720"/>
        <w:rPr>
          <w:rFonts w:ascii="Times New Roman" w:hAnsi="Times New Roman" w:cs="Times New Roman"/>
        </w:rPr>
      </w:pPr>
      <w:r w:rsidRPr="005E53C3">
        <w:rPr>
          <w:rFonts w:ascii="Times New Roman" w:hAnsi="Times New Roman" w:cs="Times New Roman"/>
        </w:rPr>
        <w:t xml:space="preserve">Table 5 summarizes the predicted marginal WTP estimates for home-based charging by low-income households. We know from previous literature that the demand for EVs is more elastic </w:t>
      </w:r>
      <w:r w:rsidR="000C24FF">
        <w:rPr>
          <w:rFonts w:ascii="Times New Roman" w:hAnsi="Times New Roman" w:cs="Times New Roman"/>
        </w:rPr>
        <w:t>for</w:t>
      </w:r>
      <w:r w:rsidR="000C24FF" w:rsidRPr="005E53C3">
        <w:rPr>
          <w:rFonts w:ascii="Times New Roman" w:hAnsi="Times New Roman" w:cs="Times New Roman"/>
        </w:rPr>
        <w:t xml:space="preserve"> </w:t>
      </w:r>
      <w:r w:rsidRPr="005E53C3">
        <w:rPr>
          <w:rFonts w:ascii="Times New Roman" w:hAnsi="Times New Roman" w:cs="Times New Roman"/>
        </w:rPr>
        <w:t xml:space="preserve">low-income households. In Table 5, our initial EV price assumptions stay the same, but the elasticity estimates range from -2 to -3. Our β values come from the regression coefficients in Table 3. The estimated marginal effect for HBCI (β) in Table 4 is </w:t>
      </w:r>
      <w:r w:rsidR="003F71CE">
        <w:rPr>
          <w:rFonts w:ascii="Times New Roman" w:hAnsi="Times New Roman" w:cs="Times New Roman"/>
        </w:rPr>
        <w:t>0</w:t>
      </w:r>
      <w:r w:rsidRPr="005E53C3">
        <w:rPr>
          <w:rFonts w:ascii="Times New Roman" w:hAnsi="Times New Roman" w:cs="Times New Roman"/>
        </w:rPr>
        <w:t xml:space="preserve">.023, but only </w:t>
      </w:r>
      <w:r w:rsidR="003F71CE">
        <w:rPr>
          <w:rFonts w:ascii="Times New Roman" w:hAnsi="Times New Roman" w:cs="Times New Roman"/>
        </w:rPr>
        <w:t>0</w:t>
      </w:r>
      <w:r w:rsidRPr="005E53C3">
        <w:rPr>
          <w:rFonts w:ascii="Times New Roman" w:hAnsi="Times New Roman" w:cs="Times New Roman"/>
        </w:rPr>
        <w:t>.004 in Table 5. This indicates that there is a significant difference in the marginal effect for HBCI between low and median-to-high income. Expectedly, the marginal WTP for HBCI is much lower across all 9 scenarios for low-income households. The marginal WTP for HBCI annualized 12 years ranges between $302</w:t>
      </w:r>
      <w:r w:rsidR="003F71CE">
        <w:rPr>
          <w:rFonts w:ascii="Times New Roman" w:hAnsi="Times New Roman" w:cs="Times New Roman"/>
        </w:rPr>
        <w:t xml:space="preserve"> and </w:t>
      </w:r>
      <w:r w:rsidRPr="005E53C3">
        <w:rPr>
          <w:rFonts w:ascii="Times New Roman" w:hAnsi="Times New Roman" w:cs="Times New Roman"/>
        </w:rPr>
        <w:t xml:space="preserve">$1,033 annually. </w:t>
      </w:r>
      <w:r w:rsidR="008E37E6">
        <w:rPr>
          <w:rFonts w:ascii="Times New Roman" w:hAnsi="Times New Roman" w:cs="Times New Roman"/>
        </w:rPr>
        <w:t xml:space="preserve">The average WTP </w:t>
      </w:r>
      <w:r w:rsidR="00F35F25">
        <w:rPr>
          <w:rFonts w:ascii="Times New Roman" w:hAnsi="Times New Roman" w:cs="Times New Roman"/>
        </w:rPr>
        <w:t xml:space="preserve">for HBCI amongst </w:t>
      </w:r>
      <w:r w:rsidR="00CD3AA2">
        <w:rPr>
          <w:rFonts w:ascii="Times New Roman" w:hAnsi="Times New Roman" w:cs="Times New Roman"/>
        </w:rPr>
        <w:t>low-income households is $606.</w:t>
      </w:r>
      <w:r w:rsidR="00F35F25">
        <w:rPr>
          <w:rFonts w:ascii="Times New Roman" w:hAnsi="Times New Roman" w:cs="Times New Roman"/>
        </w:rPr>
        <w:t xml:space="preserve"> </w:t>
      </w:r>
      <w:r w:rsidR="00767D67">
        <w:rPr>
          <w:rFonts w:ascii="Times New Roman" w:hAnsi="Times New Roman" w:cs="Times New Roman"/>
        </w:rPr>
        <w:t>Our results indicate the</w:t>
      </w:r>
      <w:r w:rsidRPr="005E53C3">
        <w:rPr>
          <w:rFonts w:ascii="Times New Roman" w:hAnsi="Times New Roman" w:cs="Times New Roman"/>
        </w:rPr>
        <w:t xml:space="preserve"> valuation for HBCI </w:t>
      </w:r>
      <w:r w:rsidR="00767D67">
        <w:rPr>
          <w:rFonts w:ascii="Times New Roman" w:hAnsi="Times New Roman" w:cs="Times New Roman"/>
        </w:rPr>
        <w:t>differs significantly</w:t>
      </w:r>
      <w:r w:rsidRPr="005E53C3">
        <w:rPr>
          <w:rFonts w:ascii="Times New Roman" w:hAnsi="Times New Roman" w:cs="Times New Roman"/>
        </w:rPr>
        <w:t xml:space="preserve"> </w:t>
      </w:r>
      <w:r w:rsidR="00767D67">
        <w:rPr>
          <w:rFonts w:ascii="Times New Roman" w:hAnsi="Times New Roman" w:cs="Times New Roman"/>
        </w:rPr>
        <w:t>between</w:t>
      </w:r>
      <w:r w:rsidRPr="005E53C3">
        <w:rPr>
          <w:rFonts w:ascii="Times New Roman" w:hAnsi="Times New Roman" w:cs="Times New Roman"/>
        </w:rPr>
        <w:t xml:space="preserve"> income groups. </w:t>
      </w:r>
    </w:p>
    <w:p w14:paraId="64B4B9BC" w14:textId="166FA807" w:rsidR="00DA4CC0" w:rsidRDefault="000406C7" w:rsidP="00767D67">
      <w:pPr>
        <w:spacing w:line="480" w:lineRule="auto"/>
        <w:ind w:firstLine="720"/>
        <w:rPr>
          <w:rFonts w:ascii="Times New Roman" w:hAnsi="Times New Roman" w:cs="Times New Roman"/>
        </w:rPr>
      </w:pPr>
      <w:r>
        <w:rPr>
          <w:rFonts w:ascii="Times New Roman" w:hAnsi="Times New Roman" w:cs="Times New Roman"/>
        </w:rPr>
        <w:t xml:space="preserve">Column two of </w:t>
      </w:r>
      <w:r w:rsidR="00100D2A" w:rsidRPr="005E53C3">
        <w:rPr>
          <w:rFonts w:ascii="Times New Roman" w:hAnsi="Times New Roman" w:cs="Times New Roman"/>
        </w:rPr>
        <w:t>Table 6 compares the difference in WTP</w:t>
      </w:r>
      <w:r w:rsidR="00860E9E">
        <w:rPr>
          <w:rFonts w:ascii="Times New Roman" w:hAnsi="Times New Roman" w:cs="Times New Roman"/>
        </w:rPr>
        <w:t xml:space="preserve"> for </w:t>
      </w:r>
      <w:r w:rsidR="002565E4" w:rsidRPr="005E53C3">
        <w:rPr>
          <w:rFonts w:ascii="Times New Roman" w:hAnsi="Times New Roman" w:cs="Times New Roman"/>
        </w:rPr>
        <w:t>HBCI</w:t>
      </w:r>
      <w:r w:rsidR="00100D2A" w:rsidRPr="005E53C3">
        <w:rPr>
          <w:rFonts w:ascii="Times New Roman" w:hAnsi="Times New Roman" w:cs="Times New Roman"/>
        </w:rPr>
        <w:t xml:space="preserve"> between </w:t>
      </w:r>
      <w:r w:rsidR="00860E9E">
        <w:rPr>
          <w:rFonts w:ascii="Times New Roman" w:hAnsi="Times New Roman" w:cs="Times New Roman"/>
        </w:rPr>
        <w:t>low income and median income households</w:t>
      </w:r>
      <w:r w:rsidR="00100D2A" w:rsidRPr="005E53C3">
        <w:rPr>
          <w:rFonts w:ascii="Times New Roman" w:hAnsi="Times New Roman" w:cs="Times New Roman"/>
        </w:rPr>
        <w:t xml:space="preserve"> across all nine scenarios. The difference in valuation</w:t>
      </w:r>
      <w:r w:rsidR="00767D67">
        <w:rPr>
          <w:rFonts w:ascii="Times New Roman" w:hAnsi="Times New Roman" w:cs="Times New Roman"/>
        </w:rPr>
        <w:t xml:space="preserve"> of HBCI</w:t>
      </w:r>
      <w:r w:rsidR="00100D2A" w:rsidRPr="005E53C3">
        <w:rPr>
          <w:rFonts w:ascii="Times New Roman" w:hAnsi="Times New Roman" w:cs="Times New Roman"/>
        </w:rPr>
        <w:t xml:space="preserve"> between household income </w:t>
      </w:r>
      <w:r w:rsidR="00E4519D" w:rsidRPr="005E53C3">
        <w:rPr>
          <w:rFonts w:ascii="Times New Roman" w:hAnsi="Times New Roman" w:cs="Times New Roman"/>
        </w:rPr>
        <w:t>types of</w:t>
      </w:r>
      <w:r w:rsidR="00100D2A" w:rsidRPr="005E53C3">
        <w:rPr>
          <w:rFonts w:ascii="Times New Roman" w:hAnsi="Times New Roman" w:cs="Times New Roman"/>
        </w:rPr>
        <w:t xml:space="preserve"> range</w:t>
      </w:r>
      <w:r w:rsidR="00860E9E">
        <w:rPr>
          <w:rFonts w:ascii="Times New Roman" w:hAnsi="Times New Roman" w:cs="Times New Roman"/>
        </w:rPr>
        <w:t>s</w:t>
      </w:r>
      <w:r w:rsidR="00100D2A" w:rsidRPr="005E53C3">
        <w:rPr>
          <w:rFonts w:ascii="Times New Roman" w:hAnsi="Times New Roman" w:cs="Times New Roman"/>
        </w:rPr>
        <w:t xml:space="preserve"> between $1,611</w:t>
      </w:r>
      <w:r w:rsidR="003F71CE">
        <w:rPr>
          <w:rFonts w:ascii="Times New Roman" w:hAnsi="Times New Roman" w:cs="Times New Roman"/>
        </w:rPr>
        <w:t xml:space="preserve"> and</w:t>
      </w:r>
      <w:r w:rsidR="00100D2A" w:rsidRPr="005E53C3">
        <w:rPr>
          <w:rFonts w:ascii="Times New Roman" w:hAnsi="Times New Roman" w:cs="Times New Roman"/>
        </w:rPr>
        <w:t xml:space="preserve"> $12,835 annually. This is interpreted as the average additional money spent by a median-to-high income household to access HBCI.</w:t>
      </w:r>
      <w:r w:rsidR="00DA4CC0">
        <w:rPr>
          <w:rFonts w:ascii="Times New Roman" w:hAnsi="Times New Roman" w:cs="Times New Roman"/>
        </w:rPr>
        <w:t xml:space="preserve"> </w:t>
      </w:r>
      <w:r w:rsidR="00767D67">
        <w:rPr>
          <w:rFonts w:ascii="Times New Roman" w:hAnsi="Times New Roman" w:cs="Times New Roman"/>
        </w:rPr>
        <w:t xml:space="preserve">We estimate the average difference in WTP for HBCI between income groups to be $5,366 annually. </w:t>
      </w:r>
      <w:r w:rsidR="00F4601F">
        <w:rPr>
          <w:rFonts w:ascii="Times New Roman" w:hAnsi="Times New Roman" w:cs="Times New Roman"/>
        </w:rPr>
        <w:t>This</w:t>
      </w:r>
      <w:r w:rsidR="00D96458">
        <w:rPr>
          <w:rFonts w:ascii="Times New Roman" w:hAnsi="Times New Roman" w:cs="Times New Roman"/>
        </w:rPr>
        <w:t xml:space="preserve"> difference in valuation</w:t>
      </w:r>
      <w:r w:rsidR="00193E2D">
        <w:rPr>
          <w:rFonts w:ascii="Times New Roman" w:hAnsi="Times New Roman" w:cs="Times New Roman"/>
        </w:rPr>
        <w:t xml:space="preserve"> amongst income types</w:t>
      </w:r>
      <w:r w:rsidR="00D96458">
        <w:rPr>
          <w:rFonts w:ascii="Times New Roman" w:hAnsi="Times New Roman" w:cs="Times New Roman"/>
        </w:rPr>
        <w:t xml:space="preserve"> is </w:t>
      </w:r>
      <w:r w:rsidR="00193E2D">
        <w:rPr>
          <w:rFonts w:ascii="Times New Roman" w:hAnsi="Times New Roman" w:cs="Times New Roman"/>
        </w:rPr>
        <w:t>large.</w:t>
      </w:r>
      <w:r w:rsidR="00F4601F">
        <w:rPr>
          <w:rFonts w:ascii="Times New Roman" w:hAnsi="Times New Roman" w:cs="Times New Roman"/>
        </w:rPr>
        <w:t xml:space="preserve"> </w:t>
      </w:r>
      <w:r w:rsidR="00193E2D">
        <w:rPr>
          <w:rFonts w:ascii="Times New Roman" w:hAnsi="Times New Roman" w:cs="Times New Roman"/>
        </w:rPr>
        <w:t>W</w:t>
      </w:r>
      <w:r w:rsidR="00F4601F">
        <w:rPr>
          <w:rFonts w:ascii="Times New Roman" w:hAnsi="Times New Roman" w:cs="Times New Roman"/>
        </w:rPr>
        <w:t>e can compare it to t</w:t>
      </w:r>
      <w:r w:rsidR="00767D67">
        <w:rPr>
          <w:rFonts w:ascii="Times New Roman" w:hAnsi="Times New Roman" w:cs="Times New Roman"/>
        </w:rPr>
        <w:t xml:space="preserve">he WTP </w:t>
      </w:r>
      <w:r w:rsidR="00AF7AB2">
        <w:rPr>
          <w:rFonts w:ascii="Times New Roman" w:hAnsi="Times New Roman" w:cs="Times New Roman"/>
        </w:rPr>
        <w:t>of</w:t>
      </w:r>
      <w:r w:rsidR="00767D67">
        <w:rPr>
          <w:rFonts w:ascii="Times New Roman" w:hAnsi="Times New Roman" w:cs="Times New Roman"/>
        </w:rPr>
        <w:t xml:space="preserve"> </w:t>
      </w:r>
      <w:r w:rsidR="00F4601F">
        <w:rPr>
          <w:rFonts w:ascii="Times New Roman" w:hAnsi="Times New Roman" w:cs="Times New Roman"/>
        </w:rPr>
        <w:t xml:space="preserve">other vehicle attributes. </w:t>
      </w:r>
      <w:r w:rsidR="00AF7AB2">
        <w:rPr>
          <w:rFonts w:ascii="Times New Roman" w:hAnsi="Times New Roman" w:cs="Times New Roman"/>
        </w:rPr>
        <w:t>Using consumer valuation estimations from Greene et. al (2018), we find t</w:t>
      </w:r>
      <w:r w:rsidR="00F4601F">
        <w:rPr>
          <w:rFonts w:ascii="Times New Roman" w:hAnsi="Times New Roman" w:cs="Times New Roman"/>
        </w:rPr>
        <w:t xml:space="preserve">he value of </w:t>
      </w:r>
      <w:r w:rsidR="00F4601F">
        <w:rPr>
          <w:rFonts w:ascii="Times New Roman" w:hAnsi="Times New Roman" w:cs="Times New Roman"/>
        </w:rPr>
        <w:lastRenderedPageBreak/>
        <w:t xml:space="preserve">home-based charging is similar in magnitude to significant increases in </w:t>
      </w:r>
      <w:r w:rsidR="00AE5577">
        <w:rPr>
          <w:rFonts w:ascii="Times New Roman" w:hAnsi="Times New Roman" w:cs="Times New Roman"/>
        </w:rPr>
        <w:t xml:space="preserve">both </w:t>
      </w:r>
      <w:r w:rsidR="00F4601F">
        <w:rPr>
          <w:rFonts w:ascii="Times New Roman" w:hAnsi="Times New Roman" w:cs="Times New Roman"/>
        </w:rPr>
        <w:t>acceleration and range</w:t>
      </w:r>
      <w:r w:rsidR="00334A8E">
        <w:rPr>
          <w:rFonts w:ascii="Times New Roman" w:hAnsi="Times New Roman" w:cs="Times New Roman"/>
        </w:rPr>
        <w:t xml:space="preserve">. </w:t>
      </w:r>
      <w:proofErr w:type="spellStart"/>
      <w:r w:rsidR="00CF6756" w:rsidRPr="00CF6756">
        <w:rPr>
          <w:rFonts w:ascii="Times New Roman" w:hAnsi="Times New Roman" w:cs="Times New Roman"/>
        </w:rPr>
        <w:t>Daziano</w:t>
      </w:r>
      <w:proofErr w:type="spellEnd"/>
      <w:r w:rsidR="00CF6756">
        <w:rPr>
          <w:rFonts w:ascii="Times New Roman" w:hAnsi="Times New Roman" w:cs="Times New Roman"/>
        </w:rPr>
        <w:t xml:space="preserve"> </w:t>
      </w:r>
      <w:r w:rsidR="004E3C83">
        <w:rPr>
          <w:rFonts w:ascii="Times New Roman" w:hAnsi="Times New Roman" w:cs="Times New Roman"/>
        </w:rPr>
        <w:t>et</w:t>
      </w:r>
      <w:r w:rsidR="00334A8E">
        <w:rPr>
          <w:rFonts w:ascii="Times New Roman" w:hAnsi="Times New Roman" w:cs="Times New Roman"/>
        </w:rPr>
        <w:t>.</w:t>
      </w:r>
      <w:r w:rsidR="004E3C83">
        <w:rPr>
          <w:rFonts w:ascii="Times New Roman" w:hAnsi="Times New Roman" w:cs="Times New Roman"/>
        </w:rPr>
        <w:t xml:space="preserve"> al (2017)</w:t>
      </w:r>
      <w:r w:rsidR="00AF7AB2">
        <w:rPr>
          <w:rFonts w:ascii="Times New Roman" w:hAnsi="Times New Roman" w:cs="Times New Roman"/>
        </w:rPr>
        <w:t xml:space="preserve"> </w:t>
      </w:r>
      <w:r w:rsidR="00B76202">
        <w:rPr>
          <w:rFonts w:ascii="Times New Roman" w:hAnsi="Times New Roman" w:cs="Times New Roman"/>
        </w:rPr>
        <w:t>uses microdata to estimate the WTP for autonomous vehicles</w:t>
      </w:r>
      <w:r w:rsidR="009E6406">
        <w:rPr>
          <w:rFonts w:ascii="Times New Roman" w:hAnsi="Times New Roman" w:cs="Times New Roman"/>
        </w:rPr>
        <w:t xml:space="preserve">. </w:t>
      </w:r>
      <w:r w:rsidR="000B5564">
        <w:rPr>
          <w:rFonts w:ascii="Times New Roman" w:hAnsi="Times New Roman" w:cs="Times New Roman"/>
        </w:rPr>
        <w:t xml:space="preserve">They find significant heterogeneity </w:t>
      </w:r>
      <w:r w:rsidR="00D86F58">
        <w:rPr>
          <w:rFonts w:ascii="Times New Roman" w:hAnsi="Times New Roman" w:cs="Times New Roman"/>
        </w:rPr>
        <w:t xml:space="preserve">in consumer valuation for automated driving. The average </w:t>
      </w:r>
      <w:r w:rsidR="00F87B34">
        <w:rPr>
          <w:rFonts w:ascii="Times New Roman" w:hAnsi="Times New Roman" w:cs="Times New Roman"/>
        </w:rPr>
        <w:t>respondent</w:t>
      </w:r>
      <w:r w:rsidR="00D86F58">
        <w:rPr>
          <w:rFonts w:ascii="Times New Roman" w:hAnsi="Times New Roman" w:cs="Times New Roman"/>
        </w:rPr>
        <w:t xml:space="preserve"> was found to be </w:t>
      </w:r>
      <w:r w:rsidR="00C62E42">
        <w:rPr>
          <w:rFonts w:ascii="Times New Roman" w:hAnsi="Times New Roman" w:cs="Times New Roman"/>
        </w:rPr>
        <w:t>willing to pay</w:t>
      </w:r>
      <w:r w:rsidR="00D86F58">
        <w:rPr>
          <w:rFonts w:ascii="Times New Roman" w:hAnsi="Times New Roman" w:cs="Times New Roman"/>
        </w:rPr>
        <w:t xml:space="preserve"> </w:t>
      </w:r>
      <w:r w:rsidR="00C62E42">
        <w:rPr>
          <w:rFonts w:ascii="Times New Roman" w:hAnsi="Times New Roman" w:cs="Times New Roman"/>
        </w:rPr>
        <w:t xml:space="preserve">$4,900 </w:t>
      </w:r>
      <w:r w:rsidR="00F87B34">
        <w:rPr>
          <w:rFonts w:ascii="Times New Roman" w:hAnsi="Times New Roman" w:cs="Times New Roman"/>
        </w:rPr>
        <w:t>for automation technology</w:t>
      </w:r>
      <w:r w:rsidR="009F0493">
        <w:rPr>
          <w:rFonts w:ascii="Times New Roman" w:hAnsi="Times New Roman" w:cs="Times New Roman"/>
        </w:rPr>
        <w:t>. Notably,</w:t>
      </w:r>
      <w:r w:rsidR="00F87B34">
        <w:rPr>
          <w:rFonts w:ascii="Times New Roman" w:hAnsi="Times New Roman" w:cs="Times New Roman"/>
        </w:rPr>
        <w:t xml:space="preserve"> </w:t>
      </w:r>
      <w:r w:rsidR="009F0493">
        <w:rPr>
          <w:rFonts w:ascii="Times New Roman" w:hAnsi="Times New Roman" w:cs="Times New Roman"/>
        </w:rPr>
        <w:t>a substantial portion</w:t>
      </w:r>
      <w:r w:rsidR="00C62E42">
        <w:rPr>
          <w:rFonts w:ascii="Times New Roman" w:hAnsi="Times New Roman" w:cs="Times New Roman"/>
        </w:rPr>
        <w:t xml:space="preserve"> of the</w:t>
      </w:r>
      <w:r w:rsidR="00CA437E">
        <w:rPr>
          <w:rFonts w:ascii="Times New Roman" w:hAnsi="Times New Roman" w:cs="Times New Roman"/>
        </w:rPr>
        <w:t>ir</w:t>
      </w:r>
      <w:r w:rsidR="00C62E42">
        <w:rPr>
          <w:rFonts w:ascii="Times New Roman" w:hAnsi="Times New Roman" w:cs="Times New Roman"/>
        </w:rPr>
        <w:t xml:space="preserve"> sample was willing to </w:t>
      </w:r>
      <w:r w:rsidR="00F87B34">
        <w:rPr>
          <w:rFonts w:ascii="Times New Roman" w:hAnsi="Times New Roman" w:cs="Times New Roman"/>
        </w:rPr>
        <w:t>pay more than $10,000</w:t>
      </w:r>
      <w:r w:rsidR="009F0493">
        <w:rPr>
          <w:rFonts w:ascii="Times New Roman" w:hAnsi="Times New Roman" w:cs="Times New Roman"/>
        </w:rPr>
        <w:t xml:space="preserve"> while man</w:t>
      </w:r>
      <w:r w:rsidR="00CA437E">
        <w:rPr>
          <w:rFonts w:ascii="Times New Roman" w:hAnsi="Times New Roman" w:cs="Times New Roman"/>
        </w:rPr>
        <w:t xml:space="preserve">y reported being unwilling to pay any positive amount for the same feature. </w:t>
      </w:r>
      <w:r w:rsidR="004865E6">
        <w:rPr>
          <w:rFonts w:ascii="Times New Roman" w:hAnsi="Times New Roman" w:cs="Times New Roman"/>
        </w:rPr>
        <w:t xml:space="preserve">Greene et. al (2018) and </w:t>
      </w:r>
      <w:proofErr w:type="spellStart"/>
      <w:r w:rsidR="004865E6" w:rsidRPr="00CF6756">
        <w:rPr>
          <w:rFonts w:ascii="Times New Roman" w:hAnsi="Times New Roman" w:cs="Times New Roman"/>
        </w:rPr>
        <w:t>Daziano</w:t>
      </w:r>
      <w:proofErr w:type="spellEnd"/>
      <w:r w:rsidR="004865E6">
        <w:rPr>
          <w:rFonts w:ascii="Times New Roman" w:hAnsi="Times New Roman" w:cs="Times New Roman"/>
        </w:rPr>
        <w:t xml:space="preserve"> et. al (2017)</w:t>
      </w:r>
      <w:r w:rsidR="00CA437E">
        <w:rPr>
          <w:rFonts w:ascii="Times New Roman" w:hAnsi="Times New Roman" w:cs="Times New Roman"/>
        </w:rPr>
        <w:t xml:space="preserve"> </w:t>
      </w:r>
      <w:r w:rsidR="00D00867">
        <w:rPr>
          <w:rFonts w:ascii="Times New Roman" w:hAnsi="Times New Roman" w:cs="Times New Roman"/>
        </w:rPr>
        <w:t>document</w:t>
      </w:r>
      <w:r w:rsidR="0084551B">
        <w:rPr>
          <w:rFonts w:ascii="Times New Roman" w:hAnsi="Times New Roman" w:cs="Times New Roman"/>
        </w:rPr>
        <w:t xml:space="preserve"> variability in consumer </w:t>
      </w:r>
      <w:r w:rsidR="00771E3F">
        <w:rPr>
          <w:rFonts w:ascii="Times New Roman" w:hAnsi="Times New Roman" w:cs="Times New Roman"/>
        </w:rPr>
        <w:t xml:space="preserve">WTP </w:t>
      </w:r>
      <w:r w:rsidR="0084551B">
        <w:rPr>
          <w:rFonts w:ascii="Times New Roman" w:hAnsi="Times New Roman" w:cs="Times New Roman"/>
        </w:rPr>
        <w:t xml:space="preserve">for </w:t>
      </w:r>
      <w:r w:rsidR="00771E3F">
        <w:rPr>
          <w:rFonts w:ascii="Times New Roman" w:hAnsi="Times New Roman" w:cs="Times New Roman"/>
        </w:rPr>
        <w:t xml:space="preserve">vehicle attributes and </w:t>
      </w:r>
      <w:r w:rsidR="0084551B">
        <w:rPr>
          <w:rFonts w:ascii="Times New Roman" w:hAnsi="Times New Roman" w:cs="Times New Roman"/>
        </w:rPr>
        <w:t xml:space="preserve">emerging technologies. </w:t>
      </w:r>
    </w:p>
    <w:p w14:paraId="7CA7811B" w14:textId="1E4876BE" w:rsidR="000406C7" w:rsidRDefault="00100D2A" w:rsidP="00921C7A">
      <w:pPr>
        <w:spacing w:line="480" w:lineRule="auto"/>
        <w:ind w:firstLine="720"/>
        <w:rPr>
          <w:rFonts w:ascii="Times New Roman" w:hAnsi="Times New Roman" w:cs="Times New Roman"/>
        </w:rPr>
      </w:pPr>
      <w:r w:rsidRPr="005E53C3">
        <w:rPr>
          <w:rFonts w:ascii="Times New Roman" w:hAnsi="Times New Roman" w:cs="Times New Roman"/>
        </w:rPr>
        <w:t xml:space="preserve"> </w:t>
      </w:r>
      <w:r w:rsidR="00860E9E">
        <w:rPr>
          <w:rFonts w:ascii="Times New Roman" w:hAnsi="Times New Roman" w:cs="Times New Roman"/>
        </w:rPr>
        <w:t>The third column of Table 6 converts difference</w:t>
      </w:r>
      <w:r w:rsidR="00655ACB">
        <w:rPr>
          <w:rFonts w:ascii="Times New Roman" w:hAnsi="Times New Roman" w:cs="Times New Roman"/>
        </w:rPr>
        <w:t>s</w:t>
      </w:r>
      <w:r w:rsidR="00860E9E">
        <w:rPr>
          <w:rFonts w:ascii="Times New Roman" w:hAnsi="Times New Roman" w:cs="Times New Roman"/>
        </w:rPr>
        <w:t xml:space="preserve"> in consumer valuation </w:t>
      </w:r>
      <w:r w:rsidR="00655ACB">
        <w:rPr>
          <w:rFonts w:ascii="Times New Roman" w:hAnsi="Times New Roman" w:cs="Times New Roman"/>
        </w:rPr>
        <w:t xml:space="preserve">of HBCI into an equivalent value of </w:t>
      </w:r>
      <w:r w:rsidR="007F186A">
        <w:rPr>
          <w:rFonts w:ascii="Times New Roman" w:hAnsi="Times New Roman" w:cs="Times New Roman"/>
        </w:rPr>
        <w:t xml:space="preserve">time, which we consider the </w:t>
      </w:r>
      <w:r w:rsidR="00655ACB">
        <w:rPr>
          <w:rFonts w:ascii="Times New Roman" w:hAnsi="Times New Roman" w:cs="Times New Roman"/>
        </w:rPr>
        <w:t>foregone convenience</w:t>
      </w:r>
      <w:r w:rsidR="00C278B0">
        <w:rPr>
          <w:rFonts w:ascii="Times New Roman" w:hAnsi="Times New Roman" w:cs="Times New Roman"/>
        </w:rPr>
        <w:t xml:space="preserve"> of not possessing HBCI</w:t>
      </w:r>
      <w:r w:rsidR="00655ACB">
        <w:rPr>
          <w:rFonts w:ascii="Times New Roman" w:hAnsi="Times New Roman" w:cs="Times New Roman"/>
        </w:rPr>
        <w:t>. We</w:t>
      </w:r>
      <w:r w:rsidRPr="005E53C3">
        <w:rPr>
          <w:rFonts w:ascii="Times New Roman" w:hAnsi="Times New Roman" w:cs="Times New Roman"/>
        </w:rPr>
        <w:t xml:space="preserve"> </w:t>
      </w:r>
      <w:r w:rsidR="00E85CA7" w:rsidRPr="005E53C3">
        <w:rPr>
          <w:rFonts w:ascii="Times New Roman" w:hAnsi="Times New Roman" w:cs="Times New Roman"/>
        </w:rPr>
        <w:t xml:space="preserve">measure </w:t>
      </w:r>
      <w:r w:rsidRPr="005E53C3">
        <w:rPr>
          <w:rFonts w:ascii="Times New Roman" w:hAnsi="Times New Roman" w:cs="Times New Roman"/>
        </w:rPr>
        <w:t>the</w:t>
      </w:r>
      <w:r w:rsidR="00E85CA7" w:rsidRPr="005E53C3">
        <w:rPr>
          <w:rFonts w:ascii="Times New Roman" w:hAnsi="Times New Roman" w:cs="Times New Roman"/>
        </w:rPr>
        <w:t xml:space="preserve"> value of</w:t>
      </w:r>
      <w:r w:rsidRPr="005E53C3">
        <w:rPr>
          <w:rFonts w:ascii="Times New Roman" w:hAnsi="Times New Roman" w:cs="Times New Roman"/>
        </w:rPr>
        <w:t xml:space="preserve"> </w:t>
      </w:r>
      <w:r w:rsidR="007F186A" w:rsidRPr="005E53C3">
        <w:rPr>
          <w:rFonts w:ascii="Times New Roman" w:hAnsi="Times New Roman" w:cs="Times New Roman"/>
        </w:rPr>
        <w:t>time savings</w:t>
      </w:r>
      <w:r w:rsidR="007F186A">
        <w:rPr>
          <w:rFonts w:ascii="Times New Roman" w:hAnsi="Times New Roman" w:cs="Times New Roman"/>
        </w:rPr>
        <w:t xml:space="preserve"> </w:t>
      </w:r>
      <w:r w:rsidR="00C4405E">
        <w:rPr>
          <w:rFonts w:ascii="Times New Roman" w:hAnsi="Times New Roman" w:cs="Times New Roman"/>
        </w:rPr>
        <w:t>from</w:t>
      </w:r>
      <w:r w:rsidRPr="005E53C3">
        <w:rPr>
          <w:rFonts w:ascii="Times New Roman" w:hAnsi="Times New Roman" w:cs="Times New Roman"/>
        </w:rPr>
        <w:t xml:space="preserve"> having HBCI</w:t>
      </w:r>
      <w:r w:rsidR="00C278B0">
        <w:rPr>
          <w:rFonts w:ascii="Times New Roman" w:hAnsi="Times New Roman" w:cs="Times New Roman"/>
        </w:rPr>
        <w:t xml:space="preserve"> using</w:t>
      </w:r>
      <w:r w:rsidR="00E81177">
        <w:rPr>
          <w:rFonts w:ascii="Times New Roman" w:hAnsi="Times New Roman" w:cs="Times New Roman"/>
        </w:rPr>
        <w:t xml:space="preserve"> </w:t>
      </w:r>
      <w:r w:rsidR="00C278B0">
        <w:rPr>
          <w:rFonts w:ascii="Times New Roman" w:hAnsi="Times New Roman" w:cs="Times New Roman"/>
        </w:rPr>
        <w:t xml:space="preserve">an estimation from </w:t>
      </w:r>
      <w:proofErr w:type="spellStart"/>
      <w:r w:rsidR="00E81177" w:rsidRPr="00E81177">
        <w:rPr>
          <w:rFonts w:ascii="Times New Roman" w:hAnsi="Times New Roman" w:cs="Times New Roman"/>
        </w:rPr>
        <w:t>Goldszmidt</w:t>
      </w:r>
      <w:proofErr w:type="spellEnd"/>
      <w:r w:rsidR="00C278B0">
        <w:rPr>
          <w:rFonts w:ascii="Times New Roman" w:hAnsi="Times New Roman" w:cs="Times New Roman"/>
        </w:rPr>
        <w:t xml:space="preserve"> </w:t>
      </w:r>
      <w:r w:rsidR="00E81177">
        <w:rPr>
          <w:rFonts w:ascii="Times New Roman" w:hAnsi="Times New Roman" w:cs="Times New Roman"/>
        </w:rPr>
        <w:t>et al. (2020</w:t>
      </w:r>
      <w:r w:rsidR="00C278B0">
        <w:rPr>
          <w:rFonts w:ascii="Times New Roman" w:hAnsi="Times New Roman" w:cs="Times New Roman"/>
        </w:rPr>
        <w:t>) which</w:t>
      </w:r>
      <w:r w:rsidR="00E81177">
        <w:rPr>
          <w:rFonts w:ascii="Times New Roman" w:hAnsi="Times New Roman" w:cs="Times New Roman"/>
        </w:rPr>
        <w:t xml:space="preserve"> determined that the Value of Time (VOT) </w:t>
      </w:r>
      <w:r w:rsidR="000406C7">
        <w:rPr>
          <w:rFonts w:ascii="Times New Roman" w:hAnsi="Times New Roman" w:cs="Times New Roman"/>
        </w:rPr>
        <w:t xml:space="preserve">to be </w:t>
      </w:r>
      <w:r w:rsidR="00E81177">
        <w:rPr>
          <w:rFonts w:ascii="Times New Roman" w:hAnsi="Times New Roman" w:cs="Times New Roman"/>
        </w:rPr>
        <w:t xml:space="preserve">equivalent to 75% of the mean wage rate. </w:t>
      </w:r>
      <w:r w:rsidR="007F186A">
        <w:rPr>
          <w:rFonts w:ascii="Times New Roman" w:hAnsi="Times New Roman" w:cs="Times New Roman"/>
        </w:rPr>
        <w:t>The U.S. Bureau of Labor and Statistics (BLS) reported the mean hourly wage in 2020</w:t>
      </w:r>
      <w:r w:rsidR="00C278B0">
        <w:rPr>
          <w:rFonts w:ascii="Times New Roman" w:hAnsi="Times New Roman" w:cs="Times New Roman"/>
        </w:rPr>
        <w:t xml:space="preserve"> to be $29.81</w:t>
      </w:r>
      <w:r w:rsidR="00DF1C69">
        <w:rPr>
          <w:rFonts w:ascii="Times New Roman" w:hAnsi="Times New Roman" w:cs="Times New Roman"/>
        </w:rPr>
        <w:t>, which is close to the median</w:t>
      </w:r>
      <w:r w:rsidR="00C278B0">
        <w:rPr>
          <w:rFonts w:ascii="Times New Roman" w:hAnsi="Times New Roman" w:cs="Times New Roman"/>
        </w:rPr>
        <w:t xml:space="preserve"> hourly</w:t>
      </w:r>
      <w:r w:rsidR="00DF1C69">
        <w:rPr>
          <w:rFonts w:ascii="Times New Roman" w:hAnsi="Times New Roman" w:cs="Times New Roman"/>
        </w:rPr>
        <w:t xml:space="preserve"> wage of our sample. </w:t>
      </w:r>
      <w:r w:rsidR="00EE63E6">
        <w:rPr>
          <w:rFonts w:ascii="Times New Roman" w:hAnsi="Times New Roman" w:cs="Times New Roman"/>
        </w:rPr>
        <w:t xml:space="preserve">We assume that respondents work an average of 40 hours a week and 50 weeks per year. </w:t>
      </w:r>
      <w:r w:rsidR="00445ADA">
        <w:rPr>
          <w:rFonts w:ascii="Times New Roman" w:hAnsi="Times New Roman" w:cs="Times New Roman"/>
        </w:rPr>
        <w:t xml:space="preserve">The median </w:t>
      </w:r>
      <w:r w:rsidR="00EE63E6">
        <w:rPr>
          <w:rFonts w:ascii="Times New Roman" w:hAnsi="Times New Roman" w:cs="Times New Roman"/>
        </w:rPr>
        <w:t>income</w:t>
      </w:r>
      <w:r w:rsidR="00445ADA">
        <w:rPr>
          <w:rFonts w:ascii="Times New Roman" w:hAnsi="Times New Roman" w:cs="Times New Roman"/>
        </w:rPr>
        <w:t xml:space="preserve"> of 2020 RECs </w:t>
      </w:r>
      <w:r w:rsidR="00EE63E6">
        <w:rPr>
          <w:rFonts w:ascii="Times New Roman" w:hAnsi="Times New Roman" w:cs="Times New Roman"/>
        </w:rPr>
        <w:t>respondent</w:t>
      </w:r>
      <w:r w:rsidR="007F186A">
        <w:rPr>
          <w:rFonts w:ascii="Times New Roman" w:hAnsi="Times New Roman" w:cs="Times New Roman"/>
        </w:rPr>
        <w:t>s w</w:t>
      </w:r>
      <w:r w:rsidR="00C278B0">
        <w:rPr>
          <w:rFonts w:ascii="Times New Roman" w:hAnsi="Times New Roman" w:cs="Times New Roman"/>
        </w:rPr>
        <w:t xml:space="preserve">ere </w:t>
      </w:r>
      <w:r w:rsidR="00445ADA">
        <w:rPr>
          <w:rFonts w:ascii="Times New Roman" w:hAnsi="Times New Roman" w:cs="Times New Roman"/>
        </w:rPr>
        <w:t>$67,500</w:t>
      </w:r>
      <w:r w:rsidR="00EE63E6">
        <w:rPr>
          <w:rFonts w:ascii="Times New Roman" w:hAnsi="Times New Roman" w:cs="Times New Roman"/>
        </w:rPr>
        <w:t xml:space="preserve">, </w:t>
      </w:r>
      <w:r w:rsidR="00C278B0">
        <w:rPr>
          <w:rFonts w:ascii="Times New Roman" w:hAnsi="Times New Roman" w:cs="Times New Roman"/>
        </w:rPr>
        <w:t xml:space="preserve">therefore </w:t>
      </w:r>
      <w:r w:rsidR="00445ADA">
        <w:rPr>
          <w:rFonts w:ascii="Times New Roman" w:hAnsi="Times New Roman" w:cs="Times New Roman"/>
        </w:rPr>
        <w:t>the median hourly wage for a RECs respondent is</w:t>
      </w:r>
      <w:r w:rsidR="00655ACB">
        <w:rPr>
          <w:rFonts w:ascii="Times New Roman" w:hAnsi="Times New Roman" w:cs="Times New Roman"/>
        </w:rPr>
        <w:t xml:space="preserve"> </w:t>
      </w:r>
      <w:r w:rsidR="00445ADA">
        <w:rPr>
          <w:rFonts w:ascii="Times New Roman" w:hAnsi="Times New Roman" w:cs="Times New Roman"/>
        </w:rPr>
        <w:t>$33.75.</w:t>
      </w:r>
      <w:r w:rsidR="00C278B0">
        <w:rPr>
          <w:rFonts w:ascii="Times New Roman" w:hAnsi="Times New Roman" w:cs="Times New Roman"/>
        </w:rPr>
        <w:t xml:space="preserve"> The VOT in 2020 is between $22.36 and $25.31 hourly.</w:t>
      </w:r>
      <w:r w:rsidR="00A25432">
        <w:rPr>
          <w:rFonts w:ascii="Times New Roman" w:hAnsi="Times New Roman" w:cs="Times New Roman"/>
        </w:rPr>
        <w:t xml:space="preserve"> </w:t>
      </w:r>
      <w:r w:rsidRPr="005E53C3">
        <w:rPr>
          <w:rFonts w:ascii="Times New Roman" w:hAnsi="Times New Roman" w:cs="Times New Roman"/>
        </w:rPr>
        <w:t xml:space="preserve">For all nine scenarios we divide the difference in marginal WTP between low and median-to-high income </w:t>
      </w:r>
      <w:r w:rsidR="00AF7AB2">
        <w:rPr>
          <w:rFonts w:ascii="Times New Roman" w:hAnsi="Times New Roman" w:cs="Times New Roman"/>
        </w:rPr>
        <w:t>households</w:t>
      </w:r>
      <w:r w:rsidRPr="005E53C3">
        <w:rPr>
          <w:rFonts w:ascii="Times New Roman" w:hAnsi="Times New Roman" w:cs="Times New Roman"/>
        </w:rPr>
        <w:t xml:space="preserve"> by the</w:t>
      </w:r>
      <w:r w:rsidR="00AF7AB2">
        <w:rPr>
          <w:rFonts w:ascii="Times New Roman" w:hAnsi="Times New Roman" w:cs="Times New Roman"/>
        </w:rPr>
        <w:t xml:space="preserve"> </w:t>
      </w:r>
      <w:r w:rsidR="00C278B0">
        <w:rPr>
          <w:rFonts w:ascii="Times New Roman" w:hAnsi="Times New Roman" w:cs="Times New Roman"/>
        </w:rPr>
        <w:t>VOT ($23.84).</w:t>
      </w:r>
      <w:r w:rsidRPr="005E53C3">
        <w:rPr>
          <w:rFonts w:ascii="Times New Roman" w:hAnsi="Times New Roman" w:cs="Times New Roman"/>
        </w:rPr>
        <w:t xml:space="preserve"> This provides the</w:t>
      </w:r>
      <w:r w:rsidR="00921C7A">
        <w:rPr>
          <w:rFonts w:ascii="Times New Roman" w:hAnsi="Times New Roman" w:cs="Times New Roman"/>
        </w:rPr>
        <w:t xml:space="preserve"> marginal WTP for HBCI </w:t>
      </w:r>
      <w:r w:rsidR="000406C7">
        <w:rPr>
          <w:rFonts w:ascii="Times New Roman" w:hAnsi="Times New Roman" w:cs="Times New Roman"/>
        </w:rPr>
        <w:t>in</w:t>
      </w:r>
      <w:r w:rsidR="00921C7A">
        <w:rPr>
          <w:rFonts w:ascii="Times New Roman" w:hAnsi="Times New Roman" w:cs="Times New Roman"/>
        </w:rPr>
        <w:t xml:space="preserve"> an equivalent number of hours</w:t>
      </w:r>
      <w:r w:rsidRPr="005E53C3">
        <w:rPr>
          <w:rFonts w:ascii="Times New Roman" w:hAnsi="Times New Roman" w:cs="Times New Roman"/>
        </w:rPr>
        <w:t xml:space="preserve"> a year</w:t>
      </w:r>
      <w:r w:rsidR="000406C7">
        <w:rPr>
          <w:rFonts w:ascii="Times New Roman" w:hAnsi="Times New Roman" w:cs="Times New Roman"/>
        </w:rPr>
        <w:t xml:space="preserve"> a household</w:t>
      </w:r>
      <w:r w:rsidR="000406C7" w:rsidRPr="005E53C3">
        <w:rPr>
          <w:rFonts w:ascii="Times New Roman" w:hAnsi="Times New Roman" w:cs="Times New Roman"/>
        </w:rPr>
        <w:t xml:space="preserve"> would need to work</w:t>
      </w:r>
      <w:r w:rsidRPr="005E53C3">
        <w:rPr>
          <w:rFonts w:ascii="Times New Roman" w:hAnsi="Times New Roman" w:cs="Times New Roman"/>
        </w:rPr>
        <w:t xml:space="preserve"> </w:t>
      </w:r>
      <w:r w:rsidR="00A25432">
        <w:rPr>
          <w:rFonts w:ascii="Times New Roman" w:hAnsi="Times New Roman" w:cs="Times New Roman"/>
        </w:rPr>
        <w:t>to make up this difference</w:t>
      </w:r>
      <w:r w:rsidR="000406C7">
        <w:rPr>
          <w:rFonts w:ascii="Times New Roman" w:hAnsi="Times New Roman" w:cs="Times New Roman"/>
        </w:rPr>
        <w:t>. To determine</w:t>
      </w:r>
      <w:r w:rsidR="00A25432">
        <w:rPr>
          <w:rFonts w:ascii="Times New Roman" w:hAnsi="Times New Roman" w:cs="Times New Roman"/>
        </w:rPr>
        <w:t xml:space="preserve"> </w:t>
      </w:r>
      <w:r w:rsidR="000406C7">
        <w:rPr>
          <w:rFonts w:ascii="Times New Roman" w:hAnsi="Times New Roman" w:cs="Times New Roman"/>
        </w:rPr>
        <w:t>the weekly equivalent time foregone from not having HBCI, w</w:t>
      </w:r>
      <w:r w:rsidRPr="005E53C3">
        <w:rPr>
          <w:rFonts w:ascii="Times New Roman" w:hAnsi="Times New Roman" w:cs="Times New Roman"/>
        </w:rPr>
        <w:t xml:space="preserve">e divide </w:t>
      </w:r>
      <w:r w:rsidR="00AF7AB2">
        <w:rPr>
          <w:rFonts w:ascii="Times New Roman" w:hAnsi="Times New Roman" w:cs="Times New Roman"/>
        </w:rPr>
        <w:t xml:space="preserve">the </w:t>
      </w:r>
      <w:r w:rsidRPr="005E53C3">
        <w:rPr>
          <w:rFonts w:ascii="Times New Roman" w:hAnsi="Times New Roman" w:cs="Times New Roman"/>
        </w:rPr>
        <w:t xml:space="preserve">hours </w:t>
      </w:r>
      <w:r w:rsidR="00AF7AB2">
        <w:rPr>
          <w:rFonts w:ascii="Times New Roman" w:hAnsi="Times New Roman" w:cs="Times New Roman"/>
        </w:rPr>
        <w:t xml:space="preserve">for each </w:t>
      </w:r>
      <w:r w:rsidR="00AF7AB2">
        <w:rPr>
          <w:rFonts w:ascii="Times New Roman" w:hAnsi="Times New Roman" w:cs="Times New Roman"/>
        </w:rPr>
        <w:lastRenderedPageBreak/>
        <w:t xml:space="preserve">of the nine scenarios </w:t>
      </w:r>
      <w:r w:rsidRPr="005E53C3">
        <w:rPr>
          <w:rFonts w:ascii="Times New Roman" w:hAnsi="Times New Roman" w:cs="Times New Roman"/>
        </w:rPr>
        <w:t xml:space="preserve">by 52 weeks. </w:t>
      </w:r>
      <w:r w:rsidR="00AF7AB2">
        <w:rPr>
          <w:rFonts w:ascii="Times New Roman" w:hAnsi="Times New Roman" w:cs="Times New Roman"/>
        </w:rPr>
        <w:t>We find the</w:t>
      </w:r>
      <w:r w:rsidR="00A25432">
        <w:rPr>
          <w:rFonts w:ascii="Times New Roman" w:hAnsi="Times New Roman" w:cs="Times New Roman"/>
        </w:rPr>
        <w:t xml:space="preserve"> time savings of possessing HBCI is equivalent to 1.3-10.4 hours per week. The median time savings of someone with HBCI is 4.3 hours per week. </w:t>
      </w:r>
      <w:r w:rsidR="00AF7AB2">
        <w:rPr>
          <w:rFonts w:ascii="Times New Roman" w:hAnsi="Times New Roman" w:cs="Times New Roman"/>
        </w:rPr>
        <w:t xml:space="preserve">While paying an additional $12,835 a year for HBCI might seem steep, it is the equivalent of only 10.4 hours of a household’s week. To understand if our findings are robust, we look at work-based and public charging data. </w:t>
      </w:r>
      <w:r w:rsidR="00C879F6" w:rsidRPr="00C879F6">
        <w:rPr>
          <w:rFonts w:ascii="Times New Roman" w:hAnsi="Times New Roman" w:cs="Times New Roman"/>
        </w:rPr>
        <w:t>Asensio</w:t>
      </w:r>
      <w:r w:rsidR="00C879F6">
        <w:rPr>
          <w:rFonts w:ascii="Times New Roman" w:hAnsi="Times New Roman" w:cs="Times New Roman"/>
        </w:rPr>
        <w:t xml:space="preserve"> et al. (2021) used data from </w:t>
      </w:r>
      <w:r w:rsidR="005C10E8">
        <w:rPr>
          <w:rFonts w:ascii="Times New Roman" w:hAnsi="Times New Roman" w:cs="Times New Roman"/>
        </w:rPr>
        <w:t xml:space="preserve">EV owners charging at their </w:t>
      </w:r>
      <w:r w:rsidR="00C879F6">
        <w:rPr>
          <w:rFonts w:ascii="Times New Roman" w:hAnsi="Times New Roman" w:cs="Times New Roman"/>
        </w:rPr>
        <w:t xml:space="preserve">workplace. They found that the average duration spent charging at the workplace </w:t>
      </w:r>
      <w:r w:rsidR="000C24FF">
        <w:rPr>
          <w:rFonts w:ascii="Times New Roman" w:hAnsi="Times New Roman" w:cs="Times New Roman"/>
        </w:rPr>
        <w:t xml:space="preserve">for </w:t>
      </w:r>
      <w:r w:rsidR="00C65A02">
        <w:rPr>
          <w:rFonts w:ascii="Times New Roman" w:hAnsi="Times New Roman" w:cs="Times New Roman"/>
        </w:rPr>
        <w:t>habitual users</w:t>
      </w:r>
      <w:r w:rsidR="00C879F6">
        <w:rPr>
          <w:rFonts w:ascii="Times New Roman" w:hAnsi="Times New Roman" w:cs="Times New Roman"/>
        </w:rPr>
        <w:t xml:space="preserve"> was </w:t>
      </w:r>
      <w:r w:rsidR="00C65A02">
        <w:rPr>
          <w:rFonts w:ascii="Times New Roman" w:hAnsi="Times New Roman" w:cs="Times New Roman"/>
        </w:rPr>
        <w:t xml:space="preserve">only </w:t>
      </w:r>
      <w:r w:rsidR="00C879F6">
        <w:rPr>
          <w:rFonts w:ascii="Times New Roman" w:hAnsi="Times New Roman" w:cs="Times New Roman"/>
        </w:rPr>
        <w:t xml:space="preserve">2.85 hours and the mean repeat frequency from the </w:t>
      </w:r>
      <w:r w:rsidR="00C65A02">
        <w:rPr>
          <w:rFonts w:ascii="Times New Roman" w:hAnsi="Times New Roman" w:cs="Times New Roman"/>
        </w:rPr>
        <w:t>users was</w:t>
      </w:r>
      <w:r w:rsidR="00C879F6">
        <w:rPr>
          <w:rFonts w:ascii="Times New Roman" w:hAnsi="Times New Roman" w:cs="Times New Roman"/>
        </w:rPr>
        <w:t xml:space="preserve"> 72.53 visits a year, or 1.38 visits to </w:t>
      </w:r>
      <w:r w:rsidR="00C65A02">
        <w:rPr>
          <w:rFonts w:ascii="Times New Roman" w:hAnsi="Times New Roman" w:cs="Times New Roman"/>
        </w:rPr>
        <w:t>a</w:t>
      </w:r>
      <w:r w:rsidR="00C879F6">
        <w:rPr>
          <w:rFonts w:ascii="Times New Roman" w:hAnsi="Times New Roman" w:cs="Times New Roman"/>
        </w:rPr>
        <w:t xml:space="preserve"> workplace charger per week. </w:t>
      </w:r>
      <w:r w:rsidR="00C65A02">
        <w:rPr>
          <w:rFonts w:ascii="Times New Roman" w:hAnsi="Times New Roman" w:cs="Times New Roman"/>
        </w:rPr>
        <w:t>We know that</w:t>
      </w:r>
      <w:r w:rsidR="00131B74">
        <w:rPr>
          <w:rFonts w:ascii="Times New Roman" w:hAnsi="Times New Roman" w:cs="Times New Roman"/>
        </w:rPr>
        <w:t xml:space="preserve"> Level II and DC chargers are the most</w:t>
      </w:r>
      <w:r w:rsidR="00C65A02">
        <w:rPr>
          <w:rFonts w:ascii="Times New Roman" w:hAnsi="Times New Roman" w:cs="Times New Roman"/>
        </w:rPr>
        <w:t xml:space="preserve"> </w:t>
      </w:r>
      <w:r w:rsidR="00131B74">
        <w:rPr>
          <w:rFonts w:ascii="Times New Roman" w:hAnsi="Times New Roman" w:cs="Times New Roman"/>
        </w:rPr>
        <w:t xml:space="preserve">common </w:t>
      </w:r>
      <w:r w:rsidR="000C24FF">
        <w:rPr>
          <w:rFonts w:ascii="Times New Roman" w:hAnsi="Times New Roman" w:cs="Times New Roman"/>
        </w:rPr>
        <w:t xml:space="preserve">for </w:t>
      </w:r>
      <w:r w:rsidR="00131B74">
        <w:rPr>
          <w:rFonts w:ascii="Times New Roman" w:hAnsi="Times New Roman" w:cs="Times New Roman"/>
        </w:rPr>
        <w:t>public charging and workplace charging locations. We know the</w:t>
      </w:r>
      <w:r w:rsidR="00C65A02">
        <w:rPr>
          <w:rFonts w:ascii="Times New Roman" w:hAnsi="Times New Roman" w:cs="Times New Roman"/>
        </w:rPr>
        <w:t xml:space="preserve"> average length of time </w:t>
      </w:r>
      <w:r w:rsidR="00131B74">
        <w:rPr>
          <w:rFonts w:ascii="Times New Roman" w:hAnsi="Times New Roman" w:cs="Times New Roman"/>
        </w:rPr>
        <w:t>to charge</w:t>
      </w:r>
      <w:r w:rsidR="00C65A02">
        <w:rPr>
          <w:rFonts w:ascii="Times New Roman" w:hAnsi="Times New Roman" w:cs="Times New Roman"/>
        </w:rPr>
        <w:t xml:space="preserve"> a full EV battery in </w:t>
      </w:r>
      <w:r w:rsidR="00131B74">
        <w:rPr>
          <w:rFonts w:ascii="Times New Roman" w:hAnsi="Times New Roman" w:cs="Times New Roman"/>
        </w:rPr>
        <w:t>from empty using a</w:t>
      </w:r>
      <w:r w:rsidR="00C65A02">
        <w:rPr>
          <w:rFonts w:ascii="Times New Roman" w:hAnsi="Times New Roman" w:cs="Times New Roman"/>
        </w:rPr>
        <w:t xml:space="preserve"> Level II </w:t>
      </w:r>
      <w:r w:rsidR="00131B74">
        <w:rPr>
          <w:rFonts w:ascii="Times New Roman" w:hAnsi="Times New Roman" w:cs="Times New Roman"/>
        </w:rPr>
        <w:t xml:space="preserve">charger is between 4-10 hours depending on kwh output. Our estimate of weekly time savings for people who possess HBCI over those who do not is 4.3 hours a week, which is approximately equal to the time it takes to charge an EV battery from empty on a Level II charger. </w:t>
      </w:r>
    </w:p>
    <w:p w14:paraId="6B94618B" w14:textId="090C71EE" w:rsidR="00BB4FA0" w:rsidRDefault="00210BC5" w:rsidP="00BB4FA0">
      <w:pPr>
        <w:pStyle w:val="Heading2"/>
        <w:jc w:val="left"/>
      </w:pPr>
      <w:bookmarkStart w:id="45" w:name="_Toc174455341"/>
      <w:bookmarkEnd w:id="44"/>
      <w:r w:rsidRPr="005E53C3">
        <w:t>Discussion</w:t>
      </w:r>
      <w:bookmarkStart w:id="46" w:name="_Hlk168298967"/>
      <w:bookmarkStart w:id="47" w:name="_Toc420995911"/>
      <w:bookmarkStart w:id="48" w:name="_Toc422997498"/>
      <w:bookmarkEnd w:id="45"/>
    </w:p>
    <w:p w14:paraId="74490B45" w14:textId="0E623B9D" w:rsidR="00BB4FA0" w:rsidRDefault="00BB4FA0" w:rsidP="00ED7808">
      <w:pPr>
        <w:spacing w:line="480" w:lineRule="auto"/>
        <w:ind w:firstLine="720"/>
        <w:rPr>
          <w:rFonts w:ascii="Times New Roman" w:hAnsi="Times New Roman" w:cs="Times New Roman"/>
        </w:rPr>
      </w:pPr>
      <w:r w:rsidRPr="005E53C3">
        <w:rPr>
          <w:rFonts w:ascii="Times New Roman" w:hAnsi="Times New Roman" w:cs="Times New Roman"/>
        </w:rPr>
        <w:t xml:space="preserve">Since public charging station infrastructure is expected to increase over the current decade, we would expect that households will value home-based charging less over time. Figure 2 depicts the cumulative growth of EV charging stations from 2009 to 2023 from the Alternatives Fuel Data Center. </w:t>
      </w:r>
      <w:r>
        <w:rPr>
          <w:rFonts w:ascii="Times New Roman" w:hAnsi="Times New Roman" w:cs="Times New Roman"/>
        </w:rPr>
        <w:t>Our estimations for the time savings of possessing home-based charging and the WTP for the attribute will decrease as both workplace and DC/Level III public charging stations become more ubiquitous.</w:t>
      </w:r>
    </w:p>
    <w:p w14:paraId="457A6C24" w14:textId="77777777" w:rsidR="00100D2A" w:rsidRPr="005C0C6A" w:rsidRDefault="00100D2A" w:rsidP="00100D2A">
      <w:pPr>
        <w:spacing w:after="124"/>
        <w:rPr>
          <w:rFonts w:ascii="Calibri" w:eastAsia="Calibri" w:hAnsi="Calibri" w:cs="Calibri"/>
          <w:color w:val="000000" w:themeColor="text1"/>
        </w:rPr>
      </w:pPr>
      <w:r>
        <w:rPr>
          <w:noProof/>
        </w:rPr>
        <w:lastRenderedPageBreak/>
        <w:drawing>
          <wp:inline distT="0" distB="0" distL="0" distR="0" wp14:anchorId="2A18ACF3" wp14:editId="0FAFA479">
            <wp:extent cx="5676902" cy="3257550"/>
            <wp:effectExtent l="0" t="0" r="0" b="0"/>
            <wp:docPr id="1710777899" name="Picture 1710777899"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76902" cy="3257550"/>
                    </a:xfrm>
                    <a:prstGeom prst="rect">
                      <a:avLst/>
                    </a:prstGeom>
                  </pic:spPr>
                </pic:pic>
              </a:graphicData>
            </a:graphic>
          </wp:inline>
        </w:drawing>
      </w:r>
      <w:r w:rsidRPr="6B34148A">
        <w:rPr>
          <w:rFonts w:ascii="Calibri" w:eastAsia="Calibri" w:hAnsi="Calibri" w:cs="Calibri"/>
          <w:color w:val="000000" w:themeColor="text1"/>
        </w:rPr>
        <w:t xml:space="preserve"> </w:t>
      </w:r>
      <w:bookmarkStart w:id="49" w:name="_Toc165394430"/>
    </w:p>
    <w:bookmarkEnd w:id="46"/>
    <w:bookmarkEnd w:id="47"/>
    <w:bookmarkEnd w:id="48"/>
    <w:bookmarkEnd w:id="49"/>
    <w:p w14:paraId="1C60834B" w14:textId="77777777" w:rsidR="00210BC5" w:rsidRDefault="00210BC5" w:rsidP="00210BC5"/>
    <w:p w14:paraId="50469618" w14:textId="1A3D42F6" w:rsidR="00F026DD" w:rsidRDefault="00BB4FA0" w:rsidP="00BB4FA0">
      <w:pPr>
        <w:pStyle w:val="Heading2"/>
      </w:pPr>
      <w:bookmarkStart w:id="50" w:name="_Toc167481009"/>
      <w:bookmarkStart w:id="51" w:name="_Toc173410600"/>
      <w:bookmarkStart w:id="52" w:name="_Toc174454615"/>
      <w:bookmarkStart w:id="53" w:name="_Toc174455342"/>
      <w:r>
        <w:t xml:space="preserve">Figure 2. </w:t>
      </w:r>
      <w:r w:rsidRPr="001F77B3">
        <w:t>Cumulative Growth of EV Charging Stations</w:t>
      </w:r>
      <w:bookmarkEnd w:id="50"/>
      <w:bookmarkEnd w:id="51"/>
      <w:bookmarkEnd w:id="52"/>
      <w:bookmarkEnd w:id="53"/>
    </w:p>
    <w:p w14:paraId="6FF4E6D3" w14:textId="77777777" w:rsidR="00F026DD" w:rsidRDefault="00F026DD" w:rsidP="00210BC5"/>
    <w:p w14:paraId="671BF441" w14:textId="77777777" w:rsidR="00F026DD" w:rsidRDefault="00F026DD" w:rsidP="00210BC5"/>
    <w:p w14:paraId="741DDCEB" w14:textId="77777777" w:rsidR="00F026DD" w:rsidRDefault="00F026DD" w:rsidP="00210BC5"/>
    <w:p w14:paraId="7BE2D06C" w14:textId="77777777" w:rsidR="00F026DD" w:rsidRDefault="00F026DD" w:rsidP="00210BC5"/>
    <w:p w14:paraId="32E996EA" w14:textId="77777777" w:rsidR="00F026DD" w:rsidRDefault="00F026DD" w:rsidP="00210BC5"/>
    <w:p w14:paraId="6EBB46E8" w14:textId="77777777" w:rsidR="00F026DD" w:rsidRDefault="00F026DD" w:rsidP="00210BC5"/>
    <w:p w14:paraId="001E72AA" w14:textId="77777777" w:rsidR="00F026DD" w:rsidRDefault="00F026DD" w:rsidP="00210BC5"/>
    <w:p w14:paraId="406664FB" w14:textId="77777777" w:rsidR="00F026DD" w:rsidRDefault="00F026DD" w:rsidP="00210BC5"/>
    <w:p w14:paraId="407BBD60" w14:textId="77777777" w:rsidR="00F026DD" w:rsidRDefault="00F026DD" w:rsidP="00210BC5"/>
    <w:p w14:paraId="7CA59AA9" w14:textId="77777777" w:rsidR="00F026DD" w:rsidRDefault="00F026DD" w:rsidP="00210BC5"/>
    <w:p w14:paraId="2C81CE21" w14:textId="77777777" w:rsidR="00F026DD" w:rsidRDefault="00F026DD" w:rsidP="00210BC5"/>
    <w:p w14:paraId="0CA6A0A0" w14:textId="77777777" w:rsidR="00F026DD" w:rsidRDefault="00F026DD" w:rsidP="00210BC5"/>
    <w:p w14:paraId="66D62A26" w14:textId="63FA759C" w:rsidR="00BB4FA0" w:rsidRDefault="00BB4FA0" w:rsidP="00210BC5"/>
    <w:p w14:paraId="0DF47F59" w14:textId="77777777" w:rsidR="00BB4FA0" w:rsidRDefault="00BB4FA0" w:rsidP="00210BC5"/>
    <w:p w14:paraId="17126BA9" w14:textId="77777777" w:rsidR="00F026DD" w:rsidRDefault="00F026DD" w:rsidP="00210BC5"/>
    <w:p w14:paraId="2990BF97" w14:textId="77777777" w:rsidR="00F026DD" w:rsidRDefault="00F026DD" w:rsidP="00210BC5"/>
    <w:p w14:paraId="37AB170F" w14:textId="77777777" w:rsidR="00F026DD" w:rsidRDefault="00F026DD" w:rsidP="00210BC5"/>
    <w:p w14:paraId="2C377A52" w14:textId="77777777" w:rsidR="00F026DD" w:rsidRDefault="00F026DD" w:rsidP="00210BC5"/>
    <w:p w14:paraId="5C50EA40" w14:textId="77777777" w:rsidR="00F026DD" w:rsidRDefault="00F026DD" w:rsidP="00210BC5"/>
    <w:p w14:paraId="2CC0C8EA" w14:textId="77777777" w:rsidR="00D24308" w:rsidRDefault="00D24308" w:rsidP="00D24308">
      <w:pPr>
        <w:pStyle w:val="NormalWeb"/>
        <w:spacing w:before="0" w:beforeAutospacing="0" w:after="0" w:afterAutospacing="0" w:line="480" w:lineRule="auto"/>
        <w:rPr>
          <w:b/>
          <w:bCs/>
          <w:caps/>
          <w:color w:val="000000" w:themeColor="text1"/>
        </w:rPr>
      </w:pPr>
    </w:p>
    <w:p w14:paraId="3E23C496" w14:textId="77777777" w:rsidR="00D24308" w:rsidRDefault="00D24308" w:rsidP="00D24308">
      <w:pPr>
        <w:pStyle w:val="NormalWeb"/>
        <w:spacing w:before="0" w:beforeAutospacing="0" w:after="0" w:afterAutospacing="0" w:line="480" w:lineRule="auto"/>
        <w:rPr>
          <w:b/>
          <w:bCs/>
          <w:caps/>
          <w:color w:val="000000" w:themeColor="text1"/>
        </w:rPr>
      </w:pPr>
    </w:p>
    <w:p w14:paraId="413FFEB9" w14:textId="0F4898F2" w:rsidR="00BB4FA0" w:rsidRDefault="006A05AC" w:rsidP="00EF6261">
      <w:pPr>
        <w:pStyle w:val="Heading1"/>
      </w:pPr>
      <w:bookmarkStart w:id="54" w:name="_Toc174455343"/>
      <w:r w:rsidRPr="006A05AC">
        <w:lastRenderedPageBreak/>
        <w:t>REFERENCES</w:t>
      </w:r>
      <w:bookmarkEnd w:id="54"/>
    </w:p>
    <w:p w14:paraId="4623F51A" w14:textId="514438B3" w:rsidR="00F026DD" w:rsidRDefault="00F026DD" w:rsidP="00D24308">
      <w:pPr>
        <w:pStyle w:val="NormalWeb"/>
        <w:spacing w:before="0" w:beforeAutospacing="0" w:after="0" w:afterAutospacing="0" w:line="480" w:lineRule="auto"/>
        <w:ind w:left="720" w:hanging="720"/>
      </w:pPr>
      <w:r>
        <w:t xml:space="preserve">Asensio, O. I., Lawson, M. C., &amp; </w:t>
      </w:r>
      <w:proofErr w:type="spellStart"/>
      <w:r>
        <w:t>Apablaza</w:t>
      </w:r>
      <w:proofErr w:type="spellEnd"/>
      <w:r>
        <w:t xml:space="preserve">, C. Z. (2021). Electric vehicle charging stations in the workplace with high-resolution data from casual and habitual users. </w:t>
      </w:r>
      <w:r>
        <w:rPr>
          <w:i/>
          <w:iCs/>
        </w:rPr>
        <w:t>Scientific Data</w:t>
      </w:r>
      <w:r>
        <w:t xml:space="preserve">, </w:t>
      </w:r>
      <w:r>
        <w:rPr>
          <w:i/>
          <w:iCs/>
        </w:rPr>
        <w:t>8</w:t>
      </w:r>
      <w:r>
        <w:t xml:space="preserve">(1). </w:t>
      </w:r>
      <w:r w:rsidRPr="00D24308">
        <w:rPr>
          <w:rStyle w:val="url"/>
          <w:u w:val="single"/>
        </w:rPr>
        <w:t>https://doi.org/10.1038/s41597-021-00956-1</w:t>
      </w:r>
    </w:p>
    <w:p w14:paraId="5F2E4601" w14:textId="77777777" w:rsidR="00F026DD" w:rsidRDefault="00F026DD" w:rsidP="00D24308">
      <w:pPr>
        <w:pStyle w:val="NormalWeb"/>
        <w:spacing w:before="0" w:beforeAutospacing="0" w:after="0" w:afterAutospacing="0" w:line="480" w:lineRule="auto"/>
        <w:ind w:left="720" w:hanging="720"/>
      </w:pPr>
    </w:p>
    <w:p w14:paraId="0A1B574D" w14:textId="62B1EF18" w:rsidR="00997897" w:rsidRDefault="00997897" w:rsidP="00D24308">
      <w:pPr>
        <w:pStyle w:val="NormalWeb"/>
        <w:spacing w:before="0" w:beforeAutospacing="0" w:after="0" w:afterAutospacing="0" w:line="480" w:lineRule="auto"/>
        <w:ind w:left="720" w:hanging="720"/>
      </w:pPr>
      <w:proofErr w:type="spellStart"/>
      <w:r>
        <w:t>Azarova</w:t>
      </w:r>
      <w:proofErr w:type="spellEnd"/>
      <w:r>
        <w:t xml:space="preserve">, V., Cohen, J., Kollmann, A., &amp; Reichl, J. (2020). The potential for community financed electric vehicle charging infrastructure. </w:t>
      </w:r>
      <w:r>
        <w:rPr>
          <w:i/>
          <w:iCs/>
        </w:rPr>
        <w:t>Transportation Research. Part D, Transport and Environment</w:t>
      </w:r>
      <w:r>
        <w:t xml:space="preserve">, </w:t>
      </w:r>
      <w:r>
        <w:rPr>
          <w:i/>
          <w:iCs/>
        </w:rPr>
        <w:t>88</w:t>
      </w:r>
      <w:r>
        <w:t xml:space="preserve">, 102541. </w:t>
      </w:r>
      <w:r w:rsidRPr="00997897">
        <w:rPr>
          <w:rStyle w:val="url"/>
          <w:u w:val="single"/>
        </w:rPr>
        <w:t>https://doi.org/10.1016/j.trd.2020.102541</w:t>
      </w:r>
    </w:p>
    <w:p w14:paraId="16F3DFB0" w14:textId="77777777" w:rsidR="00997897" w:rsidRDefault="00997897" w:rsidP="00D24308">
      <w:pPr>
        <w:pStyle w:val="NormalWeb"/>
        <w:spacing w:before="0" w:beforeAutospacing="0" w:after="0" w:afterAutospacing="0" w:line="480" w:lineRule="auto"/>
        <w:ind w:left="720" w:hanging="720"/>
      </w:pPr>
    </w:p>
    <w:p w14:paraId="3DC11023" w14:textId="23EFE97F" w:rsidR="0054552A" w:rsidRDefault="0054552A" w:rsidP="00D24308">
      <w:pPr>
        <w:pStyle w:val="NormalWeb"/>
        <w:spacing w:before="0" w:beforeAutospacing="0" w:after="0" w:afterAutospacing="0" w:line="480" w:lineRule="auto"/>
        <w:ind w:left="720" w:hanging="720"/>
        <w:rPr>
          <w:rStyle w:val="Hyperlink"/>
          <w:rFonts w:ascii="Times New Roman" w:hAnsi="Times New Roman"/>
        </w:rPr>
      </w:pPr>
      <w:r>
        <w:t xml:space="preserve">Bauer, G., Hsu, C., Nicholas, M., &amp; </w:t>
      </w:r>
      <w:proofErr w:type="spellStart"/>
      <w:r>
        <w:t>Lutsey</w:t>
      </w:r>
      <w:proofErr w:type="spellEnd"/>
      <w:r>
        <w:t xml:space="preserve">, N. (2021). Charging Up America: Assessing the growing need for U.S. charging infrastructure through 2030. </w:t>
      </w:r>
      <w:r w:rsidR="004005A2" w:rsidRPr="00895858">
        <w:rPr>
          <w:i/>
          <w:iCs/>
        </w:rPr>
        <w:t xml:space="preserve">The </w:t>
      </w:r>
      <w:r>
        <w:rPr>
          <w:i/>
          <w:iCs/>
        </w:rPr>
        <w:t>International Council on Clean Transportation</w:t>
      </w:r>
      <w:r w:rsidR="004005A2">
        <w:rPr>
          <w:i/>
          <w:iCs/>
        </w:rPr>
        <w:t xml:space="preserve"> (ICCT)</w:t>
      </w:r>
      <w:r>
        <w:t xml:space="preserve">, </w:t>
      </w:r>
      <w:r>
        <w:rPr>
          <w:i/>
          <w:iCs/>
        </w:rPr>
        <w:t>1</w:t>
      </w:r>
      <w:r w:rsidR="004005A2">
        <w:rPr>
          <w:i/>
          <w:iCs/>
        </w:rPr>
        <w:t xml:space="preserve">, </w:t>
      </w:r>
      <w:r w:rsidR="004005A2" w:rsidRPr="004005A2">
        <w:t>3-35</w:t>
      </w:r>
      <w:r w:rsidRPr="004005A2">
        <w:t>.</w:t>
      </w:r>
      <w:r w:rsidR="00D24308">
        <w:t xml:space="preserve"> </w:t>
      </w:r>
      <w:hyperlink r:id="rId14" w:history="1">
        <w:r w:rsidR="00D24308" w:rsidRPr="001B282E">
          <w:rPr>
            <w:rStyle w:val="Hyperlink"/>
            <w:rFonts w:ascii="Times New Roman" w:hAnsi="Times New Roman"/>
          </w:rPr>
          <w:t>https://trid.trb.org/view/1870679</w:t>
        </w:r>
      </w:hyperlink>
    </w:p>
    <w:p w14:paraId="3AAA1A36" w14:textId="77777777" w:rsidR="00100D2A" w:rsidRDefault="00100D2A" w:rsidP="00D24308">
      <w:pPr>
        <w:pStyle w:val="NormalWeb"/>
        <w:spacing w:before="0" w:beforeAutospacing="0" w:after="0" w:afterAutospacing="0" w:line="480" w:lineRule="auto"/>
        <w:ind w:left="720" w:hanging="720"/>
        <w:rPr>
          <w:rStyle w:val="Hyperlink"/>
          <w:rFonts w:ascii="Times New Roman" w:hAnsi="Times New Roman"/>
        </w:rPr>
      </w:pPr>
    </w:p>
    <w:p w14:paraId="2C76430F" w14:textId="77777777" w:rsidR="00100D2A" w:rsidRDefault="00100D2A" w:rsidP="00D24308">
      <w:pPr>
        <w:pStyle w:val="NormalWeb"/>
        <w:spacing w:before="0" w:beforeAutospacing="0" w:after="0" w:afterAutospacing="0" w:line="480" w:lineRule="auto"/>
        <w:ind w:left="720" w:hanging="720"/>
      </w:pPr>
      <w:r>
        <w:t xml:space="preserve">Borlaug, B., Ge, Y., Lee, D., Liu, Z., Rose, E., Luhring, L. S., St Louis-Sanchez, M., Wood, E., &amp; Yang, F. (2023). </w:t>
      </w:r>
      <w:r>
        <w:rPr>
          <w:i/>
          <w:iCs/>
        </w:rPr>
        <w:t>Modeling future demand for EV charging infrastructure</w:t>
      </w:r>
      <w:r>
        <w:t xml:space="preserve">. </w:t>
      </w:r>
      <w:r w:rsidRPr="00100D2A">
        <w:rPr>
          <w:rStyle w:val="url"/>
          <w:u w:val="single"/>
        </w:rPr>
        <w:t>https://doi.org/10.2172/2229355</w:t>
      </w:r>
    </w:p>
    <w:p w14:paraId="10A4E116" w14:textId="77777777" w:rsidR="00A63663" w:rsidRDefault="00A63663" w:rsidP="00D24308">
      <w:pPr>
        <w:pStyle w:val="NormalWeb"/>
        <w:spacing w:before="0" w:beforeAutospacing="0" w:after="0" w:afterAutospacing="0" w:line="480" w:lineRule="auto"/>
        <w:ind w:left="720" w:hanging="720"/>
        <w:rPr>
          <w:rStyle w:val="url"/>
          <w:u w:val="single"/>
        </w:rPr>
      </w:pPr>
    </w:p>
    <w:p w14:paraId="339CB45E" w14:textId="5A07E88A" w:rsidR="00895858" w:rsidRPr="00A63663" w:rsidRDefault="00A63663" w:rsidP="00D24308">
      <w:pPr>
        <w:pStyle w:val="NormalWeb"/>
        <w:spacing w:before="0" w:beforeAutospacing="0" w:after="0" w:afterAutospacing="0" w:line="480" w:lineRule="auto"/>
        <w:ind w:left="720" w:hanging="720"/>
        <w:rPr>
          <w:rStyle w:val="url"/>
        </w:rPr>
      </w:pPr>
      <w:r>
        <w:t xml:space="preserve">Berry, L. L., Seiders, K., &amp; Grewal, D. (2002). Understanding service convenience. </w:t>
      </w:r>
      <w:r>
        <w:rPr>
          <w:i/>
          <w:iCs/>
        </w:rPr>
        <w:t>Journal of Marketing</w:t>
      </w:r>
      <w:r>
        <w:t xml:space="preserve">, </w:t>
      </w:r>
      <w:r>
        <w:rPr>
          <w:i/>
          <w:iCs/>
        </w:rPr>
        <w:t>66</w:t>
      </w:r>
      <w:r>
        <w:t>(3), 1–17.</w:t>
      </w:r>
      <w:r w:rsidRPr="00A63663">
        <w:rPr>
          <w:u w:val="single"/>
        </w:rPr>
        <w:t xml:space="preserve"> </w:t>
      </w:r>
      <w:r w:rsidRPr="00A63663">
        <w:rPr>
          <w:rStyle w:val="url"/>
          <w:u w:val="single"/>
        </w:rPr>
        <w:t>https://doi.org/10.1509/jmkg.66.3.1.18505</w:t>
      </w:r>
    </w:p>
    <w:p w14:paraId="4DEABDA8" w14:textId="77777777" w:rsidR="00A63663" w:rsidRDefault="00A63663" w:rsidP="00D24308">
      <w:pPr>
        <w:pStyle w:val="NormalWeb"/>
        <w:spacing w:before="0" w:beforeAutospacing="0" w:after="0" w:afterAutospacing="0" w:line="480" w:lineRule="auto"/>
        <w:ind w:left="720" w:hanging="720"/>
        <w:rPr>
          <w:rStyle w:val="url"/>
          <w:u w:val="single"/>
        </w:rPr>
      </w:pPr>
    </w:p>
    <w:p w14:paraId="7A80AB0A" w14:textId="629D2207" w:rsidR="00895858" w:rsidRDefault="00895858" w:rsidP="00D24308">
      <w:pPr>
        <w:pStyle w:val="NormalWeb"/>
        <w:spacing w:before="0" w:beforeAutospacing="0" w:after="0" w:afterAutospacing="0" w:line="480" w:lineRule="auto"/>
        <w:ind w:left="720" w:hanging="720"/>
      </w:pPr>
      <w:proofErr w:type="spellStart"/>
      <w:r w:rsidRPr="00895858">
        <w:lastRenderedPageBreak/>
        <w:t>Burlig</w:t>
      </w:r>
      <w:proofErr w:type="spellEnd"/>
      <w:r w:rsidRPr="00895858">
        <w:t>, F., Bushnell, J., Rapson, D., &amp; Wolfram, C. (2021). Low energy: Estimating electric vehicle electricity use</w:t>
      </w:r>
      <w:r w:rsidRPr="00895858">
        <w:rPr>
          <w:i/>
          <w:iCs/>
        </w:rPr>
        <w:t>. AEA Papers and Proceedings</w:t>
      </w:r>
      <w:r w:rsidRPr="00895858">
        <w:t>,</w:t>
      </w:r>
      <w:r w:rsidRPr="00895858">
        <w:rPr>
          <w:i/>
          <w:iCs/>
        </w:rPr>
        <w:t xml:space="preserve"> 111</w:t>
      </w:r>
      <w:r w:rsidRPr="00895858">
        <w:t xml:space="preserve">, 430–435. </w:t>
      </w:r>
      <w:r w:rsidRPr="00895858">
        <w:rPr>
          <w:u w:val="single"/>
        </w:rPr>
        <w:t>https://doi.org/10.1257/pandp.20211088</w:t>
      </w:r>
    </w:p>
    <w:p w14:paraId="13D5D657" w14:textId="77777777" w:rsidR="0054552A" w:rsidRDefault="0054552A" w:rsidP="00D24308">
      <w:pPr>
        <w:pStyle w:val="NormalWeb"/>
        <w:spacing w:before="0" w:beforeAutospacing="0" w:after="0" w:afterAutospacing="0" w:line="480" w:lineRule="auto"/>
        <w:ind w:left="720" w:hanging="720"/>
      </w:pPr>
    </w:p>
    <w:p w14:paraId="058EB3F0" w14:textId="412F4182" w:rsidR="00895858" w:rsidRDefault="00895858" w:rsidP="00D24308">
      <w:pPr>
        <w:pStyle w:val="NormalWeb"/>
        <w:spacing w:before="0" w:beforeAutospacing="0" w:after="0" w:afterAutospacing="0" w:line="480" w:lineRule="auto"/>
        <w:ind w:left="720" w:hanging="720"/>
      </w:pPr>
      <w:r w:rsidRPr="00895858">
        <w:t xml:space="preserve">Davis, L. W. (2019). How much are electric vehicles driven? </w:t>
      </w:r>
      <w:r w:rsidRPr="00895858">
        <w:rPr>
          <w:i/>
          <w:iCs/>
        </w:rPr>
        <w:t>Applied Economics Letters, 26</w:t>
      </w:r>
      <w:r>
        <w:rPr>
          <w:i/>
          <w:iCs/>
        </w:rPr>
        <w:t xml:space="preserve"> </w:t>
      </w:r>
      <w:r w:rsidRPr="00895858">
        <w:rPr>
          <w:i/>
          <w:iCs/>
        </w:rPr>
        <w:t>(18)</w:t>
      </w:r>
      <w:r w:rsidRPr="00895858">
        <w:t xml:space="preserve">, 1497–1502. </w:t>
      </w:r>
      <w:r w:rsidRPr="00895858">
        <w:rPr>
          <w:u w:val="single"/>
        </w:rPr>
        <w:t>https://doi.org/10.1080/13504851.2019.1582847</w:t>
      </w:r>
    </w:p>
    <w:p w14:paraId="0EA0B5CA" w14:textId="77777777" w:rsidR="00895858" w:rsidRDefault="00895858" w:rsidP="00D24308">
      <w:pPr>
        <w:pStyle w:val="NormalWeb"/>
        <w:spacing w:before="0" w:beforeAutospacing="0" w:after="0" w:afterAutospacing="0" w:line="480" w:lineRule="auto"/>
        <w:ind w:left="720" w:hanging="720"/>
      </w:pPr>
    </w:p>
    <w:p w14:paraId="125EDDF9" w14:textId="4CF0DF55" w:rsidR="00895858" w:rsidRDefault="00895858" w:rsidP="00D24308">
      <w:pPr>
        <w:pStyle w:val="NormalWeb"/>
        <w:spacing w:before="0" w:beforeAutospacing="0" w:after="0" w:afterAutospacing="0" w:line="480" w:lineRule="auto"/>
        <w:ind w:left="720" w:hanging="720"/>
      </w:pPr>
      <w:r w:rsidRPr="00895858">
        <w:t xml:space="preserve">Davis, L. W. (2022). Electric vehicles in multi-vehicle households. </w:t>
      </w:r>
      <w:r w:rsidRPr="00895858">
        <w:rPr>
          <w:i/>
          <w:iCs/>
        </w:rPr>
        <w:t>Applied Economics Letters, 30</w:t>
      </w:r>
      <w:r>
        <w:rPr>
          <w:i/>
          <w:iCs/>
        </w:rPr>
        <w:t xml:space="preserve"> </w:t>
      </w:r>
      <w:r w:rsidRPr="00895858">
        <w:rPr>
          <w:i/>
          <w:iCs/>
        </w:rPr>
        <w:t>(14)</w:t>
      </w:r>
      <w:r w:rsidRPr="00895858">
        <w:t xml:space="preserve">, 1909–1912. </w:t>
      </w:r>
      <w:r w:rsidRPr="00895858">
        <w:rPr>
          <w:u w:val="single"/>
        </w:rPr>
        <w:t>https://doi.org/10.1080/13504851.2022.2083563</w:t>
      </w:r>
    </w:p>
    <w:p w14:paraId="358429F7" w14:textId="77777777" w:rsidR="00895858" w:rsidRDefault="00895858" w:rsidP="00D24308">
      <w:pPr>
        <w:pStyle w:val="NormalWeb"/>
        <w:spacing w:before="0" w:beforeAutospacing="0" w:after="0" w:afterAutospacing="0" w:line="480" w:lineRule="auto"/>
        <w:ind w:left="720" w:hanging="720"/>
      </w:pPr>
    </w:p>
    <w:p w14:paraId="579BD255" w14:textId="27044242" w:rsidR="00F15DE2" w:rsidRDefault="00F15DE2" w:rsidP="00D24308">
      <w:pPr>
        <w:pStyle w:val="NormalWeb"/>
        <w:spacing w:before="0" w:beforeAutospacing="0" w:after="0" w:afterAutospacing="0" w:line="480" w:lineRule="auto"/>
        <w:ind w:left="720" w:hanging="720"/>
      </w:pPr>
      <w:proofErr w:type="spellStart"/>
      <w:r w:rsidRPr="00F15DE2">
        <w:t>Daziano</w:t>
      </w:r>
      <w:proofErr w:type="spellEnd"/>
      <w:r w:rsidRPr="00F15DE2">
        <w:t xml:space="preserve">, R. A., </w:t>
      </w:r>
      <w:proofErr w:type="spellStart"/>
      <w:r w:rsidRPr="00F15DE2">
        <w:t>Sarrias</w:t>
      </w:r>
      <w:proofErr w:type="spellEnd"/>
      <w:r w:rsidRPr="00F15DE2">
        <w:t>, M., &amp; Leard, B. (2017). Are consumers willing to pay to let cars</w:t>
      </w:r>
      <w:r w:rsidR="0035057B">
        <w:t xml:space="preserve"> </w:t>
      </w:r>
      <w:r w:rsidRPr="00F15DE2">
        <w:t>drive for them? Analyzing response to autonomous vehicles. Transportation</w:t>
      </w:r>
      <w:r w:rsidR="0035057B">
        <w:t xml:space="preserve"> </w:t>
      </w:r>
      <w:r w:rsidRPr="00F15DE2">
        <w:t xml:space="preserve">Research Part C Emerging Technologies, 78, 150–164. </w:t>
      </w:r>
      <w:r w:rsidRPr="00F15DE2">
        <w:rPr>
          <w:u w:val="single"/>
        </w:rPr>
        <w:t>https://doi.org/10.1016/j.trc.2017.03.003</w:t>
      </w:r>
    </w:p>
    <w:p w14:paraId="4150620F" w14:textId="77777777" w:rsidR="00F15DE2" w:rsidRDefault="00F15DE2" w:rsidP="00D24308">
      <w:pPr>
        <w:pStyle w:val="NormalWeb"/>
        <w:spacing w:before="0" w:beforeAutospacing="0" w:after="0" w:afterAutospacing="0" w:line="480" w:lineRule="auto"/>
        <w:ind w:left="720" w:hanging="720"/>
      </w:pPr>
    </w:p>
    <w:p w14:paraId="46C89EC7" w14:textId="73AA3096" w:rsidR="00D24308" w:rsidRDefault="005C0C6A" w:rsidP="00D24308">
      <w:pPr>
        <w:pStyle w:val="NormalWeb"/>
        <w:spacing w:before="0" w:beforeAutospacing="0" w:after="0" w:afterAutospacing="0" w:line="480" w:lineRule="auto"/>
        <w:ind w:left="720" w:hanging="720"/>
        <w:rPr>
          <w:rStyle w:val="url"/>
          <w:u w:val="single"/>
        </w:rPr>
      </w:pPr>
      <w:r>
        <w:t xml:space="preserve">Funke, S., Sprei, F., Gnann, T., &amp; </w:t>
      </w:r>
      <w:proofErr w:type="spellStart"/>
      <w:r>
        <w:t>Plötz</w:t>
      </w:r>
      <w:proofErr w:type="spellEnd"/>
      <w:r>
        <w:t xml:space="preserve">, P. (2019). How much charging infrastructure do electric vehicles need? A review of the evidence and international comparison. </w:t>
      </w:r>
      <w:r>
        <w:rPr>
          <w:i/>
          <w:iCs/>
        </w:rPr>
        <w:t>Transportation Research. Part D, Transport and Environment</w:t>
      </w:r>
      <w:r>
        <w:t xml:space="preserve">, </w:t>
      </w:r>
      <w:r>
        <w:rPr>
          <w:i/>
          <w:iCs/>
        </w:rPr>
        <w:t>77</w:t>
      </w:r>
      <w:r>
        <w:t xml:space="preserve">, 224–242. </w:t>
      </w:r>
      <w:hyperlink r:id="rId15" w:history="1">
        <w:r w:rsidR="00997897" w:rsidRPr="00D24308">
          <w:rPr>
            <w:rStyle w:val="Hyperlink"/>
            <w:rFonts w:ascii="Times New Roman" w:hAnsi="Times New Roman"/>
            <w:u w:val="single"/>
          </w:rPr>
          <w:t>https://doi.org/10.1016/j.trd.2019.10.024</w:t>
        </w:r>
      </w:hyperlink>
    </w:p>
    <w:p w14:paraId="7ED23C07" w14:textId="77777777" w:rsidR="00D24308" w:rsidRDefault="00D24308" w:rsidP="00D24308">
      <w:pPr>
        <w:pStyle w:val="NormalWeb"/>
        <w:spacing w:before="0" w:beforeAutospacing="0" w:after="0" w:afterAutospacing="0" w:line="480" w:lineRule="auto"/>
        <w:ind w:left="720" w:hanging="720"/>
        <w:rPr>
          <w:rStyle w:val="url"/>
          <w:u w:val="single"/>
        </w:rPr>
      </w:pPr>
    </w:p>
    <w:p w14:paraId="5BF2D73F" w14:textId="7ADD6E71" w:rsidR="00A63663" w:rsidRPr="00A63663" w:rsidRDefault="00A63663" w:rsidP="00D24308">
      <w:pPr>
        <w:pStyle w:val="NormalWeb"/>
        <w:spacing w:before="0" w:beforeAutospacing="0" w:after="0" w:afterAutospacing="0" w:line="480" w:lineRule="auto"/>
        <w:ind w:left="720" w:hanging="720"/>
        <w:rPr>
          <w:rStyle w:val="url"/>
          <w:u w:val="single"/>
        </w:rPr>
      </w:pPr>
      <w:proofErr w:type="spellStart"/>
      <w:r>
        <w:lastRenderedPageBreak/>
        <w:t>Goldszmidt</w:t>
      </w:r>
      <w:proofErr w:type="spellEnd"/>
      <w:r>
        <w:t xml:space="preserve">, A., List, J. A., Metcalfe, R., Muir, I., Smith, V. K., &amp; Wang, J. (2020). </w:t>
      </w:r>
      <w:r w:rsidRPr="00100D2A">
        <w:t>The Value of Time in the United States: Estimates from Nationwide Natural Field Experiments.</w:t>
      </w:r>
      <w:r>
        <w:t xml:space="preserve"> </w:t>
      </w:r>
      <w:r w:rsidRPr="00A63663">
        <w:rPr>
          <w:rStyle w:val="url"/>
          <w:u w:val="single"/>
        </w:rPr>
        <w:t>https://doi.org/10.3386/w28208</w:t>
      </w:r>
    </w:p>
    <w:p w14:paraId="46CCAF91" w14:textId="77777777" w:rsidR="00A63663" w:rsidRDefault="00A63663" w:rsidP="00D24308">
      <w:pPr>
        <w:pStyle w:val="NormalWeb"/>
        <w:spacing w:before="0" w:beforeAutospacing="0" w:after="0" w:afterAutospacing="0" w:line="480" w:lineRule="auto"/>
        <w:ind w:left="720" w:hanging="720"/>
        <w:rPr>
          <w:rStyle w:val="url"/>
          <w:u w:val="single"/>
        </w:rPr>
      </w:pPr>
    </w:p>
    <w:p w14:paraId="00DB3880" w14:textId="386EADC9" w:rsidR="00F026DD" w:rsidRDefault="00F026DD" w:rsidP="00D24308">
      <w:pPr>
        <w:pStyle w:val="NormalWeb"/>
        <w:spacing w:before="0" w:beforeAutospacing="0" w:after="0" w:afterAutospacing="0" w:line="480" w:lineRule="auto"/>
        <w:ind w:left="720" w:hanging="720"/>
      </w:pPr>
      <w:r>
        <w:t xml:space="preserve">Greene, D., Hossain, A., Hofmann, J., Helfand, G., &amp; Beach, R. (2018). Consumer willingness to pay for vehicle attributes: What do we Know? </w:t>
      </w:r>
      <w:r>
        <w:rPr>
          <w:i/>
          <w:iCs/>
        </w:rPr>
        <w:t>Transportation Research. Part a, Policy and Practice</w:t>
      </w:r>
      <w:r>
        <w:t xml:space="preserve">, </w:t>
      </w:r>
      <w:r>
        <w:rPr>
          <w:i/>
          <w:iCs/>
        </w:rPr>
        <w:t>118</w:t>
      </w:r>
      <w:r>
        <w:t xml:space="preserve">, 258–279. </w:t>
      </w:r>
      <w:hyperlink r:id="rId16" w:history="1">
        <w:r w:rsidRPr="00D24308">
          <w:rPr>
            <w:rStyle w:val="Hyperlink"/>
            <w:rFonts w:ascii="Times New Roman" w:hAnsi="Times New Roman"/>
            <w:u w:val="single"/>
          </w:rPr>
          <w:t>https://doi.org/10.1016/j.tra.2018.09.013</w:t>
        </w:r>
      </w:hyperlink>
    </w:p>
    <w:p w14:paraId="2B46871F" w14:textId="77777777" w:rsidR="00F026DD" w:rsidRPr="00F026DD" w:rsidRDefault="00F026DD" w:rsidP="00D24308">
      <w:pPr>
        <w:pStyle w:val="NormalWeb"/>
        <w:spacing w:before="0" w:beforeAutospacing="0" w:after="0" w:afterAutospacing="0" w:line="480" w:lineRule="auto"/>
        <w:ind w:left="720" w:hanging="720"/>
        <w:rPr>
          <w:rStyle w:val="url"/>
        </w:rPr>
      </w:pPr>
    </w:p>
    <w:p w14:paraId="664303FD" w14:textId="371CD96B" w:rsidR="00997897" w:rsidRDefault="00997897" w:rsidP="00D24308">
      <w:pPr>
        <w:pStyle w:val="NormalWeb"/>
        <w:spacing w:before="0" w:beforeAutospacing="0" w:after="0" w:afterAutospacing="0" w:line="480" w:lineRule="auto"/>
        <w:ind w:left="720" w:hanging="720"/>
        <w:rPr>
          <w:rStyle w:val="url"/>
          <w:u w:val="single"/>
        </w:rPr>
      </w:pPr>
      <w:r>
        <w:t xml:space="preserve">Greene, D. L., Kontou, E., Borlaug, B., Brooker, A., &amp; Muratori, M. (2020). Public charging infrastructure for plug-in electric vehicles: What is it worth? </w:t>
      </w:r>
      <w:r>
        <w:rPr>
          <w:i/>
          <w:iCs/>
        </w:rPr>
        <w:t>Transportation Research. Part D, Transport and Environment</w:t>
      </w:r>
      <w:r>
        <w:t xml:space="preserve">, </w:t>
      </w:r>
      <w:r>
        <w:rPr>
          <w:i/>
          <w:iCs/>
        </w:rPr>
        <w:t>78</w:t>
      </w:r>
      <w:r>
        <w:t xml:space="preserve">, 102182. </w:t>
      </w:r>
      <w:hyperlink r:id="rId17" w:history="1">
        <w:r w:rsidRPr="00A63663">
          <w:rPr>
            <w:rStyle w:val="Hyperlink"/>
            <w:rFonts w:ascii="Times New Roman" w:hAnsi="Times New Roman"/>
            <w:u w:val="single"/>
          </w:rPr>
          <w:t>https://doi.org/10.1016/j.trd.2019.11.011</w:t>
        </w:r>
      </w:hyperlink>
    </w:p>
    <w:p w14:paraId="04DABC23" w14:textId="0CE68516" w:rsidR="00A63663" w:rsidRPr="00A63663" w:rsidRDefault="00997897" w:rsidP="00D24308">
      <w:pPr>
        <w:pStyle w:val="NormalWeb"/>
        <w:spacing w:line="480" w:lineRule="auto"/>
        <w:ind w:left="720" w:hanging="720"/>
        <w:rPr>
          <w:u w:val="single"/>
        </w:rPr>
      </w:pPr>
      <w:r w:rsidRPr="00997897">
        <w:t xml:space="preserve">Greene, D. L., Muratori, M., Kontou, E., Borlaug, B., Melaina, M., &amp; Brooker, A. (2020). Quantifying the tangible value of public electric vehicle charging infrastructure. </w:t>
      </w:r>
      <w:r>
        <w:t>California Energy Commission. Publication Number: CEC-600-2020-004.</w:t>
      </w:r>
      <w:r w:rsidRPr="00997897">
        <w:t xml:space="preserve"> </w:t>
      </w:r>
      <w:hyperlink r:id="rId18" w:history="1">
        <w:r w:rsidR="00A63663" w:rsidRPr="00A63663">
          <w:rPr>
            <w:rStyle w:val="Hyperlink"/>
            <w:rFonts w:ascii="Times New Roman" w:hAnsi="Times New Roman"/>
            <w:u w:val="single"/>
          </w:rPr>
          <w:t>https://doi.org/10.2172/1829680</w:t>
        </w:r>
      </w:hyperlink>
    </w:p>
    <w:p w14:paraId="0C9EE330" w14:textId="181418EE" w:rsidR="005C0C6A" w:rsidRDefault="00A63663" w:rsidP="00D24308">
      <w:pPr>
        <w:pStyle w:val="NormalWeb"/>
        <w:spacing w:before="0" w:beforeAutospacing="0" w:after="0" w:afterAutospacing="0" w:line="480" w:lineRule="auto"/>
        <w:ind w:left="720" w:hanging="720"/>
      </w:pPr>
      <w:r>
        <w:t xml:space="preserve">Guerra, E., &amp; </w:t>
      </w:r>
      <w:proofErr w:type="spellStart"/>
      <w:r>
        <w:t>Daziano</w:t>
      </w:r>
      <w:proofErr w:type="spellEnd"/>
      <w:r>
        <w:t xml:space="preserve">, R. A. (2020). Electric vehicles and residential parking in an urban environment: Results from a stated preference experiment. </w:t>
      </w:r>
      <w:r>
        <w:rPr>
          <w:i/>
          <w:iCs/>
        </w:rPr>
        <w:t>Transportation Research. Part D, Transport and Environment</w:t>
      </w:r>
      <w:r>
        <w:t xml:space="preserve">, </w:t>
      </w:r>
      <w:r>
        <w:rPr>
          <w:i/>
          <w:iCs/>
        </w:rPr>
        <w:t>79</w:t>
      </w:r>
      <w:r>
        <w:t xml:space="preserve">, 102222. </w:t>
      </w:r>
      <w:r w:rsidRPr="00A63663">
        <w:rPr>
          <w:rStyle w:val="url"/>
          <w:u w:val="single"/>
        </w:rPr>
        <w:t>https://doi.org/10.1016/j.trd.2020.102222</w:t>
      </w:r>
    </w:p>
    <w:p w14:paraId="5DFAA44D" w14:textId="1A1FECA5" w:rsidR="009D4049" w:rsidRDefault="005F2536" w:rsidP="00D24308">
      <w:pPr>
        <w:pStyle w:val="NormalWeb"/>
        <w:spacing w:before="0" w:beforeAutospacing="0" w:after="0" w:afterAutospacing="0" w:line="480" w:lineRule="auto"/>
        <w:ind w:left="720" w:hanging="720"/>
        <w:rPr>
          <w:rStyle w:val="url"/>
          <w:u w:val="single"/>
        </w:rPr>
      </w:pPr>
      <w:r>
        <w:lastRenderedPageBreak/>
        <w:t xml:space="preserve">Hall, D., &amp; </w:t>
      </w:r>
      <w:proofErr w:type="spellStart"/>
      <w:r>
        <w:t>Lutsey</w:t>
      </w:r>
      <w:proofErr w:type="spellEnd"/>
      <w:r>
        <w:t xml:space="preserve">, N. (2017). </w:t>
      </w:r>
      <w:r w:rsidRPr="005F2536">
        <w:t>Emerging best practices for electric vehicle charging infrastructure.</w:t>
      </w:r>
      <w:r>
        <w:t xml:space="preserve"> </w:t>
      </w:r>
      <w:r w:rsidRPr="005F2536">
        <w:rPr>
          <w:i/>
          <w:iCs/>
        </w:rPr>
        <w:t>The International Council on Clean Transportation (ICCT)</w:t>
      </w:r>
      <w:r w:rsidR="004005A2">
        <w:rPr>
          <w:i/>
          <w:iCs/>
        </w:rPr>
        <w:t xml:space="preserve">, 1, </w:t>
      </w:r>
      <w:r>
        <w:rPr>
          <w:i/>
          <w:iCs/>
        </w:rPr>
        <w:t xml:space="preserve"> </w:t>
      </w:r>
      <w:r>
        <w:t>3-37</w:t>
      </w:r>
      <w:r w:rsidRPr="005F2536">
        <w:rPr>
          <w:i/>
          <w:iCs/>
        </w:rPr>
        <w:t>.</w:t>
      </w:r>
      <w:r>
        <w:t xml:space="preserve"> </w:t>
      </w:r>
      <w:hyperlink r:id="rId19" w:history="1">
        <w:r w:rsidR="005C0C6A" w:rsidRPr="004005A2">
          <w:rPr>
            <w:rStyle w:val="Hyperlink"/>
            <w:rFonts w:ascii="Times New Roman" w:hAnsi="Times New Roman"/>
            <w:u w:val="single"/>
          </w:rPr>
          <w:t>https://apo.org.au/node/180416</w:t>
        </w:r>
      </w:hyperlink>
    </w:p>
    <w:p w14:paraId="32854DA0" w14:textId="77777777" w:rsidR="00F026DD" w:rsidRDefault="00F026DD" w:rsidP="00D24308">
      <w:pPr>
        <w:pStyle w:val="NormalWeb"/>
        <w:spacing w:before="0" w:beforeAutospacing="0" w:after="0" w:afterAutospacing="0" w:line="480" w:lineRule="auto"/>
        <w:ind w:left="720" w:hanging="720"/>
        <w:rPr>
          <w:rStyle w:val="url"/>
          <w:u w:val="single"/>
        </w:rPr>
      </w:pPr>
    </w:p>
    <w:p w14:paraId="110E508F" w14:textId="77777777" w:rsidR="009D4049" w:rsidRDefault="009D4049" w:rsidP="00D24308">
      <w:pPr>
        <w:pStyle w:val="NormalWeb"/>
        <w:spacing w:before="0" w:beforeAutospacing="0" w:after="0" w:afterAutospacing="0" w:line="480" w:lineRule="auto"/>
        <w:ind w:left="720" w:hanging="720"/>
      </w:pPr>
      <w:r>
        <w:t xml:space="preserve">Hardman, S., Jenn, A., Tal, G., </w:t>
      </w:r>
      <w:proofErr w:type="spellStart"/>
      <w:r>
        <w:t>Axsen</w:t>
      </w:r>
      <w:proofErr w:type="spellEnd"/>
      <w:r>
        <w:t xml:space="preserve">, J., Beard, G., Daina, N., </w:t>
      </w:r>
      <w:proofErr w:type="spellStart"/>
      <w:r>
        <w:t>Figenbaum</w:t>
      </w:r>
      <w:proofErr w:type="spellEnd"/>
      <w:r>
        <w:t xml:space="preserve">, E., Jakobsson, N., Jochem, P., Kinnear, N., </w:t>
      </w:r>
      <w:proofErr w:type="spellStart"/>
      <w:r>
        <w:t>Plötz</w:t>
      </w:r>
      <w:proofErr w:type="spellEnd"/>
      <w:r>
        <w:t xml:space="preserve">, P., Pontes, J. P., Refa, N., Sprei, F., Turrentine, T., &amp; </w:t>
      </w:r>
      <w:proofErr w:type="spellStart"/>
      <w:r>
        <w:t>Witkamp</w:t>
      </w:r>
      <w:proofErr w:type="spellEnd"/>
      <w:r>
        <w:t xml:space="preserve">, B. (2018). A review of consumer preferences of and interactions with electric vehicle charging infrastructure. </w:t>
      </w:r>
      <w:r>
        <w:rPr>
          <w:i/>
          <w:iCs/>
        </w:rPr>
        <w:t>Transportation Research. Part D, Transport and Environment</w:t>
      </w:r>
      <w:r>
        <w:t xml:space="preserve">, </w:t>
      </w:r>
      <w:r>
        <w:rPr>
          <w:i/>
          <w:iCs/>
        </w:rPr>
        <w:t>62</w:t>
      </w:r>
      <w:r>
        <w:t xml:space="preserve">, 508–523. </w:t>
      </w:r>
      <w:r w:rsidRPr="009D4049">
        <w:rPr>
          <w:rStyle w:val="url"/>
          <w:u w:val="single"/>
        </w:rPr>
        <w:t>https://doi.org/10.1016/j.trd.2018.04.002</w:t>
      </w:r>
    </w:p>
    <w:p w14:paraId="7821E5B4" w14:textId="77777777" w:rsidR="00A36668" w:rsidRDefault="00A36668" w:rsidP="00D24308">
      <w:pPr>
        <w:pStyle w:val="NormalWeb"/>
        <w:spacing w:before="0" w:beforeAutospacing="0" w:after="0" w:afterAutospacing="0" w:line="480" w:lineRule="auto"/>
        <w:rPr>
          <w:rStyle w:val="url"/>
          <w:u w:val="single"/>
        </w:rPr>
      </w:pPr>
    </w:p>
    <w:p w14:paraId="0B6B224F" w14:textId="75EE554F" w:rsidR="00100D2A" w:rsidRPr="00100D2A" w:rsidRDefault="00100D2A" w:rsidP="00D24308">
      <w:pPr>
        <w:pStyle w:val="NormalWeb"/>
        <w:spacing w:before="0" w:beforeAutospacing="0" w:after="0" w:afterAutospacing="0" w:line="480" w:lineRule="auto"/>
        <w:ind w:left="720" w:hanging="720"/>
        <w:rPr>
          <w:rStyle w:val="url"/>
        </w:rPr>
      </w:pPr>
      <w:r>
        <w:t xml:space="preserve">Gillingham, K. T., Houde, S., &amp; Van Benthem, A. A. (2021). Consumer Myopia in Vehicle Purchases: Evidence from a Natural Experiment. </w:t>
      </w:r>
      <w:r>
        <w:rPr>
          <w:i/>
          <w:iCs/>
        </w:rPr>
        <w:t>American Economic Journal. Economic Policy</w:t>
      </w:r>
      <w:r>
        <w:t xml:space="preserve">, </w:t>
      </w:r>
      <w:r>
        <w:rPr>
          <w:i/>
          <w:iCs/>
        </w:rPr>
        <w:t>13</w:t>
      </w:r>
      <w:r>
        <w:t xml:space="preserve">(3), 207–238. </w:t>
      </w:r>
      <w:r w:rsidRPr="00100D2A">
        <w:rPr>
          <w:rStyle w:val="url"/>
          <w:u w:val="single"/>
        </w:rPr>
        <w:t>https://doi.org/10.1257/pol.20200322</w:t>
      </w:r>
    </w:p>
    <w:p w14:paraId="2099272B" w14:textId="77777777" w:rsidR="00100D2A" w:rsidRDefault="00100D2A" w:rsidP="00D24308">
      <w:pPr>
        <w:pStyle w:val="NormalWeb"/>
        <w:spacing w:before="0" w:beforeAutospacing="0" w:after="0" w:afterAutospacing="0" w:line="480" w:lineRule="auto"/>
        <w:ind w:left="720" w:hanging="720"/>
      </w:pPr>
    </w:p>
    <w:p w14:paraId="1A6410E8" w14:textId="7CB4010C" w:rsidR="00A36668" w:rsidRPr="00A36668" w:rsidRDefault="00A36668" w:rsidP="00D24308">
      <w:pPr>
        <w:pStyle w:val="NormalWeb"/>
        <w:spacing w:before="0" w:beforeAutospacing="0" w:after="0" w:afterAutospacing="0" w:line="480" w:lineRule="auto"/>
        <w:ind w:left="720" w:hanging="720"/>
        <w:rPr>
          <w:rStyle w:val="url"/>
        </w:rPr>
      </w:pPr>
      <w:r>
        <w:t xml:space="preserve">Javid, R. J., &amp; Nejat, A. (2017). A comprehensive model of regional electric vehicle adoption and penetration. </w:t>
      </w:r>
      <w:r>
        <w:rPr>
          <w:i/>
          <w:iCs/>
        </w:rPr>
        <w:t>Transport Policy</w:t>
      </w:r>
      <w:r>
        <w:t xml:space="preserve">, </w:t>
      </w:r>
      <w:r>
        <w:rPr>
          <w:i/>
          <w:iCs/>
        </w:rPr>
        <w:t>54</w:t>
      </w:r>
      <w:r>
        <w:t xml:space="preserve">, 30–42. </w:t>
      </w:r>
      <w:r w:rsidRPr="00A36668">
        <w:rPr>
          <w:rStyle w:val="url"/>
          <w:u w:val="single"/>
        </w:rPr>
        <w:t>https://doi.org/10.1016/j.tranpol.2016.11.003</w:t>
      </w:r>
    </w:p>
    <w:p w14:paraId="79F2FC12" w14:textId="77777777" w:rsidR="005C0C6A" w:rsidRDefault="005C0C6A" w:rsidP="00D24308">
      <w:pPr>
        <w:pStyle w:val="NormalWeb"/>
        <w:spacing w:before="0" w:beforeAutospacing="0" w:after="0" w:afterAutospacing="0" w:line="480" w:lineRule="auto"/>
        <w:ind w:left="720" w:hanging="720"/>
        <w:rPr>
          <w:rStyle w:val="url"/>
          <w:u w:val="single"/>
        </w:rPr>
      </w:pPr>
    </w:p>
    <w:p w14:paraId="3513A8CF" w14:textId="77777777" w:rsidR="005C0C6A" w:rsidRDefault="005C0C6A" w:rsidP="00D24308">
      <w:pPr>
        <w:pStyle w:val="NormalWeb"/>
        <w:spacing w:before="0" w:beforeAutospacing="0" w:after="0" w:afterAutospacing="0" w:line="480" w:lineRule="auto"/>
        <w:ind w:left="720" w:hanging="720"/>
      </w:pPr>
      <w:r>
        <w:t xml:space="preserve">Jochem, P., Gnann, T., Anderson, J. E., Bergfeld, M., &amp; </w:t>
      </w:r>
      <w:proofErr w:type="spellStart"/>
      <w:r>
        <w:t>Plötz</w:t>
      </w:r>
      <w:proofErr w:type="spellEnd"/>
      <w:r>
        <w:t xml:space="preserve">, P. (2022). Where should electric vehicle users without home charging charge their vehicle? </w:t>
      </w:r>
      <w:r>
        <w:rPr>
          <w:i/>
          <w:iCs/>
        </w:rPr>
        <w:t xml:space="preserve">Transportation </w:t>
      </w:r>
      <w:r>
        <w:rPr>
          <w:i/>
          <w:iCs/>
        </w:rPr>
        <w:lastRenderedPageBreak/>
        <w:t>Research. Part D, Transport and Environment</w:t>
      </w:r>
      <w:r>
        <w:t xml:space="preserve">, </w:t>
      </w:r>
      <w:r>
        <w:rPr>
          <w:i/>
          <w:iCs/>
        </w:rPr>
        <w:t>113</w:t>
      </w:r>
      <w:r>
        <w:t xml:space="preserve">, 103526. </w:t>
      </w:r>
      <w:r w:rsidRPr="005C0C6A">
        <w:rPr>
          <w:rStyle w:val="url"/>
          <w:u w:val="single"/>
        </w:rPr>
        <w:t>https://doi.org/10.1016/j.trd.2022.103526</w:t>
      </w:r>
    </w:p>
    <w:p w14:paraId="644C77D5" w14:textId="77777777" w:rsidR="005C0C6A" w:rsidRDefault="005C0C6A" w:rsidP="00D24308">
      <w:pPr>
        <w:pStyle w:val="NormalWeb"/>
        <w:spacing w:before="0" w:beforeAutospacing="0" w:after="0" w:afterAutospacing="0" w:line="480" w:lineRule="auto"/>
        <w:rPr>
          <w:u w:val="single"/>
        </w:rPr>
      </w:pPr>
    </w:p>
    <w:p w14:paraId="5FB40A3B" w14:textId="4AF9AA8B" w:rsidR="00997897" w:rsidRDefault="00997897" w:rsidP="00D24308">
      <w:pPr>
        <w:pStyle w:val="NormalWeb"/>
        <w:spacing w:before="0" w:beforeAutospacing="0" w:after="0" w:afterAutospacing="0" w:line="480" w:lineRule="auto"/>
        <w:ind w:left="720" w:hanging="720"/>
        <w:rPr>
          <w:rStyle w:val="url"/>
          <w:u w:val="single"/>
        </w:rPr>
      </w:pPr>
      <w:r>
        <w:t xml:space="preserve">Klein, M., </w:t>
      </w:r>
      <w:proofErr w:type="spellStart"/>
      <w:r>
        <w:t>Lüpke</w:t>
      </w:r>
      <w:proofErr w:type="spellEnd"/>
      <w:r>
        <w:t xml:space="preserve">, L., &amp; Günther, M. (2020). Home charging and electric vehicle diffusion: Agent-based simulation using choice-based conjoint data. </w:t>
      </w:r>
      <w:r>
        <w:rPr>
          <w:i/>
          <w:iCs/>
        </w:rPr>
        <w:t>Transportation Research. Part D, Transport and Environment</w:t>
      </w:r>
      <w:r>
        <w:t xml:space="preserve">, </w:t>
      </w:r>
      <w:r>
        <w:rPr>
          <w:i/>
          <w:iCs/>
        </w:rPr>
        <w:t>88</w:t>
      </w:r>
      <w:r>
        <w:t xml:space="preserve">, 102475. </w:t>
      </w:r>
      <w:hyperlink r:id="rId20" w:history="1">
        <w:r w:rsidR="00A63663" w:rsidRPr="00D24308">
          <w:rPr>
            <w:rStyle w:val="Hyperlink"/>
            <w:rFonts w:ascii="Times New Roman" w:hAnsi="Times New Roman"/>
            <w:u w:val="single"/>
          </w:rPr>
          <w:t>https://doi.org/10.1016/j.trd.2020.102475</w:t>
        </w:r>
      </w:hyperlink>
    </w:p>
    <w:p w14:paraId="7C4E42C2" w14:textId="77777777" w:rsidR="00A63663" w:rsidRDefault="00A63663" w:rsidP="00D24308">
      <w:pPr>
        <w:pStyle w:val="NormalWeb"/>
        <w:spacing w:before="0" w:beforeAutospacing="0" w:after="0" w:afterAutospacing="0" w:line="480" w:lineRule="auto"/>
        <w:ind w:left="720" w:hanging="720"/>
        <w:rPr>
          <w:rStyle w:val="url"/>
          <w:u w:val="single"/>
        </w:rPr>
      </w:pPr>
    </w:p>
    <w:p w14:paraId="3A79FB3C" w14:textId="496ABD95" w:rsidR="00A63663" w:rsidRPr="00997897" w:rsidRDefault="00A63663" w:rsidP="00D24308">
      <w:pPr>
        <w:pStyle w:val="NormalWeb"/>
        <w:spacing w:before="0" w:beforeAutospacing="0" w:after="0" w:afterAutospacing="0" w:line="480" w:lineRule="auto"/>
        <w:ind w:left="720" w:hanging="720"/>
      </w:pPr>
      <w:r>
        <w:t xml:space="preserve">Lam, T., &amp; Small, K. A. (2001). The Value of Time and Reliability: measurement from a value pricing experiment. </w:t>
      </w:r>
      <w:r>
        <w:rPr>
          <w:i/>
          <w:iCs/>
        </w:rPr>
        <w:t>Transportation Research. Part E, Logistics and Transportation Review</w:t>
      </w:r>
      <w:r>
        <w:t xml:space="preserve">, </w:t>
      </w:r>
      <w:r>
        <w:rPr>
          <w:i/>
          <w:iCs/>
        </w:rPr>
        <w:t>37</w:t>
      </w:r>
      <w:r>
        <w:t xml:space="preserve">(2–3), 231–251. </w:t>
      </w:r>
      <w:r w:rsidRPr="00A63663">
        <w:rPr>
          <w:rStyle w:val="url"/>
          <w:u w:val="single"/>
        </w:rPr>
        <w:t>https://doi.org/10.1016/s1366-5545(00)00016-8</w:t>
      </w:r>
    </w:p>
    <w:p w14:paraId="31EADFDC" w14:textId="77777777" w:rsidR="00997897" w:rsidRPr="00DE55D6" w:rsidRDefault="00997897" w:rsidP="00D24308">
      <w:pPr>
        <w:pStyle w:val="NormalWeb"/>
        <w:spacing w:before="0" w:beforeAutospacing="0" w:after="0" w:afterAutospacing="0" w:line="480" w:lineRule="auto"/>
        <w:rPr>
          <w:u w:val="single"/>
        </w:rPr>
      </w:pPr>
    </w:p>
    <w:p w14:paraId="5667F028" w14:textId="7B8591B9" w:rsidR="00A63663" w:rsidRDefault="00DE55D6" w:rsidP="00D24308">
      <w:pPr>
        <w:pStyle w:val="NormalWeb"/>
        <w:spacing w:before="0" w:beforeAutospacing="0" w:after="0" w:afterAutospacing="0" w:line="480" w:lineRule="auto"/>
        <w:ind w:left="720" w:hanging="720"/>
        <w:rPr>
          <w:rStyle w:val="Hyperlink"/>
          <w:rFonts w:ascii="Times New Roman" w:hAnsi="Times New Roman"/>
          <w:u w:val="single"/>
        </w:rPr>
      </w:pPr>
      <w:r>
        <w:t xml:space="preserve">LaMonaca, S., &amp; Ryan, L. (2022). The state of play in electric vehicle charging services – A review of infrastructure provision, players, and policies. </w:t>
      </w:r>
      <w:r>
        <w:rPr>
          <w:i/>
          <w:iCs/>
        </w:rPr>
        <w:t>Renewable &amp; Sustainable Energy Reviews</w:t>
      </w:r>
      <w:r>
        <w:t xml:space="preserve">, </w:t>
      </w:r>
      <w:r>
        <w:rPr>
          <w:i/>
          <w:iCs/>
        </w:rPr>
        <w:t>154</w:t>
      </w:r>
      <w:r>
        <w:t xml:space="preserve">.  </w:t>
      </w:r>
      <w:hyperlink r:id="rId21" w:history="1">
        <w:r w:rsidR="005C0C6A" w:rsidRPr="005C0C6A">
          <w:rPr>
            <w:rStyle w:val="Hyperlink"/>
            <w:rFonts w:ascii="Times New Roman" w:hAnsi="Times New Roman"/>
            <w:u w:val="single"/>
          </w:rPr>
          <w:t>https://doi.org/10.1016/j.rser.2021.111733</w:t>
        </w:r>
      </w:hyperlink>
    </w:p>
    <w:p w14:paraId="334B53F7" w14:textId="77777777" w:rsidR="00100D2A" w:rsidRDefault="00100D2A" w:rsidP="00D24308">
      <w:pPr>
        <w:pStyle w:val="NormalWeb"/>
        <w:spacing w:before="0" w:beforeAutospacing="0" w:after="0" w:afterAutospacing="0" w:line="480" w:lineRule="auto"/>
        <w:ind w:left="720" w:hanging="720"/>
        <w:rPr>
          <w:rStyle w:val="Hyperlink"/>
          <w:rFonts w:ascii="Times New Roman" w:hAnsi="Times New Roman"/>
          <w:u w:val="single"/>
        </w:rPr>
      </w:pPr>
    </w:p>
    <w:p w14:paraId="328A39B6" w14:textId="4609DC6F" w:rsidR="00100D2A" w:rsidRPr="00100D2A" w:rsidRDefault="00100D2A" w:rsidP="00D24308">
      <w:pPr>
        <w:pStyle w:val="NormalWeb"/>
        <w:spacing w:before="0" w:beforeAutospacing="0" w:after="0" w:afterAutospacing="0" w:line="480" w:lineRule="auto"/>
        <w:ind w:left="720" w:hanging="720"/>
      </w:pPr>
      <w:r>
        <w:t xml:space="preserve">Lamontagne, S., Carvalho, M., </w:t>
      </w:r>
      <w:proofErr w:type="spellStart"/>
      <w:r>
        <w:t>Frejinger</w:t>
      </w:r>
      <w:proofErr w:type="spellEnd"/>
      <w:r>
        <w:t xml:space="preserve">, E., Gendron, B., Anjos, M. F., &amp; Atallah, R. (2023). </w:t>
      </w:r>
      <w:proofErr w:type="spellStart"/>
      <w:r>
        <w:t>Optimising</w:t>
      </w:r>
      <w:proofErr w:type="spellEnd"/>
      <w:r>
        <w:t xml:space="preserve"> electric vehicle charging station placement using advanced discrete choice models. </w:t>
      </w:r>
      <w:r>
        <w:rPr>
          <w:i/>
          <w:iCs/>
        </w:rPr>
        <w:t>INFORMS Journal on Computing</w:t>
      </w:r>
      <w:r>
        <w:t xml:space="preserve">, </w:t>
      </w:r>
      <w:r>
        <w:rPr>
          <w:i/>
          <w:iCs/>
        </w:rPr>
        <w:t>35</w:t>
      </w:r>
      <w:r>
        <w:t xml:space="preserve">(5), 1195–1213. </w:t>
      </w:r>
      <w:r w:rsidRPr="00100D2A">
        <w:rPr>
          <w:rStyle w:val="url"/>
          <w:u w:val="single"/>
        </w:rPr>
        <w:t>https://doi.org/10.1287/ijoc.2022.0185</w:t>
      </w:r>
    </w:p>
    <w:p w14:paraId="5566C80B" w14:textId="77777777" w:rsidR="00100D2A" w:rsidRDefault="00100D2A" w:rsidP="00D24308">
      <w:pPr>
        <w:pStyle w:val="NormalWeb"/>
        <w:spacing w:before="0" w:beforeAutospacing="0" w:after="0" w:afterAutospacing="0" w:line="480" w:lineRule="auto"/>
        <w:ind w:left="720" w:hanging="720"/>
      </w:pPr>
    </w:p>
    <w:p w14:paraId="3FB416BF" w14:textId="4DE59C8F" w:rsidR="00100D2A" w:rsidRDefault="00100D2A" w:rsidP="00D24308">
      <w:pPr>
        <w:pStyle w:val="NormalWeb"/>
        <w:spacing w:before="0" w:beforeAutospacing="0" w:after="0" w:afterAutospacing="0" w:line="480" w:lineRule="auto"/>
        <w:ind w:left="720" w:hanging="720"/>
      </w:pPr>
      <w:r w:rsidRPr="00100D2A">
        <w:lastRenderedPageBreak/>
        <w:t xml:space="preserve">Leard, B., Linn, J., &amp; Zhou, Y. C. (2023). How Much Do Consumers Value Fuel Economy and Performance? Evidence from Technology Adoption. </w:t>
      </w:r>
      <w:r w:rsidRPr="00100D2A">
        <w:rPr>
          <w:i/>
          <w:iCs/>
        </w:rPr>
        <w:t>Review of Economics and Statistics</w:t>
      </w:r>
      <w:r w:rsidRPr="00100D2A">
        <w:t xml:space="preserve">, 105(1), 158–174. </w:t>
      </w:r>
      <w:r w:rsidRPr="00100D2A">
        <w:rPr>
          <w:u w:val="single"/>
        </w:rPr>
        <w:t>https://doi.org/10.1162/rest_a_01045</w:t>
      </w:r>
    </w:p>
    <w:p w14:paraId="05A587E4" w14:textId="77777777" w:rsidR="00100D2A" w:rsidRDefault="00100D2A" w:rsidP="00D24308">
      <w:pPr>
        <w:pStyle w:val="NormalWeb"/>
        <w:spacing w:before="0" w:beforeAutospacing="0" w:after="0" w:afterAutospacing="0" w:line="480" w:lineRule="auto"/>
        <w:ind w:left="720" w:hanging="720"/>
      </w:pPr>
    </w:p>
    <w:p w14:paraId="087F8861" w14:textId="5BC33525" w:rsidR="00A63663" w:rsidRDefault="00A63663" w:rsidP="00D24308">
      <w:pPr>
        <w:pStyle w:val="NormalWeb"/>
        <w:spacing w:before="0" w:beforeAutospacing="0" w:after="0" w:afterAutospacing="0" w:line="480" w:lineRule="auto"/>
        <w:ind w:left="720" w:hanging="720"/>
        <w:rPr>
          <w:rStyle w:val="url"/>
          <w:u w:val="single"/>
        </w:rPr>
      </w:pPr>
      <w:r>
        <w:t xml:space="preserve">Ledna, C., Muratori, M., Brooker, A., Wood, E., &amp; Greene, D. L. (2022). How to support EV adoption: Tradeoffs between charging infrastructure investments and vehicle subsidies in California. </w:t>
      </w:r>
      <w:r>
        <w:rPr>
          <w:i/>
          <w:iCs/>
        </w:rPr>
        <w:t>Energy Policy</w:t>
      </w:r>
      <w:r>
        <w:t xml:space="preserve">, </w:t>
      </w:r>
      <w:r>
        <w:rPr>
          <w:i/>
          <w:iCs/>
        </w:rPr>
        <w:t>165</w:t>
      </w:r>
      <w:r>
        <w:t xml:space="preserve">, 112931. </w:t>
      </w:r>
      <w:hyperlink r:id="rId22" w:history="1">
        <w:r w:rsidR="00D24308" w:rsidRPr="00D24308">
          <w:rPr>
            <w:rStyle w:val="Hyperlink"/>
            <w:rFonts w:ascii="Times New Roman" w:hAnsi="Times New Roman"/>
            <w:u w:val="single"/>
          </w:rPr>
          <w:t>https://doi.org/10.1016/j.enpol.2022.112931</w:t>
        </w:r>
      </w:hyperlink>
    </w:p>
    <w:p w14:paraId="5C1A72D0" w14:textId="77777777" w:rsidR="00D24308" w:rsidRDefault="00D24308" w:rsidP="00D24308">
      <w:pPr>
        <w:pStyle w:val="NormalWeb"/>
        <w:spacing w:before="0" w:beforeAutospacing="0" w:after="0" w:afterAutospacing="0" w:line="480" w:lineRule="auto"/>
        <w:ind w:left="720" w:hanging="720"/>
      </w:pPr>
    </w:p>
    <w:p w14:paraId="68AAC139" w14:textId="27587B51" w:rsidR="001F77B3" w:rsidRDefault="002A7821" w:rsidP="00D24308">
      <w:pPr>
        <w:spacing w:line="480" w:lineRule="auto"/>
        <w:rPr>
          <w:rFonts w:ascii="Times New Roman" w:hAnsi="Times New Roman" w:cs="Times New Roman"/>
        </w:rPr>
      </w:pPr>
      <w:r w:rsidRPr="002A7821">
        <w:rPr>
          <w:rFonts w:ascii="Times New Roman" w:hAnsi="Times New Roman" w:cs="Times New Roman"/>
        </w:rPr>
        <w:t>Micari, S., Polimeni, A., Napoli, G., Andaloro, L., &amp; Antonucci, V.(2017). Electric</w:t>
      </w:r>
    </w:p>
    <w:p w14:paraId="4604C3FA" w14:textId="60EDF7C6" w:rsidR="002A7821" w:rsidRDefault="002A7821" w:rsidP="00D24308">
      <w:pPr>
        <w:spacing w:line="480" w:lineRule="auto"/>
        <w:ind w:left="840"/>
        <w:rPr>
          <w:rFonts w:ascii="Times New Roman" w:hAnsi="Times New Roman" w:cs="Times New Roman"/>
          <w:u w:val="single"/>
        </w:rPr>
      </w:pPr>
      <w:r w:rsidRPr="002A7821">
        <w:rPr>
          <w:rFonts w:ascii="Times New Roman" w:hAnsi="Times New Roman" w:cs="Times New Roman"/>
        </w:rPr>
        <w:t>vehicle charging infrastructure planning in a road network.</w:t>
      </w:r>
      <w:r w:rsidR="00DE55D6">
        <w:rPr>
          <w:rFonts w:ascii="Times New Roman" w:hAnsi="Times New Roman" w:cs="Times New Roman"/>
        </w:rPr>
        <w:t xml:space="preserve"> </w:t>
      </w:r>
      <w:r w:rsidRPr="002A7821">
        <w:rPr>
          <w:rFonts w:ascii="Times New Roman" w:hAnsi="Times New Roman" w:cs="Times New Roman"/>
          <w:i/>
          <w:iCs/>
        </w:rPr>
        <w:t>Renewable &amp; Sustainable Energy Reviews</w:t>
      </w:r>
      <w:r w:rsidRPr="002A7821">
        <w:rPr>
          <w:rFonts w:ascii="Times New Roman" w:hAnsi="Times New Roman" w:cs="Times New Roman"/>
        </w:rPr>
        <w:t>,</w:t>
      </w:r>
      <w:r w:rsidRPr="002A7821">
        <w:rPr>
          <w:rFonts w:ascii="Times New Roman" w:hAnsi="Times New Roman" w:cs="Times New Roman"/>
          <w:i/>
          <w:iCs/>
        </w:rPr>
        <w:t>80</w:t>
      </w:r>
      <w:r w:rsidRPr="002A7821">
        <w:rPr>
          <w:rFonts w:ascii="Times New Roman" w:hAnsi="Times New Roman" w:cs="Times New Roman"/>
        </w:rPr>
        <w:t>, 98–108</w:t>
      </w:r>
      <w:r w:rsidR="00DE55D6">
        <w:rPr>
          <w:rFonts w:ascii="Times New Roman" w:hAnsi="Times New Roman" w:cs="Times New Roman"/>
        </w:rPr>
        <w:t xml:space="preserve">. </w:t>
      </w:r>
      <w:hyperlink r:id="rId23" w:history="1">
        <w:r w:rsidR="005C0C6A" w:rsidRPr="002A7821">
          <w:rPr>
            <w:rStyle w:val="Hyperlink"/>
            <w:rFonts w:ascii="Times New Roman" w:hAnsi="Times New Roman" w:cs="Times New Roman"/>
            <w:u w:val="single"/>
          </w:rPr>
          <w:t>https://doi.org/10.1016/j.rser.2017.05.022</w:t>
        </w:r>
      </w:hyperlink>
    </w:p>
    <w:p w14:paraId="494BC630" w14:textId="77777777" w:rsidR="00E031EC" w:rsidRDefault="00E031EC" w:rsidP="00D24308">
      <w:pPr>
        <w:spacing w:line="480" w:lineRule="auto"/>
        <w:ind w:left="840"/>
        <w:rPr>
          <w:rFonts w:ascii="Times New Roman" w:hAnsi="Times New Roman" w:cs="Times New Roman"/>
          <w:u w:val="single"/>
        </w:rPr>
      </w:pPr>
    </w:p>
    <w:p w14:paraId="0D594808" w14:textId="3922F793" w:rsidR="00E031EC" w:rsidRDefault="00E031EC" w:rsidP="00D24308">
      <w:pPr>
        <w:pStyle w:val="NormalWeb"/>
        <w:spacing w:before="0" w:beforeAutospacing="0" w:after="0" w:afterAutospacing="0" w:line="480" w:lineRule="auto"/>
        <w:ind w:left="720" w:hanging="720"/>
      </w:pPr>
      <w:proofErr w:type="spellStart"/>
      <w:r>
        <w:t>Muehlegger</w:t>
      </w:r>
      <w:proofErr w:type="spellEnd"/>
      <w:r>
        <w:t xml:space="preserve">, E., &amp; Rapson, D. (2020). </w:t>
      </w:r>
      <w:r w:rsidRPr="00E031EC">
        <w:t>Correcting estimates of electric vehicle emissions abatement: Implications for climate policy</w:t>
      </w:r>
      <w:r>
        <w:t xml:space="preserve">. </w:t>
      </w:r>
      <w:r>
        <w:rPr>
          <w:i/>
          <w:iCs/>
        </w:rPr>
        <w:t xml:space="preserve">National Bureau of Economic Research, </w:t>
      </w:r>
      <w:r>
        <w:t xml:space="preserve">2-27. </w:t>
      </w:r>
      <w:r w:rsidRPr="00E031EC">
        <w:rPr>
          <w:rStyle w:val="url"/>
          <w:u w:val="single"/>
        </w:rPr>
        <w:t>https://doi.org/10.3386/w27197</w:t>
      </w:r>
    </w:p>
    <w:p w14:paraId="2A28CF1E" w14:textId="77777777" w:rsidR="005C0C6A" w:rsidRPr="002A7821" w:rsidRDefault="005C0C6A" w:rsidP="00D24308">
      <w:pPr>
        <w:spacing w:line="480" w:lineRule="auto"/>
        <w:rPr>
          <w:rFonts w:ascii="Times New Roman" w:hAnsi="Times New Roman" w:cs="Times New Roman"/>
        </w:rPr>
      </w:pPr>
    </w:p>
    <w:p w14:paraId="04C1BFFB" w14:textId="70874857" w:rsidR="005C0C6A" w:rsidRDefault="005C0C6A" w:rsidP="00D24308">
      <w:pPr>
        <w:pStyle w:val="NormalWeb"/>
        <w:spacing w:before="0" w:beforeAutospacing="0" w:after="0" w:afterAutospacing="0" w:line="480" w:lineRule="auto"/>
        <w:ind w:left="720" w:hanging="720"/>
        <w:rPr>
          <w:rStyle w:val="url"/>
          <w:u w:val="single"/>
        </w:rPr>
      </w:pPr>
      <w:r>
        <w:t xml:space="preserve">Pagani, M., Korosec, W., </w:t>
      </w:r>
      <w:proofErr w:type="spellStart"/>
      <w:r>
        <w:t>Chokani</w:t>
      </w:r>
      <w:proofErr w:type="spellEnd"/>
      <w:r>
        <w:t xml:space="preserve">, N., &amp; Abhari, R. S. (2019). User </w:t>
      </w:r>
      <w:proofErr w:type="spellStart"/>
      <w:r>
        <w:t>behaviour</w:t>
      </w:r>
      <w:proofErr w:type="spellEnd"/>
      <w:r>
        <w:t xml:space="preserve"> and electric vehicle charging infrastructure: An agent-based model assessment. </w:t>
      </w:r>
      <w:r>
        <w:rPr>
          <w:i/>
          <w:iCs/>
        </w:rPr>
        <w:t>Applied Energy</w:t>
      </w:r>
      <w:r>
        <w:t xml:space="preserve">, </w:t>
      </w:r>
      <w:r>
        <w:rPr>
          <w:i/>
          <w:iCs/>
        </w:rPr>
        <w:t>254</w:t>
      </w:r>
      <w:r>
        <w:t xml:space="preserve">. </w:t>
      </w:r>
      <w:hyperlink r:id="rId24" w:history="1">
        <w:r w:rsidR="001C263C" w:rsidRPr="00D24308">
          <w:rPr>
            <w:rStyle w:val="Hyperlink"/>
            <w:rFonts w:ascii="Times New Roman" w:hAnsi="Times New Roman"/>
            <w:u w:val="single"/>
          </w:rPr>
          <w:t>https://doi.org/10.1016/j.apenergy.2019.113680</w:t>
        </w:r>
      </w:hyperlink>
    </w:p>
    <w:p w14:paraId="74E46AE3" w14:textId="77777777" w:rsidR="00127B29" w:rsidRDefault="00127B29" w:rsidP="00D24308">
      <w:pPr>
        <w:pStyle w:val="NormalWeb"/>
        <w:spacing w:before="0" w:beforeAutospacing="0" w:after="0" w:afterAutospacing="0" w:line="480" w:lineRule="auto"/>
        <w:ind w:left="720" w:hanging="720"/>
        <w:rPr>
          <w:rStyle w:val="url"/>
          <w:u w:val="single"/>
        </w:rPr>
      </w:pPr>
    </w:p>
    <w:p w14:paraId="4C2BD21B" w14:textId="77777777" w:rsidR="00127B29" w:rsidRDefault="00127B29" w:rsidP="00D24308">
      <w:pPr>
        <w:pStyle w:val="NormalWeb"/>
        <w:spacing w:before="0" w:beforeAutospacing="0" w:after="0" w:afterAutospacing="0" w:line="480" w:lineRule="auto"/>
        <w:ind w:left="720" w:hanging="720"/>
      </w:pPr>
      <w:r>
        <w:lastRenderedPageBreak/>
        <w:t xml:space="preserve">Shi, L., Huang, Y., </w:t>
      </w:r>
      <w:proofErr w:type="spellStart"/>
      <w:r>
        <w:t>Lv</w:t>
      </w:r>
      <w:proofErr w:type="spellEnd"/>
      <w:r>
        <w:t xml:space="preserve">, S., </w:t>
      </w:r>
      <w:proofErr w:type="spellStart"/>
      <w:r>
        <w:t>Cipcigan</w:t>
      </w:r>
      <w:proofErr w:type="spellEnd"/>
      <w:r>
        <w:t xml:space="preserve">, L., &amp; Liang, J. (2021). A comprehensive charging network planning scheme for promoting EV charging infrastructure considering the Chicken-Eggs dilemma. </w:t>
      </w:r>
      <w:r>
        <w:rPr>
          <w:i/>
          <w:iCs/>
        </w:rPr>
        <w:t>Research in Transportation Economics</w:t>
      </w:r>
      <w:r>
        <w:t xml:space="preserve">, </w:t>
      </w:r>
      <w:r>
        <w:rPr>
          <w:i/>
          <w:iCs/>
        </w:rPr>
        <w:t>88</w:t>
      </w:r>
      <w:r>
        <w:t xml:space="preserve">, 100837. </w:t>
      </w:r>
      <w:r w:rsidRPr="00127B29">
        <w:rPr>
          <w:rStyle w:val="url"/>
          <w:u w:val="single"/>
        </w:rPr>
        <w:t>https://doi.org/10.1016/j.retrec.2020.100837</w:t>
      </w:r>
    </w:p>
    <w:p w14:paraId="5A01628D" w14:textId="77777777" w:rsidR="002362CD" w:rsidRDefault="002362CD" w:rsidP="00D24308">
      <w:pPr>
        <w:pStyle w:val="NormalWeb"/>
        <w:spacing w:before="0" w:beforeAutospacing="0" w:after="0" w:afterAutospacing="0" w:line="480" w:lineRule="auto"/>
        <w:rPr>
          <w:rStyle w:val="url"/>
          <w:u w:val="single"/>
        </w:rPr>
      </w:pPr>
    </w:p>
    <w:p w14:paraId="501C385B" w14:textId="168D7CE2" w:rsidR="002362CD" w:rsidRDefault="002362CD" w:rsidP="00D24308">
      <w:pPr>
        <w:pStyle w:val="NormalWeb"/>
        <w:spacing w:before="0" w:beforeAutospacing="0" w:after="0" w:afterAutospacing="0" w:line="480" w:lineRule="auto"/>
        <w:ind w:left="720" w:hanging="720"/>
        <w:rPr>
          <w:rStyle w:val="url"/>
          <w:u w:val="single"/>
        </w:rPr>
      </w:pPr>
      <w:proofErr w:type="spellStart"/>
      <w:r>
        <w:t>Sierzchula</w:t>
      </w:r>
      <w:proofErr w:type="spellEnd"/>
      <w:r>
        <w:t xml:space="preserve">, W., Bakker, S., Maat, K., &amp; Van Wee, B. (2014). The influence of financial incentives and other socio-economic factors on electric vehicle adoption. </w:t>
      </w:r>
      <w:r>
        <w:rPr>
          <w:i/>
          <w:iCs/>
        </w:rPr>
        <w:t>Energy Policy</w:t>
      </w:r>
      <w:r>
        <w:t xml:space="preserve">, </w:t>
      </w:r>
      <w:r>
        <w:rPr>
          <w:i/>
          <w:iCs/>
        </w:rPr>
        <w:t>68</w:t>
      </w:r>
      <w:r>
        <w:t xml:space="preserve">, 183–194. </w:t>
      </w:r>
      <w:hyperlink r:id="rId25" w:history="1">
        <w:r w:rsidR="00A63663" w:rsidRPr="00E345CF">
          <w:rPr>
            <w:rStyle w:val="Hyperlink"/>
            <w:rFonts w:ascii="Times New Roman" w:hAnsi="Times New Roman"/>
          </w:rPr>
          <w:t>https://doi.org/10.1016/j.enpol.2014.01.043</w:t>
        </w:r>
      </w:hyperlink>
    </w:p>
    <w:p w14:paraId="05E3D24B" w14:textId="77777777" w:rsidR="00A63663" w:rsidRDefault="00A63663" w:rsidP="00D24308">
      <w:pPr>
        <w:pStyle w:val="NormalWeb"/>
        <w:spacing w:before="0" w:beforeAutospacing="0" w:after="0" w:afterAutospacing="0" w:line="480" w:lineRule="auto"/>
        <w:ind w:left="720" w:hanging="720"/>
        <w:rPr>
          <w:rStyle w:val="url"/>
          <w:u w:val="single"/>
        </w:rPr>
      </w:pPr>
    </w:p>
    <w:p w14:paraId="385C5631" w14:textId="5AE3963C" w:rsidR="001C263C" w:rsidRPr="00D24308" w:rsidRDefault="00A63663" w:rsidP="00D24308">
      <w:pPr>
        <w:pStyle w:val="NormalWeb"/>
        <w:spacing w:before="0" w:beforeAutospacing="0" w:after="0" w:afterAutospacing="0" w:line="480" w:lineRule="auto"/>
        <w:ind w:left="720" w:hanging="720"/>
        <w:rPr>
          <w:u w:val="single"/>
        </w:rPr>
      </w:pPr>
      <w:r>
        <w:t xml:space="preserve">Sonar, H., Belal, H. M., </w:t>
      </w:r>
      <w:proofErr w:type="spellStart"/>
      <w:r>
        <w:t>Foropon</w:t>
      </w:r>
      <w:proofErr w:type="spellEnd"/>
      <w:r>
        <w:t xml:space="preserve">, C., </w:t>
      </w:r>
      <w:proofErr w:type="spellStart"/>
      <w:r>
        <w:t>Manatkar</w:t>
      </w:r>
      <w:proofErr w:type="spellEnd"/>
      <w:r>
        <w:t xml:space="preserve">, R., &amp; </w:t>
      </w:r>
      <w:proofErr w:type="spellStart"/>
      <w:r>
        <w:t>Sonwaney</w:t>
      </w:r>
      <w:proofErr w:type="spellEnd"/>
      <w:r>
        <w:t xml:space="preserve">, V. (2023). Examining the causal factors of the electric vehicle adoption: a pathway to tackle climate change in resource-constrained environment. </w:t>
      </w:r>
      <w:r>
        <w:rPr>
          <w:i/>
          <w:iCs/>
        </w:rPr>
        <w:t>Annals of Operation Research/Annals of Operations Research</w:t>
      </w:r>
      <w:r>
        <w:t>.</w:t>
      </w:r>
      <w:r w:rsidRPr="00A63663">
        <w:rPr>
          <w:u w:val="single"/>
        </w:rPr>
        <w:t xml:space="preserve"> </w:t>
      </w:r>
      <w:hyperlink r:id="rId26" w:history="1">
        <w:r w:rsidR="00100D2A" w:rsidRPr="00D24308">
          <w:rPr>
            <w:rStyle w:val="Hyperlink"/>
            <w:rFonts w:ascii="Times New Roman" w:hAnsi="Times New Roman"/>
            <w:u w:val="single"/>
          </w:rPr>
          <w:t>https://doi.org/10.1007/s10479-023-05519-8</w:t>
        </w:r>
      </w:hyperlink>
    </w:p>
    <w:p w14:paraId="7EC28767" w14:textId="77777777" w:rsidR="00100D2A" w:rsidRDefault="00100D2A" w:rsidP="00D24308">
      <w:pPr>
        <w:pStyle w:val="NormalWeb"/>
        <w:spacing w:before="0" w:beforeAutospacing="0" w:after="0" w:afterAutospacing="0" w:line="480" w:lineRule="auto"/>
        <w:ind w:left="720" w:hanging="720"/>
      </w:pPr>
    </w:p>
    <w:p w14:paraId="6CCB096E" w14:textId="7631C8EA" w:rsidR="00D33AA1" w:rsidRDefault="00D33AA1" w:rsidP="00D24308">
      <w:pPr>
        <w:pStyle w:val="NormalWeb"/>
        <w:spacing w:before="0" w:beforeAutospacing="0" w:after="0" w:afterAutospacing="0" w:line="480" w:lineRule="auto"/>
        <w:ind w:left="720" w:hanging="720"/>
        <w:rPr>
          <w:rStyle w:val="url"/>
          <w:u w:val="single"/>
        </w:rPr>
      </w:pPr>
      <w:proofErr w:type="spellStart"/>
      <w:r>
        <w:t>Springel</w:t>
      </w:r>
      <w:proofErr w:type="spellEnd"/>
      <w:r>
        <w:t xml:space="preserve">, K. (2021). Network Externality and Subsidy Structure in Two-Sided Markets: Evidence from Electric Vehicle Incentives. </w:t>
      </w:r>
      <w:r>
        <w:rPr>
          <w:i/>
          <w:iCs/>
        </w:rPr>
        <w:t>American Economic Journal. Economic Policy</w:t>
      </w:r>
      <w:r>
        <w:t xml:space="preserve">, </w:t>
      </w:r>
      <w:r>
        <w:rPr>
          <w:i/>
          <w:iCs/>
        </w:rPr>
        <w:t>13</w:t>
      </w:r>
      <w:r>
        <w:t xml:space="preserve">(4), 393–432. </w:t>
      </w:r>
      <w:hyperlink r:id="rId27" w:history="1">
        <w:r w:rsidR="00997897" w:rsidRPr="00D24308">
          <w:rPr>
            <w:rStyle w:val="Hyperlink"/>
            <w:rFonts w:ascii="Times New Roman" w:hAnsi="Times New Roman"/>
            <w:u w:val="single"/>
          </w:rPr>
          <w:t>https://doi.org/10.1257/pol.20190131</w:t>
        </w:r>
      </w:hyperlink>
    </w:p>
    <w:p w14:paraId="5EB57C3D" w14:textId="77777777" w:rsidR="00997897" w:rsidRDefault="00997897" w:rsidP="00D24308">
      <w:pPr>
        <w:pStyle w:val="NormalWeb"/>
        <w:spacing w:before="0" w:beforeAutospacing="0" w:after="0" w:afterAutospacing="0" w:line="480" w:lineRule="auto"/>
        <w:ind w:left="720" w:hanging="720"/>
        <w:rPr>
          <w:rStyle w:val="url"/>
          <w:u w:val="single"/>
        </w:rPr>
      </w:pPr>
    </w:p>
    <w:p w14:paraId="3D0F4116" w14:textId="77777777" w:rsidR="00A63663" w:rsidRDefault="00A63663" w:rsidP="00D24308">
      <w:pPr>
        <w:pStyle w:val="NormalWeb"/>
        <w:spacing w:before="0" w:beforeAutospacing="0" w:after="0" w:afterAutospacing="0" w:line="480" w:lineRule="auto"/>
        <w:ind w:left="720" w:hanging="720"/>
      </w:pPr>
      <w:r>
        <w:t xml:space="preserve">Tucker, N., Cezar, G., &amp; Alizadeh, M. (2022). Real-Time electric vehicle smart charging at workplaces: A Real-World case study. </w:t>
      </w:r>
      <w:r>
        <w:rPr>
          <w:i/>
          <w:iCs/>
        </w:rPr>
        <w:t xml:space="preserve">2022 IEEE Power &amp;Amp; Energy </w:t>
      </w:r>
      <w:r>
        <w:rPr>
          <w:i/>
          <w:iCs/>
        </w:rPr>
        <w:lastRenderedPageBreak/>
        <w:t>Society General Meeting (PESGM)</w:t>
      </w:r>
      <w:r>
        <w:t xml:space="preserve">. </w:t>
      </w:r>
      <w:r w:rsidRPr="00A63663">
        <w:rPr>
          <w:rStyle w:val="url"/>
          <w:u w:val="single"/>
        </w:rPr>
        <w:t>https://doi.org/10.1109/pesgm48719.2022.9917194</w:t>
      </w:r>
    </w:p>
    <w:p w14:paraId="24945E8D" w14:textId="77777777" w:rsidR="00A63663" w:rsidRDefault="00A63663" w:rsidP="00D24308">
      <w:pPr>
        <w:pStyle w:val="NormalWeb"/>
        <w:spacing w:before="0" w:beforeAutospacing="0" w:after="0" w:afterAutospacing="0" w:line="480" w:lineRule="auto"/>
        <w:ind w:left="720" w:hanging="720"/>
        <w:rPr>
          <w:rStyle w:val="url"/>
          <w:u w:val="single"/>
        </w:rPr>
      </w:pPr>
    </w:p>
    <w:p w14:paraId="1989918B" w14:textId="42CC41FD" w:rsidR="00997897" w:rsidRDefault="00997897" w:rsidP="00D24308">
      <w:pPr>
        <w:pStyle w:val="NormalWeb"/>
        <w:spacing w:before="0" w:beforeAutospacing="0" w:after="0" w:afterAutospacing="0" w:line="480" w:lineRule="auto"/>
        <w:ind w:left="720" w:hanging="720"/>
      </w:pPr>
      <w:r>
        <w:t xml:space="preserve">Wei, W., Ramakrishnan, S., Needell, Z., &amp; </w:t>
      </w:r>
      <w:proofErr w:type="spellStart"/>
      <w:r>
        <w:t>Trancik</w:t>
      </w:r>
      <w:proofErr w:type="spellEnd"/>
      <w:r>
        <w:t xml:space="preserve">, J. E. (2021). Personal vehicle electrification and charging solutions for high-energy days. </w:t>
      </w:r>
      <w:r>
        <w:rPr>
          <w:i/>
          <w:iCs/>
        </w:rPr>
        <w:t>Nature Energy</w:t>
      </w:r>
      <w:r>
        <w:t xml:space="preserve">, </w:t>
      </w:r>
      <w:r>
        <w:rPr>
          <w:i/>
          <w:iCs/>
        </w:rPr>
        <w:t>6</w:t>
      </w:r>
      <w:r>
        <w:t xml:space="preserve">(1), 105–114. </w:t>
      </w:r>
      <w:r w:rsidRPr="00997897">
        <w:rPr>
          <w:rStyle w:val="url"/>
          <w:u w:val="single"/>
        </w:rPr>
        <w:t>https://doi.org/10.1038/s41560-020-00752-y</w:t>
      </w:r>
    </w:p>
    <w:p w14:paraId="5C23A6BB" w14:textId="77777777" w:rsidR="00D33AA1" w:rsidRDefault="00D33AA1" w:rsidP="00D24308">
      <w:pPr>
        <w:pStyle w:val="NormalWeb"/>
        <w:spacing w:before="0" w:beforeAutospacing="0" w:after="0" w:afterAutospacing="0" w:line="480" w:lineRule="auto"/>
        <w:ind w:left="720" w:hanging="720"/>
      </w:pPr>
    </w:p>
    <w:p w14:paraId="0CD71D41" w14:textId="136B4392" w:rsidR="00A63663" w:rsidRDefault="00A63663" w:rsidP="00D24308">
      <w:pPr>
        <w:pStyle w:val="NormalWeb"/>
        <w:spacing w:before="0" w:beforeAutospacing="0" w:after="0" w:afterAutospacing="0" w:line="480" w:lineRule="auto"/>
        <w:ind w:left="720" w:hanging="720"/>
      </w:pPr>
      <w:r>
        <w:t xml:space="preserve">Xing, J. T., Leard, B., &amp; Li, S. (2021). What does an electric vehicle replace? </w:t>
      </w:r>
      <w:r>
        <w:rPr>
          <w:i/>
          <w:iCs/>
        </w:rPr>
        <w:t>Journal of Environmental Economics and Management</w:t>
      </w:r>
      <w:r>
        <w:t xml:space="preserve">, </w:t>
      </w:r>
      <w:r>
        <w:rPr>
          <w:i/>
          <w:iCs/>
        </w:rPr>
        <w:t>107</w:t>
      </w:r>
      <w:r>
        <w:t xml:space="preserve">, 102432. </w:t>
      </w:r>
      <w:r w:rsidRPr="00D24308">
        <w:rPr>
          <w:rStyle w:val="url"/>
          <w:u w:val="single"/>
        </w:rPr>
        <w:t>https://doi.org/10.1016/j.jeem.2021.102432</w:t>
      </w:r>
    </w:p>
    <w:p w14:paraId="0B71391C" w14:textId="77777777" w:rsidR="00A63663" w:rsidRDefault="00A63663" w:rsidP="00D24308">
      <w:pPr>
        <w:pStyle w:val="NormalWeb"/>
        <w:spacing w:before="0" w:beforeAutospacing="0" w:after="0" w:afterAutospacing="0" w:line="480" w:lineRule="auto"/>
        <w:ind w:left="720" w:hanging="720"/>
      </w:pPr>
    </w:p>
    <w:p w14:paraId="7D6720F6" w14:textId="379CE10B" w:rsidR="00100D2A" w:rsidRDefault="001C263C" w:rsidP="00D24308">
      <w:pPr>
        <w:pStyle w:val="NormalWeb"/>
        <w:spacing w:before="0" w:beforeAutospacing="0" w:after="0" w:afterAutospacing="0" w:line="480" w:lineRule="auto"/>
        <w:ind w:left="720" w:hanging="720"/>
        <w:rPr>
          <w:rStyle w:val="url"/>
          <w:u w:val="single"/>
        </w:rPr>
      </w:pPr>
      <w:r>
        <w:t xml:space="preserve">Zou, T., </w:t>
      </w:r>
      <w:proofErr w:type="spellStart"/>
      <w:r>
        <w:t>Khaloei</w:t>
      </w:r>
      <w:proofErr w:type="spellEnd"/>
      <w:r>
        <w:t xml:space="preserve">, M., &amp; </w:t>
      </w:r>
      <w:proofErr w:type="spellStart"/>
      <w:r>
        <w:t>MacKenzie</w:t>
      </w:r>
      <w:proofErr w:type="spellEnd"/>
      <w:r>
        <w:t xml:space="preserve">, D. (2020). Effects of charging infrastructure characteristics on electric vehicle preferences of new and used car buyers in the United States. </w:t>
      </w:r>
      <w:r>
        <w:rPr>
          <w:i/>
          <w:iCs/>
        </w:rPr>
        <w:t>Transportation Research Record</w:t>
      </w:r>
      <w:r>
        <w:t xml:space="preserve">, </w:t>
      </w:r>
      <w:r>
        <w:rPr>
          <w:i/>
          <w:iCs/>
        </w:rPr>
        <w:t>2674</w:t>
      </w:r>
      <w:r>
        <w:t xml:space="preserve">(12), 165–175. </w:t>
      </w:r>
      <w:hyperlink r:id="rId28" w:history="1">
        <w:r w:rsidR="00100D2A" w:rsidRPr="00D24308">
          <w:rPr>
            <w:rStyle w:val="Hyperlink"/>
            <w:rFonts w:ascii="Times New Roman" w:hAnsi="Times New Roman"/>
            <w:u w:val="single"/>
          </w:rPr>
          <w:t>https://doi.org/10.1177/0361198120952792</w:t>
        </w:r>
      </w:hyperlink>
      <w:bookmarkStart w:id="55" w:name="_Toc420995912"/>
      <w:bookmarkStart w:id="56" w:name="_Toc422997499"/>
    </w:p>
    <w:p w14:paraId="6A99273D" w14:textId="77777777" w:rsidR="00100D2A" w:rsidRDefault="00100D2A" w:rsidP="00D24308">
      <w:pPr>
        <w:pStyle w:val="NormalWeb"/>
        <w:spacing w:before="0" w:beforeAutospacing="0" w:after="0" w:afterAutospacing="0" w:line="480" w:lineRule="auto"/>
        <w:ind w:left="720" w:hanging="720"/>
        <w:rPr>
          <w:u w:val="single"/>
        </w:rPr>
      </w:pPr>
    </w:p>
    <w:p w14:paraId="73A990F4" w14:textId="77777777" w:rsidR="00F026DD" w:rsidRDefault="00F026DD" w:rsidP="00D24308">
      <w:pPr>
        <w:pStyle w:val="NormalWeb"/>
        <w:spacing w:before="0" w:beforeAutospacing="0" w:after="0" w:afterAutospacing="0" w:line="480" w:lineRule="auto"/>
        <w:ind w:left="720" w:hanging="720"/>
        <w:rPr>
          <w:u w:val="single"/>
        </w:rPr>
      </w:pPr>
    </w:p>
    <w:p w14:paraId="3709D460" w14:textId="77777777" w:rsidR="00ED7808" w:rsidRDefault="00ED7808" w:rsidP="00D24308">
      <w:pPr>
        <w:pStyle w:val="NormalWeb"/>
        <w:spacing w:before="0" w:beforeAutospacing="0" w:after="0" w:afterAutospacing="0" w:line="480" w:lineRule="auto"/>
        <w:ind w:left="720" w:hanging="720"/>
        <w:rPr>
          <w:u w:val="single"/>
        </w:rPr>
      </w:pPr>
    </w:p>
    <w:p w14:paraId="23F6D53B" w14:textId="77777777" w:rsidR="00ED7808" w:rsidRDefault="00ED7808" w:rsidP="00D24308">
      <w:pPr>
        <w:pStyle w:val="NormalWeb"/>
        <w:spacing w:before="0" w:beforeAutospacing="0" w:after="0" w:afterAutospacing="0" w:line="480" w:lineRule="auto"/>
        <w:ind w:left="720" w:hanging="720"/>
        <w:rPr>
          <w:u w:val="single"/>
        </w:rPr>
      </w:pPr>
    </w:p>
    <w:p w14:paraId="0ADD152B" w14:textId="77777777" w:rsidR="00ED7808" w:rsidRDefault="00ED7808" w:rsidP="00D24308">
      <w:pPr>
        <w:pStyle w:val="NormalWeb"/>
        <w:spacing w:before="0" w:beforeAutospacing="0" w:after="0" w:afterAutospacing="0" w:line="480" w:lineRule="auto"/>
        <w:ind w:left="720" w:hanging="720"/>
        <w:rPr>
          <w:u w:val="single"/>
        </w:rPr>
      </w:pPr>
    </w:p>
    <w:p w14:paraId="1E3EBD88" w14:textId="77777777" w:rsidR="006710A0" w:rsidRDefault="006710A0" w:rsidP="006710A0">
      <w:pPr>
        <w:pStyle w:val="NormalWeb"/>
        <w:spacing w:before="0" w:beforeAutospacing="0" w:after="0" w:afterAutospacing="0" w:line="480" w:lineRule="auto"/>
        <w:rPr>
          <w:u w:val="single"/>
        </w:rPr>
      </w:pPr>
    </w:p>
    <w:p w14:paraId="0C7929E7" w14:textId="77777777" w:rsidR="00D24308" w:rsidRPr="00100D2A" w:rsidRDefault="00D24308" w:rsidP="006710A0">
      <w:pPr>
        <w:pStyle w:val="NormalWeb"/>
        <w:spacing w:before="0" w:beforeAutospacing="0" w:after="0" w:afterAutospacing="0" w:line="480" w:lineRule="auto"/>
        <w:rPr>
          <w:u w:val="single"/>
        </w:rPr>
      </w:pPr>
    </w:p>
    <w:p w14:paraId="329780D4" w14:textId="43D1ED44" w:rsidR="00100D2A" w:rsidRPr="0054552A" w:rsidRDefault="00236E6D" w:rsidP="00C67197">
      <w:pPr>
        <w:pStyle w:val="Heading1"/>
      </w:pPr>
      <w:bookmarkStart w:id="57" w:name="_Toc427156484"/>
      <w:bookmarkStart w:id="58" w:name="_Toc161682451"/>
      <w:bookmarkStart w:id="59" w:name="_Toc165394429"/>
      <w:bookmarkStart w:id="60" w:name="_Toc174455344"/>
      <w:r w:rsidRPr="009D2AA9">
        <w:lastRenderedPageBreak/>
        <w:t>A</w:t>
      </w:r>
      <w:r w:rsidR="00E91931" w:rsidRPr="009D2AA9">
        <w:t>ppendix</w:t>
      </w:r>
      <w:bookmarkEnd w:id="55"/>
      <w:bookmarkEnd w:id="56"/>
      <w:bookmarkEnd w:id="57"/>
      <w:bookmarkEnd w:id="58"/>
      <w:bookmarkEnd w:id="59"/>
      <w:bookmarkEnd w:id="60"/>
    </w:p>
    <w:p w14:paraId="54DD7385" w14:textId="300A719C" w:rsidR="003B110F" w:rsidRPr="00BE2389" w:rsidRDefault="001F77B3" w:rsidP="00100D2A">
      <w:pPr>
        <w:pStyle w:val="Heading2"/>
      </w:pPr>
      <w:bookmarkStart w:id="61" w:name="_Toc165394433"/>
      <w:bookmarkStart w:id="62" w:name="_Toc167481012"/>
      <w:bookmarkStart w:id="63" w:name="_Toc173410603"/>
      <w:bookmarkStart w:id="64" w:name="_Toc174454617"/>
      <w:bookmarkStart w:id="65" w:name="_Toc174455345"/>
      <w:r w:rsidRPr="00BE2389">
        <w:t xml:space="preserve">Table </w:t>
      </w:r>
      <w:bookmarkStart w:id="66" w:name="_Toc165394434"/>
      <w:bookmarkStart w:id="67" w:name="_Hlk156398897"/>
      <w:bookmarkEnd w:id="61"/>
      <w:r w:rsidR="00100D2A">
        <w:t>3</w:t>
      </w:r>
      <w:r w:rsidR="003770BF">
        <w:t>.</w:t>
      </w:r>
      <w:r w:rsidR="003B110F" w:rsidRPr="00BE2389">
        <w:t xml:space="preserve"> </w:t>
      </w:r>
      <w:r w:rsidR="003B110F">
        <w:t>Regression Results</w:t>
      </w:r>
      <w:r w:rsidR="009036F3">
        <w:t xml:space="preserve"> with</w:t>
      </w:r>
      <w:r w:rsidR="003B110F">
        <w:t xml:space="preserve"> </w:t>
      </w:r>
      <w:r w:rsidR="003B110F" w:rsidRPr="00BE2389">
        <w:t>Low Income Interaction</w:t>
      </w:r>
      <w:bookmarkEnd w:id="62"/>
      <w:bookmarkEnd w:id="63"/>
      <w:bookmarkEnd w:id="64"/>
      <w:bookmarkEnd w:id="65"/>
      <w:bookmarkEnd w:id="66"/>
    </w:p>
    <w:tbl>
      <w:tblPr>
        <w:tblW w:w="0" w:type="auto"/>
        <w:jc w:val="center"/>
        <w:tblLayout w:type="fixed"/>
        <w:tblCellMar>
          <w:left w:w="75" w:type="dxa"/>
          <w:right w:w="75" w:type="dxa"/>
        </w:tblCellMar>
        <w:tblLook w:val="04A0" w:firstRow="1" w:lastRow="0" w:firstColumn="1" w:lastColumn="0" w:noHBand="0" w:noVBand="1"/>
      </w:tblPr>
      <w:tblGrid>
        <w:gridCol w:w="3505"/>
        <w:gridCol w:w="1917"/>
        <w:gridCol w:w="1221"/>
        <w:gridCol w:w="1221"/>
        <w:gridCol w:w="1221"/>
      </w:tblGrid>
      <w:tr w:rsidR="003B110F" w14:paraId="0764516E" w14:textId="77777777" w:rsidTr="00BC0366">
        <w:trPr>
          <w:trHeight w:val="513"/>
          <w:jc w:val="center"/>
        </w:trPr>
        <w:tc>
          <w:tcPr>
            <w:tcW w:w="3505" w:type="dxa"/>
            <w:tcBorders>
              <w:top w:val="single" w:sz="4" w:space="0" w:color="auto"/>
              <w:left w:val="single" w:sz="4" w:space="0" w:color="auto"/>
              <w:bottom w:val="nil"/>
              <w:right w:val="nil"/>
            </w:tcBorders>
            <w:hideMark/>
          </w:tcPr>
          <w:bookmarkEnd w:id="67"/>
          <w:p w14:paraId="4EA58ABC" w14:textId="3F817FFA"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Dependent Variable: Household owns a</w:t>
            </w:r>
            <w:r w:rsidR="00100D2A">
              <w:rPr>
                <w:rFonts w:ascii="Times New Roman" w:hAnsi="Times New Roman" w:cs="Times New Roman"/>
              </w:rPr>
              <w:t xml:space="preserve">n </w:t>
            </w:r>
            <w:r>
              <w:rPr>
                <w:rFonts w:ascii="Times New Roman" w:hAnsi="Times New Roman" w:cs="Times New Roman"/>
              </w:rPr>
              <w:t>EV</w:t>
            </w:r>
          </w:p>
        </w:tc>
        <w:tc>
          <w:tcPr>
            <w:tcW w:w="1917" w:type="dxa"/>
            <w:tcBorders>
              <w:top w:val="single" w:sz="4" w:space="0" w:color="auto"/>
              <w:left w:val="nil"/>
              <w:bottom w:val="nil"/>
              <w:right w:val="nil"/>
            </w:tcBorders>
            <w:hideMark/>
          </w:tcPr>
          <w:p w14:paraId="3FC82AD5"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(1)</w:t>
            </w:r>
          </w:p>
        </w:tc>
        <w:tc>
          <w:tcPr>
            <w:tcW w:w="1221" w:type="dxa"/>
            <w:tcBorders>
              <w:top w:val="single" w:sz="4" w:space="0" w:color="auto"/>
              <w:left w:val="nil"/>
              <w:bottom w:val="nil"/>
              <w:right w:val="nil"/>
            </w:tcBorders>
            <w:hideMark/>
          </w:tcPr>
          <w:p w14:paraId="7D2013BA"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(2)</w:t>
            </w:r>
          </w:p>
        </w:tc>
        <w:tc>
          <w:tcPr>
            <w:tcW w:w="1221" w:type="dxa"/>
            <w:tcBorders>
              <w:top w:val="single" w:sz="4" w:space="0" w:color="auto"/>
              <w:left w:val="nil"/>
              <w:bottom w:val="nil"/>
              <w:right w:val="nil"/>
            </w:tcBorders>
            <w:hideMark/>
          </w:tcPr>
          <w:p w14:paraId="52A1CB6B"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(3)</w:t>
            </w:r>
          </w:p>
        </w:tc>
        <w:tc>
          <w:tcPr>
            <w:tcW w:w="1221" w:type="dxa"/>
            <w:tcBorders>
              <w:top w:val="single" w:sz="4" w:space="0" w:color="auto"/>
              <w:left w:val="nil"/>
              <w:bottom w:val="nil"/>
              <w:right w:val="single" w:sz="4" w:space="0" w:color="auto"/>
            </w:tcBorders>
            <w:hideMark/>
          </w:tcPr>
          <w:p w14:paraId="2405A3A9"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(4)</w:t>
            </w:r>
          </w:p>
        </w:tc>
      </w:tr>
      <w:tr w:rsidR="003B110F" w14:paraId="2BE52B56" w14:textId="77777777" w:rsidTr="00BC0366">
        <w:trPr>
          <w:trHeight w:val="256"/>
          <w:jc w:val="center"/>
        </w:trPr>
        <w:tc>
          <w:tcPr>
            <w:tcW w:w="3505" w:type="dxa"/>
            <w:tcBorders>
              <w:left w:val="single" w:sz="4" w:space="0" w:color="auto"/>
              <w:bottom w:val="single" w:sz="4" w:space="0" w:color="auto"/>
            </w:tcBorders>
          </w:tcPr>
          <w:p w14:paraId="2E94A3EE"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Borders>
              <w:bottom w:val="single" w:sz="4" w:space="0" w:color="auto"/>
            </w:tcBorders>
          </w:tcPr>
          <w:p w14:paraId="1761B96E"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Borders>
              <w:bottom w:val="single" w:sz="4" w:space="0" w:color="auto"/>
            </w:tcBorders>
          </w:tcPr>
          <w:p w14:paraId="1B136DE1"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Borders>
              <w:bottom w:val="single" w:sz="4" w:space="0" w:color="auto"/>
            </w:tcBorders>
          </w:tcPr>
          <w:p w14:paraId="536B1E10"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Borders>
              <w:bottom w:val="single" w:sz="4" w:space="0" w:color="auto"/>
              <w:right w:val="single" w:sz="4" w:space="0" w:color="auto"/>
            </w:tcBorders>
          </w:tcPr>
          <w:p w14:paraId="4F6D3709" w14:textId="77777777" w:rsidR="003B110F" w:rsidRDefault="003B110F" w:rsidP="00BC0366">
            <w:pPr>
              <w:widowControl w:val="0"/>
              <w:autoSpaceDE w:val="0"/>
              <w:autoSpaceDN w:val="0"/>
              <w:adjustRightInd w:val="0"/>
              <w:jc w:val="center"/>
              <w:rPr>
                <w:rFonts w:ascii="Times New Roman" w:hAnsi="Times New Roman" w:cs="Times New Roman"/>
              </w:rPr>
            </w:pPr>
          </w:p>
        </w:tc>
      </w:tr>
      <w:tr w:rsidR="003B110F" w14:paraId="28A9FB90" w14:textId="77777777" w:rsidTr="00BC0366">
        <w:trPr>
          <w:trHeight w:val="256"/>
          <w:jc w:val="center"/>
        </w:trPr>
        <w:tc>
          <w:tcPr>
            <w:tcW w:w="3505" w:type="dxa"/>
            <w:tcBorders>
              <w:top w:val="single" w:sz="4" w:space="0" w:color="auto"/>
              <w:left w:val="single" w:sz="4" w:space="0" w:color="auto"/>
            </w:tcBorders>
            <w:hideMark/>
          </w:tcPr>
          <w:p w14:paraId="11BC5EA2"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Home Charging</w:t>
            </w:r>
          </w:p>
        </w:tc>
        <w:tc>
          <w:tcPr>
            <w:tcW w:w="1917" w:type="dxa"/>
            <w:tcBorders>
              <w:top w:val="single" w:sz="4" w:space="0" w:color="auto"/>
            </w:tcBorders>
            <w:hideMark/>
          </w:tcPr>
          <w:p w14:paraId="02871EE8"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0.017</w:t>
            </w:r>
          </w:p>
        </w:tc>
        <w:tc>
          <w:tcPr>
            <w:tcW w:w="1221" w:type="dxa"/>
            <w:tcBorders>
              <w:top w:val="single" w:sz="4" w:space="0" w:color="auto"/>
            </w:tcBorders>
            <w:hideMark/>
          </w:tcPr>
          <w:p w14:paraId="14B96AA6"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0.023</w:t>
            </w:r>
          </w:p>
        </w:tc>
        <w:tc>
          <w:tcPr>
            <w:tcW w:w="1221" w:type="dxa"/>
            <w:tcBorders>
              <w:top w:val="single" w:sz="4" w:space="0" w:color="auto"/>
            </w:tcBorders>
            <w:hideMark/>
          </w:tcPr>
          <w:p w14:paraId="283D16E9"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0.023</w:t>
            </w:r>
          </w:p>
        </w:tc>
        <w:tc>
          <w:tcPr>
            <w:tcW w:w="1221" w:type="dxa"/>
            <w:tcBorders>
              <w:top w:val="single" w:sz="4" w:space="0" w:color="auto"/>
              <w:right w:val="single" w:sz="4" w:space="0" w:color="auto"/>
            </w:tcBorders>
            <w:hideMark/>
          </w:tcPr>
          <w:p w14:paraId="4AA4A064"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0.024</w:t>
            </w:r>
          </w:p>
        </w:tc>
      </w:tr>
      <w:tr w:rsidR="003B110F" w14:paraId="029C0DB8" w14:textId="77777777" w:rsidTr="00BC0366">
        <w:trPr>
          <w:trHeight w:val="256"/>
          <w:jc w:val="center"/>
        </w:trPr>
        <w:tc>
          <w:tcPr>
            <w:tcW w:w="3505" w:type="dxa"/>
            <w:tcBorders>
              <w:left w:val="single" w:sz="4" w:space="0" w:color="auto"/>
            </w:tcBorders>
          </w:tcPr>
          <w:p w14:paraId="1C2497FC"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hideMark/>
          </w:tcPr>
          <w:p w14:paraId="42E75BC3"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hideMark/>
          </w:tcPr>
          <w:p w14:paraId="40B8310A"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hideMark/>
          </w:tcPr>
          <w:p w14:paraId="753E275E"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tcBorders>
              <w:right w:val="single" w:sz="4" w:space="0" w:color="auto"/>
            </w:tcBorders>
            <w:hideMark/>
          </w:tcPr>
          <w:p w14:paraId="6C794013"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r>
      <w:tr w:rsidR="003B110F" w14:paraId="7916C58F" w14:textId="77777777" w:rsidTr="00BC0366">
        <w:trPr>
          <w:trHeight w:val="256"/>
          <w:jc w:val="center"/>
        </w:trPr>
        <w:tc>
          <w:tcPr>
            <w:tcW w:w="3505" w:type="dxa"/>
            <w:tcBorders>
              <w:left w:val="single" w:sz="4" w:space="0" w:color="auto"/>
            </w:tcBorders>
            <w:hideMark/>
          </w:tcPr>
          <w:p w14:paraId="37C70637"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Home Charging * Low-Income</w:t>
            </w:r>
          </w:p>
        </w:tc>
        <w:tc>
          <w:tcPr>
            <w:tcW w:w="1917" w:type="dxa"/>
          </w:tcPr>
          <w:p w14:paraId="69463290"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450EB333"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-0.019</w:t>
            </w:r>
          </w:p>
        </w:tc>
        <w:tc>
          <w:tcPr>
            <w:tcW w:w="1221" w:type="dxa"/>
            <w:hideMark/>
          </w:tcPr>
          <w:p w14:paraId="5FFD932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-0.019</w:t>
            </w:r>
          </w:p>
        </w:tc>
        <w:tc>
          <w:tcPr>
            <w:tcW w:w="1221" w:type="dxa"/>
            <w:tcBorders>
              <w:right w:val="single" w:sz="4" w:space="0" w:color="auto"/>
            </w:tcBorders>
            <w:hideMark/>
          </w:tcPr>
          <w:p w14:paraId="1E03210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-0.019</w:t>
            </w:r>
          </w:p>
        </w:tc>
      </w:tr>
      <w:tr w:rsidR="003B110F" w14:paraId="690BB94E" w14:textId="77777777" w:rsidTr="00BC0366">
        <w:trPr>
          <w:trHeight w:val="256"/>
          <w:jc w:val="center"/>
        </w:trPr>
        <w:tc>
          <w:tcPr>
            <w:tcW w:w="3505" w:type="dxa"/>
            <w:tcBorders>
              <w:left w:val="single" w:sz="4" w:space="0" w:color="auto"/>
            </w:tcBorders>
          </w:tcPr>
          <w:p w14:paraId="79A5EBBE"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6D51CE55"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76658BE3"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(0.004)</w:t>
            </w:r>
          </w:p>
        </w:tc>
        <w:tc>
          <w:tcPr>
            <w:tcW w:w="1221" w:type="dxa"/>
            <w:hideMark/>
          </w:tcPr>
          <w:p w14:paraId="30B46ACB"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(0.004)</w:t>
            </w:r>
          </w:p>
        </w:tc>
        <w:tc>
          <w:tcPr>
            <w:tcW w:w="1221" w:type="dxa"/>
            <w:tcBorders>
              <w:right w:val="single" w:sz="4" w:space="0" w:color="auto"/>
            </w:tcBorders>
            <w:hideMark/>
          </w:tcPr>
          <w:p w14:paraId="1471B3CF"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(0.004)</w:t>
            </w:r>
          </w:p>
        </w:tc>
      </w:tr>
      <w:tr w:rsidR="003B110F" w14:paraId="4B237F72" w14:textId="77777777" w:rsidTr="00BC0366">
        <w:trPr>
          <w:trHeight w:val="256"/>
          <w:jc w:val="center"/>
        </w:trPr>
        <w:tc>
          <w:tcPr>
            <w:tcW w:w="3505" w:type="dxa"/>
            <w:tcBorders>
              <w:left w:val="single" w:sz="4" w:space="0" w:color="auto"/>
            </w:tcBorders>
            <w:hideMark/>
          </w:tcPr>
          <w:p w14:paraId="01D0CC84"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Low-Income Household</w:t>
            </w:r>
          </w:p>
        </w:tc>
        <w:tc>
          <w:tcPr>
            <w:tcW w:w="1917" w:type="dxa"/>
          </w:tcPr>
          <w:p w14:paraId="42429C00"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106780C0"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hideMark/>
          </w:tcPr>
          <w:p w14:paraId="6DC2FA92"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tcBorders>
              <w:right w:val="single" w:sz="4" w:space="0" w:color="auto"/>
            </w:tcBorders>
            <w:hideMark/>
          </w:tcPr>
          <w:p w14:paraId="6C13B569"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r>
      <w:tr w:rsidR="003B110F" w14:paraId="220ADD2C" w14:textId="77777777" w:rsidTr="00BC0366">
        <w:trPr>
          <w:trHeight w:val="256"/>
          <w:jc w:val="center"/>
        </w:trPr>
        <w:tc>
          <w:tcPr>
            <w:tcW w:w="3505" w:type="dxa"/>
            <w:tcBorders>
              <w:left w:val="single" w:sz="4" w:space="0" w:color="auto"/>
            </w:tcBorders>
          </w:tcPr>
          <w:p w14:paraId="2BDD0D76"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5A5A2190"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4EC665E8"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hideMark/>
          </w:tcPr>
          <w:p w14:paraId="2C4051E5"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tcBorders>
              <w:right w:val="single" w:sz="4" w:space="0" w:color="auto"/>
            </w:tcBorders>
            <w:hideMark/>
          </w:tcPr>
          <w:p w14:paraId="3A928526"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r>
      <w:tr w:rsidR="003B110F" w14:paraId="3BB94F55" w14:textId="77777777" w:rsidTr="00BC0366">
        <w:trPr>
          <w:trHeight w:val="256"/>
          <w:jc w:val="center"/>
        </w:trPr>
        <w:tc>
          <w:tcPr>
            <w:tcW w:w="3505" w:type="dxa"/>
            <w:tcBorders>
              <w:left w:val="single" w:sz="4" w:space="0" w:color="auto"/>
            </w:tcBorders>
            <w:hideMark/>
          </w:tcPr>
          <w:p w14:paraId="15D396B6"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Employed</w:t>
            </w:r>
          </w:p>
        </w:tc>
        <w:tc>
          <w:tcPr>
            <w:tcW w:w="1917" w:type="dxa"/>
          </w:tcPr>
          <w:p w14:paraId="714980A8"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2BD9A43E"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577EB810"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0.001</w:t>
            </w:r>
          </w:p>
        </w:tc>
        <w:tc>
          <w:tcPr>
            <w:tcW w:w="1221" w:type="dxa"/>
            <w:tcBorders>
              <w:right w:val="single" w:sz="4" w:space="0" w:color="auto"/>
            </w:tcBorders>
            <w:hideMark/>
          </w:tcPr>
          <w:p w14:paraId="336819FA"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0.001</w:t>
            </w:r>
          </w:p>
        </w:tc>
      </w:tr>
      <w:tr w:rsidR="003B110F" w14:paraId="5A2C97B8" w14:textId="77777777" w:rsidTr="00BC0366">
        <w:trPr>
          <w:trHeight w:val="268"/>
          <w:jc w:val="center"/>
        </w:trPr>
        <w:tc>
          <w:tcPr>
            <w:tcW w:w="3505" w:type="dxa"/>
            <w:tcBorders>
              <w:left w:val="single" w:sz="4" w:space="0" w:color="auto"/>
            </w:tcBorders>
          </w:tcPr>
          <w:p w14:paraId="4F253C9B"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6292E025"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37ADE37A"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24FC98B6"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tcBorders>
              <w:right w:val="single" w:sz="4" w:space="0" w:color="auto"/>
            </w:tcBorders>
            <w:hideMark/>
          </w:tcPr>
          <w:p w14:paraId="097B4C59"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r>
      <w:tr w:rsidR="003B110F" w14:paraId="79819C9F" w14:textId="77777777" w:rsidTr="00BC0366">
        <w:trPr>
          <w:trHeight w:val="256"/>
          <w:jc w:val="center"/>
        </w:trPr>
        <w:tc>
          <w:tcPr>
            <w:tcW w:w="3505" w:type="dxa"/>
            <w:tcBorders>
              <w:left w:val="single" w:sz="4" w:space="0" w:color="auto"/>
            </w:tcBorders>
            <w:hideMark/>
          </w:tcPr>
          <w:p w14:paraId="7BC5602E"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Age</w:t>
            </w:r>
          </w:p>
        </w:tc>
        <w:tc>
          <w:tcPr>
            <w:tcW w:w="1917" w:type="dxa"/>
          </w:tcPr>
          <w:p w14:paraId="5E07CBF4"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6C284A98"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60C2AC31"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-0.000</w:t>
            </w:r>
          </w:p>
        </w:tc>
        <w:tc>
          <w:tcPr>
            <w:tcW w:w="1221" w:type="dxa"/>
            <w:tcBorders>
              <w:right w:val="single" w:sz="4" w:space="0" w:color="auto"/>
            </w:tcBorders>
            <w:hideMark/>
          </w:tcPr>
          <w:p w14:paraId="2754C11F"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-0.000</w:t>
            </w:r>
          </w:p>
        </w:tc>
      </w:tr>
      <w:tr w:rsidR="003B110F" w14:paraId="1150CF71" w14:textId="77777777" w:rsidTr="00BC0366">
        <w:trPr>
          <w:trHeight w:val="256"/>
          <w:jc w:val="center"/>
        </w:trPr>
        <w:tc>
          <w:tcPr>
            <w:tcW w:w="3505" w:type="dxa"/>
            <w:tcBorders>
              <w:left w:val="single" w:sz="4" w:space="0" w:color="auto"/>
            </w:tcBorders>
          </w:tcPr>
          <w:p w14:paraId="7C628235"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6A2A3498"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7030A978"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15E26346"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(0.000)</w:t>
            </w:r>
          </w:p>
        </w:tc>
        <w:tc>
          <w:tcPr>
            <w:tcW w:w="1221" w:type="dxa"/>
            <w:tcBorders>
              <w:right w:val="single" w:sz="4" w:space="0" w:color="auto"/>
            </w:tcBorders>
            <w:hideMark/>
          </w:tcPr>
          <w:p w14:paraId="29071F84"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(0.000)</w:t>
            </w:r>
          </w:p>
        </w:tc>
      </w:tr>
      <w:tr w:rsidR="003B110F" w14:paraId="31FB6420" w14:textId="77777777" w:rsidTr="00BC0366">
        <w:trPr>
          <w:trHeight w:val="256"/>
          <w:jc w:val="center"/>
        </w:trPr>
        <w:tc>
          <w:tcPr>
            <w:tcW w:w="3505" w:type="dxa"/>
            <w:tcBorders>
              <w:left w:val="single" w:sz="4" w:space="0" w:color="auto"/>
            </w:tcBorders>
            <w:hideMark/>
          </w:tcPr>
          <w:p w14:paraId="6432D646"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Male</w:t>
            </w:r>
          </w:p>
        </w:tc>
        <w:tc>
          <w:tcPr>
            <w:tcW w:w="1917" w:type="dxa"/>
          </w:tcPr>
          <w:p w14:paraId="0D532C6D"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4ADC01C7"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753D0143"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0.004</w:t>
            </w:r>
          </w:p>
        </w:tc>
        <w:tc>
          <w:tcPr>
            <w:tcW w:w="1221" w:type="dxa"/>
            <w:tcBorders>
              <w:right w:val="single" w:sz="4" w:space="0" w:color="auto"/>
            </w:tcBorders>
            <w:hideMark/>
          </w:tcPr>
          <w:p w14:paraId="40665C9A"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0.004</w:t>
            </w:r>
          </w:p>
        </w:tc>
      </w:tr>
      <w:tr w:rsidR="003B110F" w14:paraId="72A67E66" w14:textId="77777777" w:rsidTr="00BC0366">
        <w:trPr>
          <w:trHeight w:val="256"/>
          <w:jc w:val="center"/>
        </w:trPr>
        <w:tc>
          <w:tcPr>
            <w:tcW w:w="3505" w:type="dxa"/>
            <w:tcBorders>
              <w:left w:val="single" w:sz="4" w:space="0" w:color="auto"/>
            </w:tcBorders>
          </w:tcPr>
          <w:p w14:paraId="143CF3D9"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0163859B"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62094082"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17FC93B9"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tcBorders>
              <w:right w:val="single" w:sz="4" w:space="0" w:color="auto"/>
            </w:tcBorders>
            <w:hideMark/>
          </w:tcPr>
          <w:p w14:paraId="4FBBCCA4"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r>
      <w:tr w:rsidR="003B110F" w14:paraId="33573490" w14:textId="77777777" w:rsidTr="00BC0366">
        <w:trPr>
          <w:trHeight w:val="256"/>
          <w:jc w:val="center"/>
        </w:trPr>
        <w:tc>
          <w:tcPr>
            <w:tcW w:w="3505" w:type="dxa"/>
            <w:tcBorders>
              <w:left w:val="single" w:sz="4" w:space="0" w:color="auto"/>
            </w:tcBorders>
            <w:hideMark/>
          </w:tcPr>
          <w:p w14:paraId="784C128D"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White</w:t>
            </w:r>
          </w:p>
        </w:tc>
        <w:tc>
          <w:tcPr>
            <w:tcW w:w="1917" w:type="dxa"/>
          </w:tcPr>
          <w:p w14:paraId="1970A309"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112B54D5"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46622A92"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-0.010</w:t>
            </w:r>
          </w:p>
        </w:tc>
        <w:tc>
          <w:tcPr>
            <w:tcW w:w="1221" w:type="dxa"/>
            <w:tcBorders>
              <w:right w:val="single" w:sz="4" w:space="0" w:color="auto"/>
            </w:tcBorders>
            <w:hideMark/>
          </w:tcPr>
          <w:p w14:paraId="3F080FE9"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-0.010</w:t>
            </w:r>
          </w:p>
        </w:tc>
      </w:tr>
      <w:tr w:rsidR="003B110F" w14:paraId="6FAEED67" w14:textId="77777777" w:rsidTr="00BC0366">
        <w:trPr>
          <w:trHeight w:val="256"/>
          <w:jc w:val="center"/>
        </w:trPr>
        <w:tc>
          <w:tcPr>
            <w:tcW w:w="3505" w:type="dxa"/>
            <w:tcBorders>
              <w:left w:val="single" w:sz="4" w:space="0" w:color="auto"/>
            </w:tcBorders>
          </w:tcPr>
          <w:p w14:paraId="338846C3"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0E0F8780"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04CDF91E"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6CDAAF8A"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tcBorders>
              <w:right w:val="single" w:sz="4" w:space="0" w:color="auto"/>
            </w:tcBorders>
            <w:hideMark/>
          </w:tcPr>
          <w:p w14:paraId="1C8D3174"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r>
      <w:tr w:rsidR="003B110F" w14:paraId="190B4EA8" w14:textId="77777777" w:rsidTr="00BC0366">
        <w:trPr>
          <w:trHeight w:val="256"/>
          <w:jc w:val="center"/>
        </w:trPr>
        <w:tc>
          <w:tcPr>
            <w:tcW w:w="3505" w:type="dxa"/>
            <w:tcBorders>
              <w:left w:val="single" w:sz="4" w:space="0" w:color="auto"/>
            </w:tcBorders>
            <w:hideMark/>
          </w:tcPr>
          <w:p w14:paraId="24D68673"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Is Hispanic</w:t>
            </w:r>
          </w:p>
        </w:tc>
        <w:tc>
          <w:tcPr>
            <w:tcW w:w="1917" w:type="dxa"/>
          </w:tcPr>
          <w:p w14:paraId="54F0B155"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30CFF5A1"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350EDC9C"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tcBorders>
              <w:right w:val="single" w:sz="4" w:space="0" w:color="auto"/>
            </w:tcBorders>
            <w:hideMark/>
          </w:tcPr>
          <w:p w14:paraId="16320C3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r>
      <w:tr w:rsidR="003B110F" w14:paraId="77F1AB24" w14:textId="77777777" w:rsidTr="00BC0366">
        <w:trPr>
          <w:trHeight w:val="256"/>
          <w:jc w:val="center"/>
        </w:trPr>
        <w:tc>
          <w:tcPr>
            <w:tcW w:w="3505" w:type="dxa"/>
            <w:tcBorders>
              <w:left w:val="single" w:sz="4" w:space="0" w:color="auto"/>
            </w:tcBorders>
          </w:tcPr>
          <w:p w14:paraId="61D5511B"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4F955CFD"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301D2A21"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69E6141E"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c>
          <w:tcPr>
            <w:tcW w:w="1221" w:type="dxa"/>
            <w:tcBorders>
              <w:right w:val="single" w:sz="4" w:space="0" w:color="auto"/>
            </w:tcBorders>
            <w:hideMark/>
          </w:tcPr>
          <w:p w14:paraId="3A9EC4D3"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(0.003)</w:t>
            </w:r>
          </w:p>
        </w:tc>
      </w:tr>
      <w:tr w:rsidR="003B110F" w14:paraId="1C93BDC6" w14:textId="77777777" w:rsidTr="00BC0366">
        <w:trPr>
          <w:trHeight w:val="256"/>
          <w:jc w:val="center"/>
        </w:trPr>
        <w:tc>
          <w:tcPr>
            <w:tcW w:w="3505" w:type="dxa"/>
            <w:tcBorders>
              <w:left w:val="single" w:sz="4" w:space="0" w:color="auto"/>
            </w:tcBorders>
            <w:hideMark/>
          </w:tcPr>
          <w:p w14:paraId="0D3F71C7"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Urban</w:t>
            </w:r>
          </w:p>
        </w:tc>
        <w:tc>
          <w:tcPr>
            <w:tcW w:w="1917" w:type="dxa"/>
          </w:tcPr>
          <w:p w14:paraId="55FC8FC5"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55246669"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7079AEEC"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-0.006</w:t>
            </w:r>
          </w:p>
        </w:tc>
        <w:tc>
          <w:tcPr>
            <w:tcW w:w="1221" w:type="dxa"/>
            <w:tcBorders>
              <w:right w:val="single" w:sz="4" w:space="0" w:color="auto"/>
            </w:tcBorders>
            <w:hideMark/>
          </w:tcPr>
          <w:p w14:paraId="0738795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-0.006</w:t>
            </w:r>
          </w:p>
        </w:tc>
      </w:tr>
      <w:tr w:rsidR="003B110F" w14:paraId="3BCAE498" w14:textId="77777777" w:rsidTr="00BC0366">
        <w:trPr>
          <w:trHeight w:val="256"/>
          <w:jc w:val="center"/>
        </w:trPr>
        <w:tc>
          <w:tcPr>
            <w:tcW w:w="3505" w:type="dxa"/>
            <w:tcBorders>
              <w:left w:val="single" w:sz="4" w:space="0" w:color="auto"/>
            </w:tcBorders>
          </w:tcPr>
          <w:p w14:paraId="6AE40D20"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49D8674E"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0DFFFDB8"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30B5424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tcBorders>
              <w:right w:val="single" w:sz="4" w:space="0" w:color="auto"/>
            </w:tcBorders>
            <w:hideMark/>
          </w:tcPr>
          <w:p w14:paraId="34BC6DBE"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r>
      <w:tr w:rsidR="003B110F" w14:paraId="653BD1D8" w14:textId="77777777" w:rsidTr="00BC0366">
        <w:trPr>
          <w:trHeight w:val="256"/>
          <w:jc w:val="center"/>
        </w:trPr>
        <w:tc>
          <w:tcPr>
            <w:tcW w:w="3505" w:type="dxa"/>
            <w:tcBorders>
              <w:left w:val="single" w:sz="4" w:space="0" w:color="auto"/>
            </w:tcBorders>
            <w:hideMark/>
          </w:tcPr>
          <w:p w14:paraId="71B07B80"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College Degree</w:t>
            </w:r>
          </w:p>
        </w:tc>
        <w:tc>
          <w:tcPr>
            <w:tcW w:w="1917" w:type="dxa"/>
          </w:tcPr>
          <w:p w14:paraId="1A7EC700"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0CA51B40"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35132E55"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0.010</w:t>
            </w:r>
          </w:p>
        </w:tc>
        <w:tc>
          <w:tcPr>
            <w:tcW w:w="1221" w:type="dxa"/>
            <w:tcBorders>
              <w:right w:val="single" w:sz="4" w:space="0" w:color="auto"/>
            </w:tcBorders>
            <w:hideMark/>
          </w:tcPr>
          <w:p w14:paraId="3BE542AE"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0.010</w:t>
            </w:r>
          </w:p>
        </w:tc>
      </w:tr>
      <w:tr w:rsidR="003B110F" w14:paraId="1037D3CF" w14:textId="77777777" w:rsidTr="00BC0366">
        <w:trPr>
          <w:trHeight w:val="256"/>
          <w:jc w:val="center"/>
        </w:trPr>
        <w:tc>
          <w:tcPr>
            <w:tcW w:w="3505" w:type="dxa"/>
            <w:tcBorders>
              <w:left w:val="single" w:sz="4" w:space="0" w:color="auto"/>
            </w:tcBorders>
          </w:tcPr>
          <w:p w14:paraId="42EE33FE"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474D8006"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03353D7A"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2C8415E3"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tcBorders>
              <w:right w:val="single" w:sz="4" w:space="0" w:color="auto"/>
            </w:tcBorders>
            <w:hideMark/>
          </w:tcPr>
          <w:p w14:paraId="62487185"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r>
      <w:tr w:rsidR="003B110F" w14:paraId="14C9D660" w14:textId="77777777" w:rsidTr="00BC0366">
        <w:trPr>
          <w:trHeight w:val="256"/>
          <w:jc w:val="center"/>
        </w:trPr>
        <w:tc>
          <w:tcPr>
            <w:tcW w:w="3505" w:type="dxa"/>
            <w:tcBorders>
              <w:left w:val="single" w:sz="4" w:space="0" w:color="auto"/>
            </w:tcBorders>
            <w:hideMark/>
          </w:tcPr>
          <w:p w14:paraId="48C57388"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Garage Size (# of Cars)</w:t>
            </w:r>
          </w:p>
        </w:tc>
        <w:tc>
          <w:tcPr>
            <w:tcW w:w="1917" w:type="dxa"/>
          </w:tcPr>
          <w:p w14:paraId="59EDFF3F"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1A6601BC"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565D47B6"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tcBorders>
              <w:right w:val="single" w:sz="4" w:space="0" w:color="auto"/>
            </w:tcBorders>
            <w:hideMark/>
          </w:tcPr>
          <w:p w14:paraId="5394F6B8"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r>
      <w:tr w:rsidR="003B110F" w14:paraId="69C61B6E" w14:textId="77777777" w:rsidTr="00BC0366">
        <w:trPr>
          <w:trHeight w:val="268"/>
          <w:jc w:val="center"/>
        </w:trPr>
        <w:tc>
          <w:tcPr>
            <w:tcW w:w="3505" w:type="dxa"/>
            <w:tcBorders>
              <w:left w:val="single" w:sz="4" w:space="0" w:color="auto"/>
            </w:tcBorders>
          </w:tcPr>
          <w:p w14:paraId="1E31D913"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79616A37"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2934C8A7"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hideMark/>
          </w:tcPr>
          <w:p w14:paraId="69026E21"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(0.001)</w:t>
            </w:r>
          </w:p>
        </w:tc>
        <w:tc>
          <w:tcPr>
            <w:tcW w:w="1221" w:type="dxa"/>
            <w:tcBorders>
              <w:right w:val="single" w:sz="4" w:space="0" w:color="auto"/>
            </w:tcBorders>
            <w:hideMark/>
          </w:tcPr>
          <w:p w14:paraId="1D47E26C"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(0.001)</w:t>
            </w:r>
          </w:p>
        </w:tc>
      </w:tr>
      <w:tr w:rsidR="003B110F" w14:paraId="5292A58C" w14:textId="77777777" w:rsidTr="00BC0366">
        <w:trPr>
          <w:trHeight w:val="256"/>
          <w:jc w:val="center"/>
        </w:trPr>
        <w:tc>
          <w:tcPr>
            <w:tcW w:w="3505" w:type="dxa"/>
            <w:tcBorders>
              <w:left w:val="single" w:sz="4" w:space="0" w:color="auto"/>
            </w:tcBorders>
            <w:hideMark/>
          </w:tcPr>
          <w:p w14:paraId="70172EC3"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Constant</w:t>
            </w:r>
          </w:p>
        </w:tc>
        <w:tc>
          <w:tcPr>
            <w:tcW w:w="1917" w:type="dxa"/>
            <w:hideMark/>
          </w:tcPr>
          <w:p w14:paraId="4469ECF2"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0.005</w:t>
            </w:r>
          </w:p>
        </w:tc>
        <w:tc>
          <w:tcPr>
            <w:tcW w:w="1221" w:type="dxa"/>
            <w:hideMark/>
          </w:tcPr>
          <w:p w14:paraId="2EB3CE5E"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0.006</w:t>
            </w:r>
          </w:p>
        </w:tc>
        <w:tc>
          <w:tcPr>
            <w:tcW w:w="1221" w:type="dxa"/>
            <w:hideMark/>
          </w:tcPr>
          <w:p w14:paraId="4300A671"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0.006</w:t>
            </w:r>
          </w:p>
        </w:tc>
        <w:tc>
          <w:tcPr>
            <w:tcW w:w="1221" w:type="dxa"/>
            <w:tcBorders>
              <w:right w:val="single" w:sz="4" w:space="0" w:color="auto"/>
            </w:tcBorders>
            <w:hideMark/>
          </w:tcPr>
          <w:p w14:paraId="0AFE2308"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0.013</w:t>
            </w:r>
          </w:p>
        </w:tc>
      </w:tr>
      <w:tr w:rsidR="003B110F" w14:paraId="1FC3D7A7" w14:textId="77777777" w:rsidTr="00BC0366">
        <w:trPr>
          <w:trHeight w:val="256"/>
          <w:jc w:val="center"/>
        </w:trPr>
        <w:tc>
          <w:tcPr>
            <w:tcW w:w="3505" w:type="dxa"/>
            <w:tcBorders>
              <w:left w:val="single" w:sz="4" w:space="0" w:color="auto"/>
            </w:tcBorders>
          </w:tcPr>
          <w:p w14:paraId="5EE5DC2D"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hideMark/>
          </w:tcPr>
          <w:p w14:paraId="333C8EE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(0.001)</w:t>
            </w:r>
          </w:p>
        </w:tc>
        <w:tc>
          <w:tcPr>
            <w:tcW w:w="1221" w:type="dxa"/>
            <w:hideMark/>
          </w:tcPr>
          <w:p w14:paraId="3543049E"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(0.002)</w:t>
            </w:r>
          </w:p>
        </w:tc>
        <w:tc>
          <w:tcPr>
            <w:tcW w:w="1221" w:type="dxa"/>
            <w:hideMark/>
          </w:tcPr>
          <w:p w14:paraId="6714ECED"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(0.006)</w:t>
            </w:r>
          </w:p>
        </w:tc>
        <w:tc>
          <w:tcPr>
            <w:tcW w:w="1221" w:type="dxa"/>
            <w:tcBorders>
              <w:right w:val="single" w:sz="4" w:space="0" w:color="auto"/>
            </w:tcBorders>
            <w:hideMark/>
          </w:tcPr>
          <w:p w14:paraId="28D21D89"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(0.006)</w:t>
            </w:r>
          </w:p>
        </w:tc>
      </w:tr>
      <w:tr w:rsidR="003B110F" w14:paraId="04238A26" w14:textId="77777777" w:rsidTr="00BC0366">
        <w:trPr>
          <w:trHeight w:val="256"/>
          <w:jc w:val="center"/>
        </w:trPr>
        <w:tc>
          <w:tcPr>
            <w:tcW w:w="3505" w:type="dxa"/>
            <w:tcBorders>
              <w:left w:val="single" w:sz="4" w:space="0" w:color="auto"/>
            </w:tcBorders>
          </w:tcPr>
          <w:p w14:paraId="3734F510" w14:textId="77777777" w:rsidR="003B110F" w:rsidRDefault="003B110F" w:rsidP="00BC0366">
            <w:pPr>
              <w:widowControl w:val="0"/>
              <w:autoSpaceDE w:val="0"/>
              <w:autoSpaceDN w:val="0"/>
              <w:adjustRightInd w:val="0"/>
              <w:rPr>
                <w:rFonts w:ascii="Times New Roman" w:hAnsi="Times New Roman" w:cs="Times New Roman"/>
              </w:rPr>
            </w:pPr>
          </w:p>
        </w:tc>
        <w:tc>
          <w:tcPr>
            <w:tcW w:w="1917" w:type="dxa"/>
          </w:tcPr>
          <w:p w14:paraId="05AA4706"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70736D58"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Pr>
          <w:p w14:paraId="1736C3B4" w14:textId="77777777" w:rsidR="003B110F" w:rsidRDefault="003B110F" w:rsidP="00BC0366">
            <w:pPr>
              <w:widowControl w:val="0"/>
              <w:autoSpaceDE w:val="0"/>
              <w:autoSpaceDN w:val="0"/>
              <w:adjustRightInd w:val="0"/>
              <w:jc w:val="center"/>
              <w:rPr>
                <w:rFonts w:ascii="Times New Roman" w:hAnsi="Times New Roman" w:cs="Times New Roman"/>
              </w:rPr>
            </w:pPr>
          </w:p>
        </w:tc>
        <w:tc>
          <w:tcPr>
            <w:tcW w:w="1221" w:type="dxa"/>
            <w:tcBorders>
              <w:right w:val="single" w:sz="4" w:space="0" w:color="auto"/>
            </w:tcBorders>
          </w:tcPr>
          <w:p w14:paraId="2AFE9840" w14:textId="77777777" w:rsidR="003B110F" w:rsidRDefault="003B110F" w:rsidP="00BC0366">
            <w:pPr>
              <w:widowControl w:val="0"/>
              <w:autoSpaceDE w:val="0"/>
              <w:autoSpaceDN w:val="0"/>
              <w:adjustRightInd w:val="0"/>
              <w:jc w:val="center"/>
              <w:rPr>
                <w:rFonts w:ascii="Times New Roman" w:hAnsi="Times New Roman" w:cs="Times New Roman"/>
              </w:rPr>
            </w:pPr>
          </w:p>
        </w:tc>
      </w:tr>
      <w:tr w:rsidR="003B110F" w14:paraId="292A3BC7" w14:textId="77777777" w:rsidTr="00BC0366">
        <w:trPr>
          <w:trHeight w:val="256"/>
          <w:jc w:val="center"/>
        </w:trPr>
        <w:tc>
          <w:tcPr>
            <w:tcW w:w="3505" w:type="dxa"/>
            <w:tcBorders>
              <w:left w:val="single" w:sz="4" w:space="0" w:color="auto"/>
            </w:tcBorders>
            <w:hideMark/>
          </w:tcPr>
          <w:p w14:paraId="62777E70"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Observations</w:t>
            </w:r>
          </w:p>
        </w:tc>
        <w:tc>
          <w:tcPr>
            <w:tcW w:w="1917" w:type="dxa"/>
            <w:hideMark/>
          </w:tcPr>
          <w:p w14:paraId="1D3A761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18,496</w:t>
            </w:r>
          </w:p>
        </w:tc>
        <w:tc>
          <w:tcPr>
            <w:tcW w:w="1221" w:type="dxa"/>
            <w:hideMark/>
          </w:tcPr>
          <w:p w14:paraId="66D11D4E"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18,496</w:t>
            </w:r>
          </w:p>
        </w:tc>
        <w:tc>
          <w:tcPr>
            <w:tcW w:w="1221" w:type="dxa"/>
            <w:hideMark/>
          </w:tcPr>
          <w:p w14:paraId="7F5E2814"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18,496</w:t>
            </w:r>
          </w:p>
        </w:tc>
        <w:tc>
          <w:tcPr>
            <w:tcW w:w="1221" w:type="dxa"/>
            <w:tcBorders>
              <w:right w:val="single" w:sz="4" w:space="0" w:color="auto"/>
            </w:tcBorders>
            <w:hideMark/>
          </w:tcPr>
          <w:p w14:paraId="5A3472F0"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18,496</w:t>
            </w:r>
          </w:p>
        </w:tc>
      </w:tr>
      <w:tr w:rsidR="003B110F" w14:paraId="0E5AFD7A" w14:textId="77777777" w:rsidTr="00BC0366">
        <w:trPr>
          <w:trHeight w:val="256"/>
          <w:jc w:val="center"/>
        </w:trPr>
        <w:tc>
          <w:tcPr>
            <w:tcW w:w="3505" w:type="dxa"/>
            <w:tcBorders>
              <w:top w:val="nil"/>
              <w:left w:val="single" w:sz="4" w:space="0" w:color="auto"/>
              <w:bottom w:val="single" w:sz="4" w:space="0" w:color="auto"/>
              <w:right w:val="nil"/>
            </w:tcBorders>
            <w:hideMark/>
          </w:tcPr>
          <w:p w14:paraId="54440BEC" w14:textId="77777777" w:rsidR="003B110F" w:rsidRDefault="003B110F" w:rsidP="00BC0366">
            <w:pPr>
              <w:widowControl w:val="0"/>
              <w:autoSpaceDE w:val="0"/>
              <w:autoSpaceDN w:val="0"/>
              <w:adjustRightInd w:val="0"/>
              <w:rPr>
                <w:rFonts w:ascii="Times New Roman" w:hAnsi="Times New Roman" w:cs="Times New Roman"/>
              </w:rPr>
            </w:pPr>
            <w:r>
              <w:rPr>
                <w:rFonts w:ascii="Times New Roman" w:hAnsi="Times New Roman" w:cs="Times New Roman"/>
              </w:rPr>
              <w:t>R-squared</w:t>
            </w:r>
          </w:p>
        </w:tc>
        <w:tc>
          <w:tcPr>
            <w:tcW w:w="1917" w:type="dxa"/>
            <w:tcBorders>
              <w:top w:val="nil"/>
              <w:left w:val="nil"/>
              <w:bottom w:val="single" w:sz="4" w:space="0" w:color="auto"/>
              <w:right w:val="nil"/>
            </w:tcBorders>
            <w:hideMark/>
          </w:tcPr>
          <w:p w14:paraId="518A3347"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0.004</w:t>
            </w:r>
          </w:p>
        </w:tc>
        <w:tc>
          <w:tcPr>
            <w:tcW w:w="1221" w:type="dxa"/>
            <w:tcBorders>
              <w:top w:val="nil"/>
              <w:left w:val="nil"/>
              <w:bottom w:val="single" w:sz="4" w:space="0" w:color="auto"/>
              <w:right w:val="nil"/>
            </w:tcBorders>
            <w:hideMark/>
          </w:tcPr>
          <w:p w14:paraId="3DDDFCC4"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0.009</w:t>
            </w:r>
          </w:p>
        </w:tc>
        <w:tc>
          <w:tcPr>
            <w:tcW w:w="1221" w:type="dxa"/>
            <w:tcBorders>
              <w:top w:val="nil"/>
              <w:left w:val="nil"/>
              <w:bottom w:val="single" w:sz="4" w:space="0" w:color="auto"/>
              <w:right w:val="nil"/>
            </w:tcBorders>
            <w:hideMark/>
          </w:tcPr>
          <w:p w14:paraId="0836BA1B"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0.013</w:t>
            </w:r>
          </w:p>
        </w:tc>
        <w:tc>
          <w:tcPr>
            <w:tcW w:w="1221" w:type="dxa"/>
            <w:tcBorders>
              <w:top w:val="nil"/>
              <w:left w:val="nil"/>
              <w:bottom w:val="single" w:sz="4" w:space="0" w:color="auto"/>
              <w:right w:val="single" w:sz="4" w:space="0" w:color="auto"/>
            </w:tcBorders>
            <w:hideMark/>
          </w:tcPr>
          <w:p w14:paraId="368E5B8D" w14:textId="77777777" w:rsidR="003B110F" w:rsidRDefault="003B110F" w:rsidP="00BC0366">
            <w:pPr>
              <w:widowControl w:val="0"/>
              <w:autoSpaceDE w:val="0"/>
              <w:autoSpaceDN w:val="0"/>
              <w:adjustRightInd w:val="0"/>
              <w:jc w:val="center"/>
              <w:rPr>
                <w:rFonts w:ascii="Times New Roman" w:hAnsi="Times New Roman" w:cs="Times New Roman"/>
              </w:rPr>
            </w:pPr>
            <w:r>
              <w:rPr>
                <w:rFonts w:ascii="Times New Roman" w:hAnsi="Times New Roman" w:cs="Times New Roman"/>
              </w:rPr>
              <w:t>0.014</w:t>
            </w:r>
          </w:p>
        </w:tc>
      </w:tr>
    </w:tbl>
    <w:p w14:paraId="7191F052" w14:textId="77777777" w:rsidR="00100D2A" w:rsidRDefault="00100D2A" w:rsidP="00100D2A">
      <w:bookmarkStart w:id="68" w:name="_Toc165394435"/>
    </w:p>
    <w:p w14:paraId="2B96B2B3" w14:textId="77777777" w:rsidR="00100D2A" w:rsidRDefault="00100D2A" w:rsidP="00100D2A"/>
    <w:p w14:paraId="20046C10" w14:textId="77777777" w:rsidR="00100D2A" w:rsidRDefault="00100D2A" w:rsidP="00100D2A"/>
    <w:p w14:paraId="47DD3BC2" w14:textId="77777777" w:rsidR="00F026DD" w:rsidRDefault="00F026DD" w:rsidP="00100D2A"/>
    <w:p w14:paraId="52DD49B4" w14:textId="77777777" w:rsidR="00F026DD" w:rsidRDefault="00F026DD" w:rsidP="00100D2A"/>
    <w:p w14:paraId="418D2BCD" w14:textId="77777777" w:rsidR="00F026DD" w:rsidRPr="00100D2A" w:rsidRDefault="00F026DD" w:rsidP="00100D2A"/>
    <w:p w14:paraId="3B9185CB" w14:textId="1E4EFD9F" w:rsidR="00AF0126" w:rsidRPr="00E354FA" w:rsidRDefault="00AF0126" w:rsidP="00100D2A">
      <w:pPr>
        <w:pStyle w:val="Heading2"/>
      </w:pPr>
      <w:bookmarkStart w:id="69" w:name="_Toc167481013"/>
      <w:bookmarkStart w:id="70" w:name="_Toc173410604"/>
      <w:bookmarkStart w:id="71" w:name="_Toc174454618"/>
      <w:bookmarkStart w:id="72" w:name="_Toc174455346"/>
      <w:r>
        <w:lastRenderedPageBreak/>
        <w:t xml:space="preserve">Table </w:t>
      </w:r>
      <w:r w:rsidR="00100D2A">
        <w:t>4</w:t>
      </w:r>
      <w:r w:rsidR="009A298B">
        <w:t xml:space="preserve">. </w:t>
      </w:r>
      <w:r w:rsidR="00100D2A">
        <w:t>Median</w:t>
      </w:r>
      <w:r w:rsidRPr="000B2B97">
        <w:t xml:space="preserve"> Income Household WTP (</w:t>
      </w:r>
      <w:r w:rsidR="00100D2A">
        <w:t xml:space="preserve">β </w:t>
      </w:r>
      <w:r w:rsidRPr="000B2B97">
        <w:t xml:space="preserve">= </w:t>
      </w:r>
      <w:r w:rsidR="004D7D9A">
        <w:t>0</w:t>
      </w:r>
      <w:r w:rsidRPr="000B2B97">
        <w:t>.023)</w:t>
      </w:r>
      <w:bookmarkEnd w:id="68"/>
      <w:bookmarkEnd w:id="69"/>
      <w:bookmarkEnd w:id="70"/>
      <w:bookmarkEnd w:id="71"/>
      <w:bookmarkEnd w:id="72"/>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56"/>
        <w:gridCol w:w="2156"/>
        <w:gridCol w:w="2156"/>
        <w:gridCol w:w="2156"/>
      </w:tblGrid>
      <w:tr w:rsidR="00AF0126" w:rsidRPr="000B2B97" w14:paraId="02C28FF3"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C681D4"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b/>
                <w:bCs/>
                <w:color w:val="000000" w:themeColor="text1"/>
              </w:rPr>
              <w:t>Scenarios</w:t>
            </w:r>
            <w:r w:rsidRPr="000B2B97">
              <w:rPr>
                <w:rFonts w:ascii="Cambria" w:eastAsia="Cambria" w:hAnsi="Cambria" w:cs="Cambria"/>
                <w:color w:val="000000" w:themeColor="text1"/>
              </w:rPr>
              <w:t>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6F8DFD" w14:textId="77777777" w:rsidR="00AF0126" w:rsidRPr="000B2B97" w:rsidRDefault="00AF0126" w:rsidP="00BC0366">
            <w:pPr>
              <w:jc w:val="center"/>
              <w:rPr>
                <w:rFonts w:ascii="Cambria" w:eastAsia="Cambria" w:hAnsi="Cambria" w:cs="Cambria"/>
                <w:color w:val="000000" w:themeColor="text1"/>
              </w:rPr>
            </w:pPr>
            <w:r w:rsidRPr="000B2B97">
              <w:rPr>
                <w:rFonts w:ascii="Cambria" w:eastAsia="Cambria" w:hAnsi="Cambria" w:cs="Cambria"/>
                <w:b/>
                <w:bCs/>
                <w:color w:val="000000" w:themeColor="text1"/>
              </w:rPr>
              <w:t>Price Elasticity</w:t>
            </w:r>
            <w:r w:rsidRPr="000B2B97">
              <w:rPr>
                <w:rFonts w:ascii="Cambria" w:eastAsia="Cambria" w:hAnsi="Cambria" w:cs="Cambria"/>
                <w:color w:val="000000" w:themeColor="text1"/>
              </w:rPr>
              <w:t>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A6F2F0"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b/>
                <w:bCs/>
                <w:color w:val="000000" w:themeColor="text1"/>
              </w:rPr>
              <w:t>EV Price</w:t>
            </w:r>
            <w:r w:rsidRPr="000B2B97">
              <w:rPr>
                <w:rFonts w:ascii="Cambria" w:eastAsia="Cambria" w:hAnsi="Cambria" w:cs="Cambria"/>
                <w:color w:val="000000" w:themeColor="text1"/>
              </w:rPr>
              <w:t>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C2945D" w14:textId="77777777" w:rsidR="00AF0126" w:rsidRPr="000B2B97" w:rsidRDefault="00AF0126" w:rsidP="00BC0366">
            <w:pPr>
              <w:jc w:val="center"/>
              <w:rPr>
                <w:rFonts w:ascii="Cambria" w:eastAsia="Cambria" w:hAnsi="Cambria" w:cs="Cambria"/>
                <w:color w:val="000000" w:themeColor="text1"/>
              </w:rPr>
            </w:pPr>
            <w:r w:rsidRPr="000B2B97">
              <w:rPr>
                <w:rFonts w:ascii="Cambria" w:eastAsia="Cambria" w:hAnsi="Cambria" w:cs="Cambria"/>
                <w:b/>
                <w:bCs/>
                <w:color w:val="000000" w:themeColor="text1"/>
              </w:rPr>
              <w:t>Marginal WTP for Home-based Charging</w:t>
            </w:r>
            <w:r w:rsidRPr="000B2B97">
              <w:rPr>
                <w:rFonts w:ascii="Cambria" w:eastAsia="Cambria" w:hAnsi="Cambria" w:cs="Cambria"/>
                <w:color w:val="000000" w:themeColor="text1"/>
              </w:rPr>
              <w:t> </w:t>
            </w:r>
          </w:p>
        </w:tc>
      </w:tr>
      <w:tr w:rsidR="00AF0126" w:rsidRPr="000B2B97" w14:paraId="1F54128E"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1920C9"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Low PEV, Low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0BB21D"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-1</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CCD18"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      17,100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14BAED" w14:textId="77777777" w:rsidR="00AF0126" w:rsidRPr="000B2B97" w:rsidRDefault="00AF0126" w:rsidP="00BC0366">
            <w:pPr>
              <w:jc w:val="center"/>
              <w:rPr>
                <w:rFonts w:ascii="Cambria" w:eastAsia="Cambria" w:hAnsi="Cambria" w:cs="Cambria"/>
                <w:color w:val="000000" w:themeColor="text1"/>
              </w:rPr>
            </w:pPr>
            <w:r w:rsidRPr="000B2B97">
              <w:rPr>
                <w:rFonts w:ascii="Cambria" w:hAnsi="Cambria"/>
              </w:rPr>
              <w:t xml:space="preserve"> $  6,392 </w:t>
            </w:r>
          </w:p>
        </w:tc>
      </w:tr>
      <w:tr w:rsidR="00AF0126" w:rsidRPr="000B2B97" w14:paraId="3692EC7D"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58A02F"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Low PEV, Benchmark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0619AC"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-1.5</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1392DB"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      17,100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F5BE50"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  3,007 </w:t>
            </w:r>
          </w:p>
        </w:tc>
      </w:tr>
      <w:tr w:rsidR="00AF0126" w:rsidRPr="000B2B97" w14:paraId="5CA47766"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8740B1"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Low PEV, High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C99282"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062E4A"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    17,100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2A950A" w14:textId="77777777" w:rsidR="00AF0126" w:rsidRPr="000B2B97" w:rsidRDefault="00AF0126" w:rsidP="00BC0366">
            <w:pPr>
              <w:jc w:val="center"/>
              <w:rPr>
                <w:rFonts w:ascii="Cambria" w:eastAsia="Cambria" w:hAnsi="Cambria" w:cs="Cambria"/>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1,913 </w:t>
            </w:r>
          </w:p>
        </w:tc>
      </w:tr>
      <w:tr w:rsidR="00AF0126" w:rsidRPr="000B2B97" w14:paraId="4A6F7BDC"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856AEF"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Benchmark PEV, Low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64155D"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-1</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944FA7"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27,058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C07C5B"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10,114 </w:t>
            </w:r>
          </w:p>
        </w:tc>
      </w:tr>
      <w:tr w:rsidR="00AF0126" w:rsidRPr="000B2B97" w14:paraId="6BF92036"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EF87BB"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Benchmark PEV, Benchmark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6DE7C"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-1.5</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0214CF"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27,058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53A44" w14:textId="77777777" w:rsidR="00AF0126" w:rsidRPr="000B2B97" w:rsidRDefault="00AF0126" w:rsidP="00BC0366">
            <w:pPr>
              <w:jc w:val="center"/>
              <w:rPr>
                <w:rFonts w:ascii="Cambria" w:eastAsia="Calibri" w:hAnsi="Cambria" w:cs="Calibri"/>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4,759 </w:t>
            </w:r>
          </w:p>
        </w:tc>
      </w:tr>
      <w:tr w:rsidR="00AF0126" w:rsidRPr="000B2B97" w14:paraId="544A944E"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55ABD5"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Benchmark PEV, High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ADD9BB"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69C1F"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27,058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202C27"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3,026 </w:t>
            </w:r>
          </w:p>
        </w:tc>
      </w:tr>
      <w:tr w:rsidR="00AF0126" w:rsidRPr="000B2B97" w14:paraId="04A0DFF3"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2860C2"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High PEV, Low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14C5F2"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-1</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FABC17"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37,100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0E9CC5" w14:textId="77777777" w:rsidR="00AF0126" w:rsidRPr="000B2B97" w:rsidRDefault="00AF0126" w:rsidP="00BC0366">
            <w:pPr>
              <w:jc w:val="center"/>
              <w:rPr>
                <w:rFonts w:ascii="Cambria" w:eastAsia="Cambria" w:hAnsi="Cambria" w:cs="Cambria"/>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13,868 </w:t>
            </w:r>
          </w:p>
        </w:tc>
      </w:tr>
      <w:tr w:rsidR="00AF0126" w:rsidRPr="000B2B97" w14:paraId="0BD44E8E"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BC3177"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High PEV, Benchmark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C260F3"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-1.5</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0DFF08"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37,100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FD8497"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6,525 </w:t>
            </w:r>
          </w:p>
        </w:tc>
      </w:tr>
      <w:tr w:rsidR="00AF0126" w:rsidRPr="000B2B97" w14:paraId="6DEF08EE"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64BD0"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High PEV, High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276D8A"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A20E18"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37,100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0362B9"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4,149 </w:t>
            </w:r>
          </w:p>
        </w:tc>
      </w:tr>
    </w:tbl>
    <w:p w14:paraId="724167FE" w14:textId="77777777" w:rsidR="00AF0126" w:rsidRDefault="00AF0126" w:rsidP="00AF0126">
      <w:pPr>
        <w:ind w:right="45"/>
        <w:rPr>
          <w:rFonts w:ascii="Cambria" w:hAnsi="Cambria" w:cs="Times New Roman"/>
          <w:color w:val="000000" w:themeColor="text1"/>
        </w:rPr>
      </w:pPr>
    </w:p>
    <w:p w14:paraId="2A25568C" w14:textId="77777777" w:rsidR="00100D2A" w:rsidRDefault="00100D2A" w:rsidP="00AF0126">
      <w:pPr>
        <w:ind w:right="45"/>
        <w:rPr>
          <w:rFonts w:ascii="Cambria" w:hAnsi="Cambria" w:cs="Times New Roman"/>
          <w:color w:val="000000" w:themeColor="text1"/>
        </w:rPr>
      </w:pPr>
    </w:p>
    <w:p w14:paraId="491AC3DA" w14:textId="77777777" w:rsidR="00100D2A" w:rsidRDefault="00100D2A" w:rsidP="00AF0126">
      <w:pPr>
        <w:ind w:right="45"/>
        <w:rPr>
          <w:rFonts w:ascii="Cambria" w:hAnsi="Cambria" w:cs="Times New Roman"/>
          <w:color w:val="000000" w:themeColor="text1"/>
        </w:rPr>
      </w:pPr>
    </w:p>
    <w:p w14:paraId="621E8DA1" w14:textId="77777777" w:rsidR="00100D2A" w:rsidRDefault="00100D2A" w:rsidP="00AF0126">
      <w:pPr>
        <w:ind w:right="45"/>
        <w:rPr>
          <w:rFonts w:ascii="Cambria" w:hAnsi="Cambria" w:cs="Times New Roman"/>
          <w:color w:val="000000" w:themeColor="text1"/>
        </w:rPr>
      </w:pPr>
    </w:p>
    <w:p w14:paraId="412F9E60" w14:textId="77777777" w:rsidR="00100D2A" w:rsidRDefault="00100D2A" w:rsidP="00AF0126">
      <w:pPr>
        <w:ind w:right="45"/>
        <w:rPr>
          <w:rFonts w:ascii="Cambria" w:hAnsi="Cambria" w:cs="Times New Roman"/>
          <w:color w:val="000000" w:themeColor="text1"/>
        </w:rPr>
      </w:pPr>
    </w:p>
    <w:p w14:paraId="3720969A" w14:textId="77777777" w:rsidR="00100D2A" w:rsidRDefault="00100D2A" w:rsidP="00AF0126">
      <w:pPr>
        <w:ind w:right="45"/>
        <w:rPr>
          <w:rFonts w:ascii="Cambria" w:hAnsi="Cambria" w:cs="Times New Roman"/>
          <w:color w:val="000000" w:themeColor="text1"/>
        </w:rPr>
      </w:pPr>
    </w:p>
    <w:p w14:paraId="0BFF239C" w14:textId="77777777" w:rsidR="00100D2A" w:rsidRDefault="00100D2A" w:rsidP="00AF0126">
      <w:pPr>
        <w:ind w:right="45"/>
        <w:rPr>
          <w:rFonts w:ascii="Cambria" w:hAnsi="Cambria" w:cs="Times New Roman"/>
          <w:color w:val="000000" w:themeColor="text1"/>
        </w:rPr>
      </w:pPr>
    </w:p>
    <w:p w14:paraId="3A5D1F4D" w14:textId="77777777" w:rsidR="00100D2A" w:rsidRDefault="00100D2A" w:rsidP="00AF0126">
      <w:pPr>
        <w:ind w:right="45"/>
        <w:rPr>
          <w:rFonts w:ascii="Cambria" w:hAnsi="Cambria" w:cs="Times New Roman"/>
          <w:color w:val="000000" w:themeColor="text1"/>
        </w:rPr>
      </w:pPr>
    </w:p>
    <w:p w14:paraId="44671A7F" w14:textId="77777777" w:rsidR="00100D2A" w:rsidRDefault="00100D2A" w:rsidP="00AF0126">
      <w:pPr>
        <w:ind w:right="45"/>
        <w:rPr>
          <w:rFonts w:ascii="Cambria" w:hAnsi="Cambria" w:cs="Times New Roman"/>
          <w:color w:val="000000" w:themeColor="text1"/>
        </w:rPr>
      </w:pPr>
    </w:p>
    <w:p w14:paraId="686405BC" w14:textId="77777777" w:rsidR="00100D2A" w:rsidRDefault="00100D2A" w:rsidP="00AF0126">
      <w:pPr>
        <w:ind w:right="45"/>
        <w:rPr>
          <w:rFonts w:ascii="Cambria" w:hAnsi="Cambria" w:cs="Times New Roman"/>
          <w:color w:val="000000" w:themeColor="text1"/>
        </w:rPr>
      </w:pPr>
    </w:p>
    <w:p w14:paraId="0F890825" w14:textId="77777777" w:rsidR="00100D2A" w:rsidRDefault="00100D2A" w:rsidP="00AF0126">
      <w:pPr>
        <w:ind w:right="45"/>
        <w:rPr>
          <w:rFonts w:ascii="Cambria" w:hAnsi="Cambria" w:cs="Times New Roman"/>
          <w:color w:val="000000" w:themeColor="text1"/>
        </w:rPr>
      </w:pPr>
    </w:p>
    <w:p w14:paraId="523F7B1A" w14:textId="77777777" w:rsidR="00AF0126" w:rsidRDefault="00AF0126" w:rsidP="00AF0126">
      <w:pPr>
        <w:ind w:right="45"/>
        <w:rPr>
          <w:rFonts w:ascii="Cambria" w:hAnsi="Cambria" w:cs="Times New Roman"/>
          <w:color w:val="000000" w:themeColor="text1"/>
        </w:rPr>
      </w:pPr>
    </w:p>
    <w:p w14:paraId="7CB0911C" w14:textId="77777777" w:rsidR="00ED7808" w:rsidRPr="000B2B97" w:rsidRDefault="00ED7808" w:rsidP="00AF0126">
      <w:pPr>
        <w:ind w:right="45"/>
        <w:rPr>
          <w:rFonts w:ascii="Cambria" w:hAnsi="Cambria" w:cs="Times New Roman"/>
          <w:color w:val="000000" w:themeColor="text1"/>
        </w:rPr>
      </w:pPr>
    </w:p>
    <w:p w14:paraId="686269C9" w14:textId="6BB5D823" w:rsidR="00AF0126" w:rsidRPr="000B2B97" w:rsidRDefault="009A298B" w:rsidP="00100D2A">
      <w:pPr>
        <w:pStyle w:val="Heading2"/>
      </w:pPr>
      <w:bookmarkStart w:id="73" w:name="_Toc165394436"/>
      <w:bookmarkStart w:id="74" w:name="_Toc167481014"/>
      <w:bookmarkStart w:id="75" w:name="_Toc173410605"/>
      <w:bookmarkStart w:id="76" w:name="_Toc174454619"/>
      <w:bookmarkStart w:id="77" w:name="_Toc174455347"/>
      <w:r>
        <w:lastRenderedPageBreak/>
        <w:t xml:space="preserve">Table </w:t>
      </w:r>
      <w:r w:rsidR="00100D2A">
        <w:t>5</w:t>
      </w:r>
      <w:r>
        <w:t xml:space="preserve">. </w:t>
      </w:r>
      <w:r w:rsidR="00AF0126" w:rsidRPr="000B2B97">
        <w:t>Low-Income WTP (</w:t>
      </w:r>
      <w:r w:rsidR="00100D2A">
        <w:t>β</w:t>
      </w:r>
      <w:r w:rsidR="00AF0126" w:rsidRPr="000B2B97">
        <w:t xml:space="preserve"> = </w:t>
      </w:r>
      <w:r w:rsidR="004D7D9A">
        <w:t>0</w:t>
      </w:r>
      <w:r w:rsidR="00AF0126" w:rsidRPr="000B2B97">
        <w:t>.004)</w:t>
      </w:r>
      <w:bookmarkEnd w:id="73"/>
      <w:bookmarkEnd w:id="74"/>
      <w:bookmarkEnd w:id="75"/>
      <w:bookmarkEnd w:id="76"/>
      <w:bookmarkEnd w:id="77"/>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56"/>
        <w:gridCol w:w="2156"/>
        <w:gridCol w:w="2156"/>
        <w:gridCol w:w="2156"/>
      </w:tblGrid>
      <w:tr w:rsidR="00AF0126" w:rsidRPr="000B2B97" w14:paraId="501FFC33"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813FF4"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b/>
                <w:bCs/>
                <w:color w:val="000000" w:themeColor="text1"/>
              </w:rPr>
              <w:t>Scenarios</w:t>
            </w:r>
            <w:r w:rsidRPr="000B2B97">
              <w:rPr>
                <w:rFonts w:ascii="Cambria" w:eastAsia="Cambria" w:hAnsi="Cambria" w:cs="Cambria"/>
                <w:color w:val="000000" w:themeColor="text1"/>
              </w:rPr>
              <w:t>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7F37C0" w14:textId="77777777" w:rsidR="00AF0126" w:rsidRPr="000B2B97" w:rsidRDefault="00AF0126" w:rsidP="00BC0366">
            <w:pPr>
              <w:jc w:val="center"/>
              <w:rPr>
                <w:rFonts w:ascii="Cambria" w:eastAsia="Cambria" w:hAnsi="Cambria" w:cs="Cambria"/>
                <w:color w:val="000000" w:themeColor="text1"/>
              </w:rPr>
            </w:pPr>
            <w:r w:rsidRPr="000B2B97">
              <w:rPr>
                <w:rFonts w:ascii="Cambria" w:eastAsia="Cambria" w:hAnsi="Cambria" w:cs="Cambria"/>
                <w:b/>
                <w:bCs/>
                <w:color w:val="000000" w:themeColor="text1"/>
              </w:rPr>
              <w:t>Price Elasticity</w:t>
            </w:r>
            <w:r w:rsidRPr="000B2B97">
              <w:rPr>
                <w:rFonts w:ascii="Cambria" w:eastAsia="Cambria" w:hAnsi="Cambria" w:cs="Cambria"/>
                <w:color w:val="000000" w:themeColor="text1"/>
              </w:rPr>
              <w:t>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A9EDC"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b/>
                <w:bCs/>
                <w:color w:val="000000" w:themeColor="text1"/>
              </w:rPr>
              <w:t>EV Price</w:t>
            </w:r>
            <w:r w:rsidRPr="000B2B97">
              <w:rPr>
                <w:rFonts w:ascii="Cambria" w:eastAsia="Cambria" w:hAnsi="Cambria" w:cs="Cambria"/>
                <w:color w:val="000000" w:themeColor="text1"/>
              </w:rPr>
              <w:t>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FD3D28" w14:textId="77777777" w:rsidR="00AF0126" w:rsidRPr="000B2B97" w:rsidRDefault="00AF0126" w:rsidP="00BC0366">
            <w:pPr>
              <w:jc w:val="center"/>
              <w:rPr>
                <w:rFonts w:ascii="Cambria" w:eastAsia="Cambria" w:hAnsi="Cambria" w:cs="Cambria"/>
                <w:color w:val="000000" w:themeColor="text1"/>
              </w:rPr>
            </w:pPr>
            <w:r w:rsidRPr="000B2B97">
              <w:rPr>
                <w:rFonts w:ascii="Cambria" w:eastAsia="Cambria" w:hAnsi="Cambria" w:cs="Cambria"/>
                <w:b/>
                <w:bCs/>
                <w:color w:val="000000" w:themeColor="text1"/>
              </w:rPr>
              <w:t>Marginal WTP for Home-based Charging</w:t>
            </w:r>
            <w:r w:rsidRPr="000B2B97">
              <w:rPr>
                <w:rFonts w:ascii="Cambria" w:eastAsia="Cambria" w:hAnsi="Cambria" w:cs="Cambria"/>
                <w:color w:val="000000" w:themeColor="text1"/>
              </w:rPr>
              <w:t> </w:t>
            </w:r>
          </w:p>
        </w:tc>
      </w:tr>
      <w:tr w:rsidR="00AF0126" w:rsidRPr="000B2B97" w14:paraId="1600F56A"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1B141B"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Low PEV, Low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DF3903"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9ADC78"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      17,100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0899CB"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  476 </w:t>
            </w:r>
          </w:p>
        </w:tc>
      </w:tr>
      <w:tr w:rsidR="00AF0126" w:rsidRPr="000B2B97" w14:paraId="43A7CA1E"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D38FDE"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Low PEV, Benchmark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42FF80"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-2.5</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50D91F"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      17,100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A64B68"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w:t>
            </w:r>
            <w:r>
              <w:rPr>
                <w:rFonts w:ascii="Cambria" w:hAnsi="Cambria"/>
              </w:rPr>
              <w:t xml:space="preserve">  </w:t>
            </w:r>
            <w:r w:rsidRPr="000B2B97">
              <w:rPr>
                <w:rFonts w:ascii="Cambria" w:hAnsi="Cambria"/>
              </w:rPr>
              <w:t xml:space="preserve">370 </w:t>
            </w:r>
          </w:p>
        </w:tc>
      </w:tr>
      <w:tr w:rsidR="00AF0126" w:rsidRPr="000B2B97" w14:paraId="7D814CDD"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01CBF9"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Low PEV, High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FAD896"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-3</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53D71F"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      17,100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7097ED" w14:textId="77777777" w:rsidR="00AF0126" w:rsidRPr="000B2B97" w:rsidRDefault="00AF0126" w:rsidP="00BC0366">
            <w:pPr>
              <w:jc w:val="center"/>
              <w:rPr>
                <w:rFonts w:ascii="Cambria" w:eastAsia="Cambria" w:hAnsi="Cambria" w:cs="Cambria"/>
                <w:color w:val="000000" w:themeColor="text1"/>
              </w:rPr>
            </w:pPr>
            <w:r w:rsidRPr="000B2B97">
              <w:rPr>
                <w:rFonts w:ascii="Cambria" w:hAnsi="Cambria"/>
              </w:rPr>
              <w:t xml:space="preserve"> $  302 </w:t>
            </w:r>
          </w:p>
        </w:tc>
      </w:tr>
      <w:tr w:rsidR="00AF0126" w:rsidRPr="000B2B97" w14:paraId="512F704E"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6EBE75"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Benchmark PEV, Low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8D783B"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4A2E39"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27,058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DC22CB"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  754 </w:t>
            </w:r>
          </w:p>
        </w:tc>
      </w:tr>
      <w:tr w:rsidR="00AF0126" w:rsidRPr="000B2B97" w14:paraId="198CD0C8"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F440C5"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Benchmark PEV, Benchmark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6596A3"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-2.5</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50D996"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27,058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B81867" w14:textId="77777777" w:rsidR="00AF0126" w:rsidRPr="000B2B97" w:rsidRDefault="00AF0126" w:rsidP="00BC0366">
            <w:pPr>
              <w:jc w:val="center"/>
              <w:rPr>
                <w:rFonts w:ascii="Cambria" w:eastAsia="Calibri" w:hAnsi="Cambria" w:cs="Calibri"/>
                <w:color w:val="000000" w:themeColor="text1"/>
              </w:rPr>
            </w:pPr>
            <w:r w:rsidRPr="000B2B97">
              <w:rPr>
                <w:rFonts w:ascii="Cambria" w:hAnsi="Cambria"/>
              </w:rPr>
              <w:t xml:space="preserve"> $  585 </w:t>
            </w:r>
          </w:p>
        </w:tc>
      </w:tr>
      <w:tr w:rsidR="00AF0126" w:rsidRPr="000B2B97" w14:paraId="343B7EA4"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24652"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Benchmark PEV, High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C0A470"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-3</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711EB3"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27,058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B393D6" w14:textId="77777777" w:rsidR="00AF0126" w:rsidRPr="000B2B97" w:rsidRDefault="00AF0126" w:rsidP="00BC0366">
            <w:pPr>
              <w:jc w:val="center"/>
              <w:rPr>
                <w:rFonts w:ascii="Cambria" w:eastAsia="Cambria" w:hAnsi="Cambria" w:cs="Cambria"/>
                <w:color w:val="000000" w:themeColor="text1"/>
              </w:rPr>
            </w:pPr>
            <w:r w:rsidRPr="000B2B97">
              <w:rPr>
                <w:rFonts w:ascii="Cambria" w:hAnsi="Cambria"/>
              </w:rPr>
              <w:t xml:space="preserve"> $  478 </w:t>
            </w:r>
          </w:p>
        </w:tc>
      </w:tr>
      <w:tr w:rsidR="00AF0126" w:rsidRPr="000B2B97" w14:paraId="10B8392D"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7623D4"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High PEV, Low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497C71"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7E1A1"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37,100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D7AA96" w14:textId="77777777" w:rsidR="00AF0126" w:rsidRPr="000B2B97" w:rsidRDefault="00AF0126" w:rsidP="00BC0366">
            <w:pPr>
              <w:jc w:val="center"/>
              <w:rPr>
                <w:rFonts w:ascii="Cambria" w:eastAsia="Cambria" w:hAnsi="Cambria" w:cs="Cambria"/>
                <w:color w:val="000000" w:themeColor="text1"/>
              </w:rPr>
            </w:pPr>
            <w:r w:rsidRPr="000B2B97">
              <w:rPr>
                <w:rFonts w:ascii="Cambria" w:hAnsi="Cambria"/>
              </w:rPr>
              <w:t xml:space="preserve"> $  1,033 </w:t>
            </w:r>
          </w:p>
        </w:tc>
      </w:tr>
      <w:tr w:rsidR="00AF0126" w:rsidRPr="000B2B97" w14:paraId="4CB77510"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76306B"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High PEV, Benchmark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2C2DC4"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-2.5</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E4C18C"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37,100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E1EFC0"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  </w:t>
            </w:r>
            <w:r>
              <w:rPr>
                <w:rFonts w:ascii="Cambria" w:hAnsi="Cambria"/>
              </w:rPr>
              <w:t xml:space="preserve"> </w:t>
            </w:r>
            <w:r w:rsidRPr="000B2B97">
              <w:rPr>
                <w:rFonts w:ascii="Cambria" w:hAnsi="Cambria"/>
              </w:rPr>
              <w:t xml:space="preserve">802 </w:t>
            </w:r>
          </w:p>
        </w:tc>
      </w:tr>
      <w:tr w:rsidR="00AF0126" w:rsidRPr="000B2B97" w14:paraId="2A288EB6" w14:textId="77777777" w:rsidTr="00722492">
        <w:trPr>
          <w:trHeight w:val="540"/>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12B843" w14:textId="77777777" w:rsidR="00AF0126" w:rsidRPr="000B2B97" w:rsidRDefault="00AF0126" w:rsidP="00BC0366">
            <w:pPr>
              <w:rPr>
                <w:rFonts w:ascii="Cambria" w:eastAsia="Cambria" w:hAnsi="Cambria" w:cs="Cambria"/>
                <w:color w:val="000000" w:themeColor="text1"/>
              </w:rPr>
            </w:pPr>
            <w:r w:rsidRPr="000B2B97">
              <w:rPr>
                <w:rFonts w:ascii="Cambria" w:eastAsia="Cambria" w:hAnsi="Cambria" w:cs="Cambria"/>
                <w:color w:val="000000" w:themeColor="text1"/>
              </w:rPr>
              <w:t>High PEV, High Elasticity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33A6D3"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-3</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3C73E" w14:textId="77777777" w:rsidR="00AF0126" w:rsidRPr="000B2B97" w:rsidRDefault="00AF0126" w:rsidP="00BC0366">
            <w:pPr>
              <w:ind w:right="45"/>
              <w:jc w:val="center"/>
              <w:rPr>
                <w:rFonts w:ascii="Cambria" w:eastAsia="Cambria" w:hAnsi="Cambria" w:cs="Cambria"/>
                <w:color w:val="000000" w:themeColor="text1"/>
              </w:rPr>
            </w:pPr>
            <w:r w:rsidRPr="000B2B97">
              <w:rPr>
                <w:rFonts w:ascii="Cambria" w:eastAsia="Cambria" w:hAnsi="Cambria" w:cs="Cambria"/>
                <w:color w:val="000000" w:themeColor="text1"/>
              </w:rPr>
              <w:t>$      37,100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4F6027" w14:textId="77777777" w:rsidR="00AF0126" w:rsidRPr="000B2B97" w:rsidRDefault="00AF0126" w:rsidP="00BC0366">
            <w:pPr>
              <w:jc w:val="center"/>
              <w:rPr>
                <w:rFonts w:ascii="Cambria" w:hAnsi="Cambria" w:cs="Times New Roman"/>
                <w:color w:val="000000" w:themeColor="text1"/>
              </w:rPr>
            </w:pPr>
            <w:r w:rsidRPr="000B2B97">
              <w:rPr>
                <w:rFonts w:ascii="Cambria" w:hAnsi="Cambria"/>
              </w:rPr>
              <w:t xml:space="preserve"> $ </w:t>
            </w:r>
            <w:r>
              <w:rPr>
                <w:rFonts w:ascii="Cambria" w:hAnsi="Cambria"/>
              </w:rPr>
              <w:t xml:space="preserve"> </w:t>
            </w:r>
            <w:r w:rsidRPr="000B2B97">
              <w:rPr>
                <w:rFonts w:ascii="Cambria" w:hAnsi="Cambria"/>
              </w:rPr>
              <w:t xml:space="preserve"> 655 </w:t>
            </w:r>
          </w:p>
        </w:tc>
      </w:tr>
    </w:tbl>
    <w:p w14:paraId="68DE7741" w14:textId="77777777" w:rsidR="00AF0126" w:rsidRDefault="00AF0126" w:rsidP="00AF0126">
      <w:pPr>
        <w:rPr>
          <w:rFonts w:ascii="Cambria" w:hAnsi="Cambria" w:cs="Times New Roman"/>
          <w:color w:val="000000" w:themeColor="text1"/>
        </w:rPr>
      </w:pPr>
    </w:p>
    <w:p w14:paraId="2D336BB3" w14:textId="77777777" w:rsidR="00100D2A" w:rsidRDefault="00100D2A" w:rsidP="00AF0126">
      <w:pPr>
        <w:rPr>
          <w:rFonts w:ascii="Cambria" w:hAnsi="Cambria" w:cs="Times New Roman"/>
          <w:color w:val="000000" w:themeColor="text1"/>
        </w:rPr>
      </w:pPr>
    </w:p>
    <w:p w14:paraId="271C4376" w14:textId="60A05129" w:rsidR="009A298B" w:rsidRPr="005563DA" w:rsidRDefault="009A298B" w:rsidP="00100D2A">
      <w:pPr>
        <w:pStyle w:val="Heading2"/>
      </w:pPr>
      <w:bookmarkStart w:id="78" w:name="_Toc165394437"/>
      <w:bookmarkStart w:id="79" w:name="_Toc167481015"/>
      <w:bookmarkStart w:id="80" w:name="_Toc173410606"/>
      <w:bookmarkStart w:id="81" w:name="_Toc174454620"/>
      <w:bookmarkStart w:id="82" w:name="_Toc174455348"/>
      <w:r w:rsidRPr="005563DA">
        <w:t xml:space="preserve">Table 6. Difference in willingness to pay </w:t>
      </w:r>
      <w:r w:rsidR="005563DA" w:rsidRPr="005563DA">
        <w:t xml:space="preserve">for home charging </w:t>
      </w:r>
      <w:r w:rsidRPr="005563DA">
        <w:t xml:space="preserve">in equivalent </w:t>
      </w:r>
      <w:r w:rsidR="005563DA" w:rsidRPr="005563DA">
        <w:t>hours.</w:t>
      </w:r>
      <w:bookmarkEnd w:id="78"/>
      <w:bookmarkEnd w:id="79"/>
      <w:bookmarkEnd w:id="80"/>
      <w:bookmarkEnd w:id="81"/>
      <w:bookmarkEnd w:id="82"/>
    </w:p>
    <w:tbl>
      <w:tblPr>
        <w:tblStyle w:val="TableGrid"/>
        <w:tblW w:w="9085" w:type="dxa"/>
        <w:tblLook w:val="04A0" w:firstRow="1" w:lastRow="0" w:firstColumn="1" w:lastColumn="0" w:noHBand="0" w:noVBand="1"/>
      </w:tblPr>
      <w:tblGrid>
        <w:gridCol w:w="3345"/>
        <w:gridCol w:w="3220"/>
        <w:gridCol w:w="2520"/>
      </w:tblGrid>
      <w:tr w:rsidR="00AF0126" w:rsidRPr="00C93C5F" w14:paraId="4741E479" w14:textId="77777777" w:rsidTr="00EE1989">
        <w:trPr>
          <w:trHeight w:val="890"/>
        </w:trPr>
        <w:tc>
          <w:tcPr>
            <w:tcW w:w="3345" w:type="dxa"/>
            <w:noWrap/>
            <w:hideMark/>
          </w:tcPr>
          <w:p w14:paraId="3991DCCB" w14:textId="77777777" w:rsidR="00AF0126" w:rsidRDefault="00AF0126" w:rsidP="00BC0366">
            <w:pPr>
              <w:spacing w:after="160" w:line="259" w:lineRule="auto"/>
              <w:jc w:val="center"/>
              <w:rPr>
                <w:rFonts w:ascii="Cambria" w:hAnsi="Cambria" w:cs="Times New Roman"/>
                <w:b/>
                <w:bCs/>
                <w:color w:val="000000" w:themeColor="text1"/>
              </w:rPr>
            </w:pPr>
          </w:p>
          <w:p w14:paraId="2BD02BF8" w14:textId="77777777" w:rsidR="00AF0126" w:rsidRPr="00C93C5F" w:rsidRDefault="00AF0126" w:rsidP="00BC0366">
            <w:pPr>
              <w:jc w:val="center"/>
              <w:rPr>
                <w:rFonts w:ascii="Cambria" w:hAnsi="Cambria" w:cs="Times New Roman"/>
                <w:b/>
                <w:bCs/>
                <w:color w:val="000000" w:themeColor="text1"/>
              </w:rPr>
            </w:pPr>
            <w:r w:rsidRPr="00C93C5F">
              <w:rPr>
                <w:rFonts w:ascii="Cambria" w:hAnsi="Cambria" w:cs="Times New Roman"/>
                <w:b/>
                <w:bCs/>
                <w:color w:val="000000" w:themeColor="text1"/>
              </w:rPr>
              <w:t>Scenario</w:t>
            </w:r>
          </w:p>
        </w:tc>
        <w:tc>
          <w:tcPr>
            <w:tcW w:w="3220" w:type="dxa"/>
            <w:noWrap/>
            <w:hideMark/>
          </w:tcPr>
          <w:p w14:paraId="6C3382DC" w14:textId="232BAB89" w:rsidR="00AF0126" w:rsidRPr="00C93C5F" w:rsidRDefault="00AF0126" w:rsidP="00BC0366">
            <w:pPr>
              <w:jc w:val="center"/>
              <w:rPr>
                <w:rFonts w:ascii="Cambria" w:hAnsi="Cambria" w:cs="Times New Roman"/>
                <w:b/>
                <w:bCs/>
                <w:color w:val="000000" w:themeColor="text1"/>
              </w:rPr>
            </w:pPr>
            <w:r>
              <w:rPr>
                <w:rFonts w:ascii="Cambria" w:hAnsi="Cambria" w:cs="Times New Roman"/>
                <w:b/>
                <w:bCs/>
                <w:color w:val="000000" w:themeColor="text1"/>
              </w:rPr>
              <w:t xml:space="preserve">Difference in </w:t>
            </w:r>
            <w:r w:rsidRPr="00C93C5F">
              <w:rPr>
                <w:rFonts w:ascii="Cambria" w:hAnsi="Cambria" w:cs="Times New Roman"/>
                <w:b/>
                <w:bCs/>
                <w:color w:val="000000" w:themeColor="text1"/>
              </w:rPr>
              <w:t xml:space="preserve">WTP for </w:t>
            </w:r>
            <w:r w:rsidR="00C4405E">
              <w:rPr>
                <w:rFonts w:ascii="Cambria" w:hAnsi="Cambria" w:cs="Times New Roman"/>
                <w:b/>
                <w:bCs/>
                <w:color w:val="000000" w:themeColor="text1"/>
              </w:rPr>
              <w:t>h</w:t>
            </w:r>
            <w:r w:rsidRPr="00C93C5F">
              <w:rPr>
                <w:rFonts w:ascii="Cambria" w:hAnsi="Cambria" w:cs="Times New Roman"/>
                <w:b/>
                <w:bCs/>
                <w:color w:val="000000" w:themeColor="text1"/>
              </w:rPr>
              <w:t xml:space="preserve">ome-based </w:t>
            </w:r>
            <w:r w:rsidR="00C4405E">
              <w:rPr>
                <w:rFonts w:ascii="Cambria" w:hAnsi="Cambria" w:cs="Times New Roman"/>
                <w:b/>
                <w:bCs/>
                <w:color w:val="000000" w:themeColor="text1"/>
              </w:rPr>
              <w:t>c</w:t>
            </w:r>
            <w:r w:rsidRPr="00C93C5F">
              <w:rPr>
                <w:rFonts w:ascii="Cambria" w:hAnsi="Cambria" w:cs="Times New Roman"/>
                <w:b/>
                <w:bCs/>
                <w:color w:val="000000" w:themeColor="text1"/>
              </w:rPr>
              <w:t>harging</w:t>
            </w:r>
            <w:r w:rsidR="00C4405E">
              <w:rPr>
                <w:rFonts w:ascii="Cambria" w:hAnsi="Cambria" w:cs="Times New Roman"/>
                <w:b/>
                <w:bCs/>
                <w:color w:val="000000" w:themeColor="text1"/>
              </w:rPr>
              <w:t xml:space="preserve"> between income </w:t>
            </w:r>
            <w:r w:rsidR="00860E9E">
              <w:rPr>
                <w:rFonts w:ascii="Cambria" w:hAnsi="Cambria" w:cs="Times New Roman"/>
                <w:b/>
                <w:bCs/>
                <w:color w:val="000000" w:themeColor="text1"/>
              </w:rPr>
              <w:t>type</w:t>
            </w:r>
          </w:p>
        </w:tc>
        <w:tc>
          <w:tcPr>
            <w:tcW w:w="2520" w:type="dxa"/>
            <w:noWrap/>
            <w:hideMark/>
          </w:tcPr>
          <w:p w14:paraId="0F3033DA" w14:textId="77777777" w:rsidR="00AF0126" w:rsidRPr="00C93C5F" w:rsidRDefault="00AF0126" w:rsidP="00BC0366">
            <w:pPr>
              <w:jc w:val="center"/>
              <w:rPr>
                <w:rFonts w:ascii="Cambria" w:hAnsi="Cambria" w:cs="Times New Roman"/>
                <w:b/>
                <w:bCs/>
                <w:color w:val="000000" w:themeColor="text1"/>
              </w:rPr>
            </w:pPr>
            <w:r>
              <w:rPr>
                <w:rFonts w:ascii="Cambria" w:hAnsi="Cambria" w:cs="Times New Roman"/>
                <w:b/>
                <w:bCs/>
                <w:color w:val="000000" w:themeColor="text1"/>
              </w:rPr>
              <w:t>Equivalent number of hours per week based on Value of Time</w:t>
            </w:r>
          </w:p>
        </w:tc>
      </w:tr>
      <w:tr w:rsidR="000406C7" w:rsidRPr="00C93C5F" w14:paraId="11FB8E38" w14:textId="77777777" w:rsidTr="00EE1989">
        <w:trPr>
          <w:trHeight w:val="282"/>
        </w:trPr>
        <w:tc>
          <w:tcPr>
            <w:tcW w:w="3345" w:type="dxa"/>
            <w:hideMark/>
          </w:tcPr>
          <w:p w14:paraId="45E6CB3A"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Low PEV, Low Elasticity</w:t>
            </w:r>
          </w:p>
        </w:tc>
        <w:tc>
          <w:tcPr>
            <w:tcW w:w="3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0F3EAC"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$ 5,916</w:t>
            </w:r>
          </w:p>
        </w:tc>
        <w:tc>
          <w:tcPr>
            <w:tcW w:w="2520" w:type="dxa"/>
            <w:noWrap/>
            <w:hideMark/>
          </w:tcPr>
          <w:p w14:paraId="5DE414B7" w14:textId="54140D72"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4.8</w:t>
            </w:r>
          </w:p>
        </w:tc>
      </w:tr>
      <w:tr w:rsidR="000406C7" w:rsidRPr="00C93C5F" w14:paraId="7F45D8B3" w14:textId="77777777" w:rsidTr="00EE1989">
        <w:trPr>
          <w:trHeight w:val="282"/>
        </w:trPr>
        <w:tc>
          <w:tcPr>
            <w:tcW w:w="3345" w:type="dxa"/>
            <w:hideMark/>
          </w:tcPr>
          <w:p w14:paraId="7A8BB6BC"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Low PEV, Benchmark Elasticity</w:t>
            </w: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5CEE3392"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$ 2,637</w:t>
            </w:r>
          </w:p>
        </w:tc>
        <w:tc>
          <w:tcPr>
            <w:tcW w:w="2520" w:type="dxa"/>
            <w:noWrap/>
            <w:hideMark/>
          </w:tcPr>
          <w:p w14:paraId="393D49D2" w14:textId="6AE735DC"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2.1</w:t>
            </w:r>
          </w:p>
        </w:tc>
      </w:tr>
      <w:tr w:rsidR="000406C7" w:rsidRPr="00C93C5F" w14:paraId="27FF4C48" w14:textId="77777777" w:rsidTr="00EE1989">
        <w:trPr>
          <w:trHeight w:val="282"/>
        </w:trPr>
        <w:tc>
          <w:tcPr>
            <w:tcW w:w="3345" w:type="dxa"/>
            <w:hideMark/>
          </w:tcPr>
          <w:p w14:paraId="35973BF2"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Low PEV, High Elasticity</w:t>
            </w: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05E38291"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$ 1,611</w:t>
            </w:r>
          </w:p>
        </w:tc>
        <w:tc>
          <w:tcPr>
            <w:tcW w:w="2520" w:type="dxa"/>
            <w:noWrap/>
            <w:hideMark/>
          </w:tcPr>
          <w:p w14:paraId="0414AB61" w14:textId="7921BF19"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1.3</w:t>
            </w:r>
          </w:p>
        </w:tc>
      </w:tr>
      <w:tr w:rsidR="000406C7" w:rsidRPr="00C93C5F" w14:paraId="2AA78217" w14:textId="77777777" w:rsidTr="00EE1989">
        <w:trPr>
          <w:trHeight w:val="282"/>
        </w:trPr>
        <w:tc>
          <w:tcPr>
            <w:tcW w:w="3345" w:type="dxa"/>
            <w:hideMark/>
          </w:tcPr>
          <w:p w14:paraId="081E27CC"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Benchmark PEV, Low Elasticity</w:t>
            </w: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07E97516"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$ 9,360</w:t>
            </w:r>
          </w:p>
        </w:tc>
        <w:tc>
          <w:tcPr>
            <w:tcW w:w="2520" w:type="dxa"/>
            <w:noWrap/>
            <w:hideMark/>
          </w:tcPr>
          <w:p w14:paraId="223D7468" w14:textId="70DE554C"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7.6</w:t>
            </w:r>
          </w:p>
        </w:tc>
      </w:tr>
      <w:tr w:rsidR="000406C7" w:rsidRPr="00C93C5F" w14:paraId="60CA84DB" w14:textId="77777777" w:rsidTr="00EE1989">
        <w:trPr>
          <w:trHeight w:val="359"/>
        </w:trPr>
        <w:tc>
          <w:tcPr>
            <w:tcW w:w="3345" w:type="dxa"/>
            <w:hideMark/>
          </w:tcPr>
          <w:p w14:paraId="77366AB1"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Benchmark PEV and Elasticity</w:t>
            </w: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7DA80D4C"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$ 4,174</w:t>
            </w:r>
          </w:p>
        </w:tc>
        <w:tc>
          <w:tcPr>
            <w:tcW w:w="2520" w:type="dxa"/>
            <w:noWrap/>
            <w:hideMark/>
          </w:tcPr>
          <w:p w14:paraId="7BE6D01B" w14:textId="40874BD3"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3.4</w:t>
            </w:r>
          </w:p>
        </w:tc>
      </w:tr>
      <w:tr w:rsidR="000406C7" w:rsidRPr="00C93C5F" w14:paraId="7AD78D88" w14:textId="77777777" w:rsidTr="00EE1989">
        <w:trPr>
          <w:trHeight w:val="282"/>
        </w:trPr>
        <w:tc>
          <w:tcPr>
            <w:tcW w:w="3345" w:type="dxa"/>
            <w:hideMark/>
          </w:tcPr>
          <w:p w14:paraId="5457B8DF"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Benchmark PEV, High Elasticity</w:t>
            </w: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445C31C1"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$ 2,548</w:t>
            </w:r>
          </w:p>
        </w:tc>
        <w:tc>
          <w:tcPr>
            <w:tcW w:w="2520" w:type="dxa"/>
            <w:noWrap/>
            <w:hideMark/>
          </w:tcPr>
          <w:p w14:paraId="1FEDA4CA" w14:textId="1426602A"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2.1</w:t>
            </w:r>
          </w:p>
        </w:tc>
      </w:tr>
      <w:tr w:rsidR="000406C7" w:rsidRPr="00C93C5F" w14:paraId="7768CE84" w14:textId="77777777" w:rsidTr="00EE1989">
        <w:trPr>
          <w:trHeight w:val="282"/>
        </w:trPr>
        <w:tc>
          <w:tcPr>
            <w:tcW w:w="3345" w:type="dxa"/>
            <w:hideMark/>
          </w:tcPr>
          <w:p w14:paraId="3A5D846E"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High PEV, Low Elasticity</w:t>
            </w: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30AE4AB3"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$ 12,835</w:t>
            </w:r>
          </w:p>
        </w:tc>
        <w:tc>
          <w:tcPr>
            <w:tcW w:w="2520" w:type="dxa"/>
            <w:noWrap/>
            <w:hideMark/>
          </w:tcPr>
          <w:p w14:paraId="29748D98" w14:textId="0DD25549"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10.4</w:t>
            </w:r>
          </w:p>
        </w:tc>
      </w:tr>
      <w:tr w:rsidR="000406C7" w:rsidRPr="00C93C5F" w14:paraId="0148CF1F" w14:textId="77777777" w:rsidTr="00EE1989">
        <w:trPr>
          <w:trHeight w:val="188"/>
        </w:trPr>
        <w:tc>
          <w:tcPr>
            <w:tcW w:w="3345" w:type="dxa"/>
            <w:hideMark/>
          </w:tcPr>
          <w:p w14:paraId="0AC7970A"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High PEV, Benchmark Elasticity</w:t>
            </w: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25FA227E"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$ 5,723</w:t>
            </w:r>
          </w:p>
        </w:tc>
        <w:tc>
          <w:tcPr>
            <w:tcW w:w="2520" w:type="dxa"/>
            <w:noWrap/>
            <w:hideMark/>
          </w:tcPr>
          <w:p w14:paraId="0809F6AC" w14:textId="04148E7A"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4.6</w:t>
            </w:r>
          </w:p>
        </w:tc>
      </w:tr>
    </w:tbl>
    <w:p w14:paraId="64D9BF47" w14:textId="6B00E591" w:rsidR="00EE1989" w:rsidRPr="00EE1989" w:rsidRDefault="00EE1989">
      <w:pPr>
        <w:rPr>
          <w:rFonts w:ascii="Times New Roman" w:hAnsi="Times New Roman" w:cs="Times New Roman"/>
          <w:b/>
        </w:rPr>
      </w:pPr>
      <w:r w:rsidRPr="00EE1989">
        <w:rPr>
          <w:rFonts w:ascii="Times New Roman" w:hAnsi="Times New Roman" w:cs="Times New Roman"/>
          <w:b/>
        </w:rPr>
        <w:lastRenderedPageBreak/>
        <w:t>Table 6 Continued</w:t>
      </w:r>
    </w:p>
    <w:p w14:paraId="66DB5778" w14:textId="77777777" w:rsidR="00EE1989" w:rsidRDefault="00EE1989"/>
    <w:tbl>
      <w:tblPr>
        <w:tblStyle w:val="TableGrid"/>
        <w:tblW w:w="9085" w:type="dxa"/>
        <w:tblLook w:val="04A0" w:firstRow="1" w:lastRow="0" w:firstColumn="1" w:lastColumn="0" w:noHBand="0" w:noVBand="1"/>
      </w:tblPr>
      <w:tblGrid>
        <w:gridCol w:w="3345"/>
        <w:gridCol w:w="3220"/>
        <w:gridCol w:w="2520"/>
      </w:tblGrid>
      <w:tr w:rsidR="000406C7" w:rsidRPr="00C93C5F" w14:paraId="79051F34" w14:textId="77777777" w:rsidTr="00EE1989">
        <w:trPr>
          <w:trHeight w:val="282"/>
        </w:trPr>
        <w:tc>
          <w:tcPr>
            <w:tcW w:w="3345" w:type="dxa"/>
            <w:hideMark/>
          </w:tcPr>
          <w:p w14:paraId="613E994C" w14:textId="77777777" w:rsidR="000406C7" w:rsidRPr="00C4405E" w:rsidRDefault="000406C7" w:rsidP="000406C7">
            <w:pPr>
              <w:jc w:val="center"/>
              <w:rPr>
                <w:rFonts w:ascii="Times New Roman" w:hAnsi="Times New Roman" w:cs="Times New Roman"/>
                <w:color w:val="000000" w:themeColor="text1"/>
                <w:sz w:val="22"/>
                <w:szCs w:val="22"/>
              </w:rPr>
            </w:pPr>
            <w:r w:rsidRPr="00C4405E">
              <w:rPr>
                <w:rFonts w:ascii="Times New Roman" w:hAnsi="Times New Roman" w:cs="Times New Roman"/>
                <w:color w:val="000000" w:themeColor="text1"/>
                <w:sz w:val="22"/>
                <w:szCs w:val="22"/>
              </w:rPr>
              <w:t>High PEV, High Elasticity</w:t>
            </w:r>
          </w:p>
        </w:tc>
        <w:tc>
          <w:tcPr>
            <w:tcW w:w="3220" w:type="dxa"/>
            <w:tcBorders>
              <w:top w:val="nil"/>
              <w:left w:val="single" w:sz="4" w:space="0" w:color="auto"/>
              <w:bottom w:val="nil"/>
              <w:right w:val="single" w:sz="4" w:space="0" w:color="auto"/>
            </w:tcBorders>
            <w:shd w:val="clear" w:color="auto" w:fill="auto"/>
            <w:noWrap/>
            <w:vAlign w:val="bottom"/>
          </w:tcPr>
          <w:p w14:paraId="398BEBED" w14:textId="77777777" w:rsidR="000406C7" w:rsidRPr="00C4405E" w:rsidRDefault="000406C7" w:rsidP="000406C7">
            <w:pPr>
              <w:jc w:val="center"/>
              <w:rPr>
                <w:rFonts w:ascii="Times New Roman" w:hAnsi="Times New Roman" w:cs="Times New Roman"/>
                <w:color w:val="000000" w:themeColor="text1"/>
              </w:rPr>
            </w:pPr>
            <w:r w:rsidRPr="00C4405E">
              <w:rPr>
                <w:rFonts w:ascii="Times New Roman" w:hAnsi="Times New Roman" w:cs="Times New Roman"/>
                <w:color w:val="000000"/>
              </w:rPr>
              <w:t>$ 3,494</w:t>
            </w:r>
          </w:p>
        </w:tc>
        <w:tc>
          <w:tcPr>
            <w:tcW w:w="2520" w:type="dxa"/>
            <w:noWrap/>
            <w:hideMark/>
          </w:tcPr>
          <w:p w14:paraId="47E6B6F1" w14:textId="5EBF9246" w:rsidR="000406C7" w:rsidRPr="000406C7" w:rsidRDefault="000406C7" w:rsidP="000406C7">
            <w:pPr>
              <w:jc w:val="center"/>
              <w:rPr>
                <w:rFonts w:ascii="Times New Roman" w:hAnsi="Times New Roman" w:cs="Times New Roman"/>
                <w:color w:val="000000" w:themeColor="text1"/>
              </w:rPr>
            </w:pPr>
            <w:r w:rsidRPr="000406C7">
              <w:rPr>
                <w:rFonts w:ascii="Times New Roman" w:hAnsi="Times New Roman" w:cs="Times New Roman"/>
              </w:rPr>
              <w:t>2.8</w:t>
            </w:r>
          </w:p>
        </w:tc>
      </w:tr>
      <w:tr w:rsidR="00EE1989" w:rsidRPr="00C93C5F" w14:paraId="6B92D381" w14:textId="77777777" w:rsidTr="00EE1989">
        <w:trPr>
          <w:trHeight w:val="282"/>
        </w:trPr>
        <w:tc>
          <w:tcPr>
            <w:tcW w:w="3345" w:type="dxa"/>
            <w:tcBorders>
              <w:bottom w:val="single" w:sz="4" w:space="0" w:color="auto"/>
            </w:tcBorders>
          </w:tcPr>
          <w:p w14:paraId="5C3C3B9C" w14:textId="77777777" w:rsidR="00EE1989" w:rsidRPr="00C4405E" w:rsidRDefault="00EE1989" w:rsidP="000406C7">
            <w:pPr>
              <w:jc w:val="center"/>
              <w:rPr>
                <w:rFonts w:ascii="Times New Roman" w:hAnsi="Times New Roman" w:cs="Times New Roman"/>
                <w:color w:val="000000" w:themeColor="text1"/>
                <w:sz w:val="22"/>
                <w:szCs w:val="22"/>
              </w:rPr>
            </w:pPr>
          </w:p>
        </w:tc>
        <w:tc>
          <w:tcPr>
            <w:tcW w:w="3220" w:type="dxa"/>
            <w:tcBorders>
              <w:top w:val="nil"/>
              <w:left w:val="single" w:sz="4" w:space="0" w:color="auto"/>
              <w:bottom w:val="single" w:sz="4" w:space="0" w:color="auto"/>
              <w:right w:val="single" w:sz="4" w:space="0" w:color="auto"/>
            </w:tcBorders>
            <w:shd w:val="clear" w:color="auto" w:fill="auto"/>
            <w:noWrap/>
            <w:vAlign w:val="bottom"/>
          </w:tcPr>
          <w:p w14:paraId="0DC7C0F8" w14:textId="77777777" w:rsidR="00EE1989" w:rsidRPr="00C4405E" w:rsidRDefault="00EE1989" w:rsidP="000406C7">
            <w:pPr>
              <w:jc w:val="center"/>
              <w:rPr>
                <w:rFonts w:ascii="Times New Roman" w:hAnsi="Times New Roman" w:cs="Times New Roman"/>
                <w:color w:val="000000"/>
              </w:rPr>
            </w:pPr>
          </w:p>
        </w:tc>
        <w:tc>
          <w:tcPr>
            <w:tcW w:w="2520" w:type="dxa"/>
            <w:tcBorders>
              <w:bottom w:val="single" w:sz="4" w:space="0" w:color="auto"/>
            </w:tcBorders>
            <w:noWrap/>
          </w:tcPr>
          <w:p w14:paraId="43428FC8" w14:textId="77777777" w:rsidR="00EE1989" w:rsidRPr="000406C7" w:rsidRDefault="00EE1989" w:rsidP="000406C7">
            <w:pPr>
              <w:jc w:val="center"/>
              <w:rPr>
                <w:rFonts w:ascii="Times New Roman" w:hAnsi="Times New Roman" w:cs="Times New Roman"/>
              </w:rPr>
            </w:pPr>
          </w:p>
        </w:tc>
      </w:tr>
    </w:tbl>
    <w:p w14:paraId="1DC44026" w14:textId="77777777" w:rsidR="00EE1989" w:rsidRDefault="000B0A40" w:rsidP="00C67197">
      <w:pPr>
        <w:pStyle w:val="Heading1"/>
      </w:pPr>
      <w:r w:rsidRPr="00E354FA">
        <w:t xml:space="preserve"> </w:t>
      </w:r>
      <w:bookmarkStart w:id="83" w:name="_Toc165394439"/>
      <w:bookmarkStart w:id="84" w:name="_Toc174455349"/>
    </w:p>
    <w:p w14:paraId="2EB0061B" w14:textId="77777777" w:rsidR="00EE1989" w:rsidRDefault="00EE1989" w:rsidP="00C67197">
      <w:pPr>
        <w:pStyle w:val="Heading1"/>
      </w:pPr>
    </w:p>
    <w:p w14:paraId="057A008E" w14:textId="77777777" w:rsidR="00EE1989" w:rsidRDefault="00EE1989" w:rsidP="00C67197">
      <w:pPr>
        <w:pStyle w:val="Heading1"/>
      </w:pPr>
    </w:p>
    <w:p w14:paraId="5FA46FCB" w14:textId="77777777" w:rsidR="00EE1989" w:rsidRDefault="00EE1989" w:rsidP="00C67197">
      <w:pPr>
        <w:pStyle w:val="Heading1"/>
      </w:pPr>
    </w:p>
    <w:p w14:paraId="394F1450" w14:textId="77777777" w:rsidR="00EE1989" w:rsidRDefault="00EE1989" w:rsidP="00C67197">
      <w:pPr>
        <w:pStyle w:val="Heading1"/>
      </w:pPr>
    </w:p>
    <w:p w14:paraId="7138518D" w14:textId="77777777" w:rsidR="00EE1989" w:rsidRDefault="00EE1989" w:rsidP="00C67197">
      <w:pPr>
        <w:pStyle w:val="Heading1"/>
      </w:pPr>
    </w:p>
    <w:p w14:paraId="6D851354" w14:textId="77777777" w:rsidR="00EE1989" w:rsidRDefault="00EE1989" w:rsidP="00C67197">
      <w:pPr>
        <w:pStyle w:val="Heading1"/>
      </w:pPr>
    </w:p>
    <w:p w14:paraId="25F65327" w14:textId="77777777" w:rsidR="00EE1989" w:rsidRDefault="00EE1989" w:rsidP="00C67197">
      <w:pPr>
        <w:pStyle w:val="Heading1"/>
      </w:pPr>
    </w:p>
    <w:p w14:paraId="499F4530" w14:textId="77777777" w:rsidR="00EE1989" w:rsidRDefault="00EE1989" w:rsidP="00C67197">
      <w:pPr>
        <w:pStyle w:val="Heading1"/>
      </w:pPr>
    </w:p>
    <w:p w14:paraId="4BFF4A72" w14:textId="77777777" w:rsidR="00EE1989" w:rsidRDefault="00EE1989" w:rsidP="00C67197">
      <w:pPr>
        <w:pStyle w:val="Heading1"/>
      </w:pPr>
    </w:p>
    <w:p w14:paraId="40C00514" w14:textId="77777777" w:rsidR="00EE1989" w:rsidRDefault="00EE1989" w:rsidP="00C67197">
      <w:pPr>
        <w:pStyle w:val="Heading1"/>
      </w:pPr>
    </w:p>
    <w:p w14:paraId="212CCC15" w14:textId="77777777" w:rsidR="00EE1989" w:rsidRDefault="00EE1989" w:rsidP="00C67197">
      <w:pPr>
        <w:pStyle w:val="Heading1"/>
      </w:pPr>
    </w:p>
    <w:p w14:paraId="21D8A48B" w14:textId="77777777" w:rsidR="00EE1989" w:rsidRDefault="00EE1989" w:rsidP="00C67197">
      <w:pPr>
        <w:pStyle w:val="Heading1"/>
      </w:pPr>
    </w:p>
    <w:p w14:paraId="558D77F7" w14:textId="77777777" w:rsidR="00EE1989" w:rsidRDefault="00EE1989" w:rsidP="00C67197">
      <w:pPr>
        <w:pStyle w:val="Heading1"/>
      </w:pPr>
    </w:p>
    <w:p w14:paraId="4BE6C916" w14:textId="77777777" w:rsidR="00EE1989" w:rsidRDefault="00EE1989" w:rsidP="00C67197">
      <w:pPr>
        <w:pStyle w:val="Heading1"/>
      </w:pPr>
    </w:p>
    <w:p w14:paraId="47773B2C" w14:textId="77777777" w:rsidR="00EE1989" w:rsidRDefault="00EE1989" w:rsidP="00C67197">
      <w:pPr>
        <w:pStyle w:val="Heading1"/>
      </w:pPr>
    </w:p>
    <w:p w14:paraId="7AD5DFD7" w14:textId="77777777" w:rsidR="00EE1989" w:rsidRDefault="00EE1989" w:rsidP="00C67197">
      <w:pPr>
        <w:pStyle w:val="Heading1"/>
      </w:pPr>
    </w:p>
    <w:p w14:paraId="68B2DF76" w14:textId="77777777" w:rsidR="00EE1989" w:rsidRDefault="00EE1989" w:rsidP="00C67197">
      <w:pPr>
        <w:pStyle w:val="Heading1"/>
      </w:pPr>
    </w:p>
    <w:p w14:paraId="264BF956" w14:textId="77777777" w:rsidR="00EE1989" w:rsidRDefault="00EE1989" w:rsidP="00C67197">
      <w:pPr>
        <w:pStyle w:val="Heading1"/>
      </w:pPr>
    </w:p>
    <w:p w14:paraId="0ADD3F80" w14:textId="359FD8BE" w:rsidR="00EE1989" w:rsidRDefault="00EE1989" w:rsidP="00A008FE">
      <w:pPr>
        <w:pStyle w:val="Heading1"/>
        <w:jc w:val="left"/>
      </w:pPr>
    </w:p>
    <w:p w14:paraId="504AC9AA" w14:textId="77777777" w:rsidR="00A008FE" w:rsidRPr="00A008FE" w:rsidRDefault="00A008FE" w:rsidP="00A008FE"/>
    <w:p w14:paraId="058E3C3A" w14:textId="7CEF7EB7" w:rsidR="00191DD7" w:rsidRPr="00E354FA" w:rsidRDefault="00240CD4" w:rsidP="00C67197">
      <w:pPr>
        <w:pStyle w:val="Heading1"/>
      </w:pPr>
      <w:r w:rsidRPr="00E354FA">
        <w:lastRenderedPageBreak/>
        <w:t>VITA</w:t>
      </w:r>
      <w:bookmarkEnd w:id="83"/>
      <w:bookmarkEnd w:id="84"/>
    </w:p>
    <w:p w14:paraId="3CA93438" w14:textId="18E1194B" w:rsidR="00AE125E" w:rsidRPr="009D2AA9" w:rsidRDefault="003D63DF" w:rsidP="00F026DD">
      <w:pPr>
        <w:ind w:firstLine="720"/>
        <w:rPr>
          <w:rFonts w:ascii="Times New Roman" w:hAnsi="Times New Roman" w:cs="Times New Roman"/>
        </w:rPr>
      </w:pPr>
      <w:r w:rsidRPr="009D2AA9">
        <w:rPr>
          <w:rFonts w:ascii="Times New Roman" w:hAnsi="Times New Roman" w:cs="Times New Roman"/>
        </w:rPr>
        <w:tab/>
      </w:r>
      <w:r w:rsidR="00384647">
        <w:rPr>
          <w:rFonts w:ascii="Times New Roman" w:hAnsi="Times New Roman" w:cs="Times New Roman"/>
        </w:rPr>
        <w:t>Lauren Pate</w:t>
      </w:r>
      <w:r w:rsidRPr="009D2AA9">
        <w:rPr>
          <w:rFonts w:ascii="Times New Roman" w:hAnsi="Times New Roman" w:cs="Times New Roman"/>
        </w:rPr>
        <w:t xml:space="preserve"> was born</w:t>
      </w:r>
      <w:r w:rsidR="00384647">
        <w:rPr>
          <w:rFonts w:ascii="Times New Roman" w:hAnsi="Times New Roman" w:cs="Times New Roman"/>
        </w:rPr>
        <w:t xml:space="preserve"> October 11, </w:t>
      </w:r>
      <w:r w:rsidR="00E031EC">
        <w:rPr>
          <w:rFonts w:ascii="Times New Roman" w:hAnsi="Times New Roman" w:cs="Times New Roman"/>
        </w:rPr>
        <w:t>1999, in Slidell, Louisiana</w:t>
      </w:r>
      <w:r w:rsidR="003D07F7" w:rsidRPr="009D2AA9">
        <w:rPr>
          <w:rFonts w:ascii="Times New Roman" w:hAnsi="Times New Roman" w:cs="Times New Roman"/>
        </w:rPr>
        <w:t xml:space="preserve">. </w:t>
      </w:r>
      <w:r w:rsidR="00C95581" w:rsidRPr="009D2AA9">
        <w:rPr>
          <w:rFonts w:ascii="Times New Roman" w:hAnsi="Times New Roman" w:cs="Times New Roman"/>
        </w:rPr>
        <w:t>Sh</w:t>
      </w:r>
      <w:r w:rsidR="003D07F7" w:rsidRPr="009D2AA9">
        <w:rPr>
          <w:rFonts w:ascii="Times New Roman" w:hAnsi="Times New Roman" w:cs="Times New Roman"/>
        </w:rPr>
        <w:t xml:space="preserve">e </w:t>
      </w:r>
      <w:r w:rsidR="00F026DD">
        <w:rPr>
          <w:rFonts w:ascii="Times New Roman" w:hAnsi="Times New Roman" w:cs="Times New Roman"/>
        </w:rPr>
        <w:t xml:space="preserve">is grateful to her advisor and committee for their help in the completion of her thesis. </w:t>
      </w:r>
    </w:p>
    <w:sectPr w:rsidR="00AE125E" w:rsidRPr="009D2AA9" w:rsidSect="008607A7">
      <w:footerReference w:type="default" r:id="rId29"/>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533EC" w14:textId="77777777" w:rsidR="00314C44" w:rsidRDefault="00314C44">
      <w:r>
        <w:separator/>
      </w:r>
    </w:p>
  </w:endnote>
  <w:endnote w:type="continuationSeparator" w:id="0">
    <w:p w14:paraId="3863F2D8" w14:textId="77777777" w:rsidR="00314C44" w:rsidRDefault="00314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5223F" w14:textId="2822DF66" w:rsidR="00722492" w:rsidRDefault="00722492" w:rsidP="00D7158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107814"/>
      <w:docPartObj>
        <w:docPartGallery w:val="Page Numbers (Bottom of Page)"/>
        <w:docPartUnique/>
      </w:docPartObj>
    </w:sdtPr>
    <w:sdtEndPr>
      <w:rPr>
        <w:rFonts w:ascii="Times New Roman" w:hAnsi="Times New Roman" w:cs="Times New Roman"/>
        <w:noProof/>
      </w:rPr>
    </w:sdtEndPr>
    <w:sdtContent>
      <w:p w14:paraId="47C3283D" w14:textId="484C07BD" w:rsidR="00722492" w:rsidRPr="00FB4F94" w:rsidRDefault="00722492">
        <w:pPr>
          <w:pStyle w:val="Footer"/>
          <w:jc w:val="center"/>
          <w:rPr>
            <w:rFonts w:ascii="Times New Roman" w:hAnsi="Times New Roman" w:cs="Times New Roman"/>
          </w:rPr>
        </w:pPr>
        <w:r w:rsidRPr="00FB4F94">
          <w:rPr>
            <w:rFonts w:ascii="Times New Roman" w:hAnsi="Times New Roman" w:cs="Times New Roman"/>
          </w:rPr>
          <w:fldChar w:fldCharType="begin"/>
        </w:r>
        <w:r w:rsidRPr="00FB4F94">
          <w:rPr>
            <w:rFonts w:ascii="Times New Roman" w:hAnsi="Times New Roman" w:cs="Times New Roman"/>
          </w:rPr>
          <w:instrText xml:space="preserve"> PAGE   \* MERGEFORMAT </w:instrText>
        </w:r>
        <w:r w:rsidRPr="00FB4F94">
          <w:rPr>
            <w:rFonts w:ascii="Times New Roman" w:hAnsi="Times New Roman" w:cs="Times New Roman"/>
          </w:rPr>
          <w:fldChar w:fldCharType="separate"/>
        </w:r>
        <w:r w:rsidRPr="00FB4F94">
          <w:rPr>
            <w:rFonts w:ascii="Times New Roman" w:hAnsi="Times New Roman" w:cs="Times New Roman"/>
            <w:noProof/>
          </w:rPr>
          <w:t>2</w:t>
        </w:r>
        <w:r w:rsidRPr="00FB4F94">
          <w:rPr>
            <w:rFonts w:ascii="Times New Roman" w:hAnsi="Times New Roman" w:cs="Times New Roman"/>
            <w:noProof/>
          </w:rPr>
          <w:fldChar w:fldCharType="end"/>
        </w:r>
      </w:p>
    </w:sdtContent>
  </w:sdt>
  <w:p w14:paraId="79A1ACBC" w14:textId="77777777" w:rsidR="00722492" w:rsidRDefault="007224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3317369"/>
      <w:docPartObj>
        <w:docPartGallery w:val="Page Numbers (Bottom of Page)"/>
        <w:docPartUnique/>
      </w:docPartObj>
    </w:sdtPr>
    <w:sdtEndPr>
      <w:rPr>
        <w:rFonts w:ascii="Times New Roman" w:hAnsi="Times New Roman" w:cs="Times New Roman"/>
        <w:noProof/>
      </w:rPr>
    </w:sdtEndPr>
    <w:sdtContent>
      <w:p w14:paraId="42C136D2" w14:textId="6FA5A307" w:rsidR="00722492" w:rsidRPr="00FB4F94" w:rsidRDefault="00722492">
        <w:pPr>
          <w:pStyle w:val="Footer"/>
          <w:jc w:val="center"/>
          <w:rPr>
            <w:rFonts w:ascii="Times New Roman" w:hAnsi="Times New Roman" w:cs="Times New Roman"/>
          </w:rPr>
        </w:pPr>
        <w:r w:rsidRPr="00FB4F94">
          <w:rPr>
            <w:rFonts w:ascii="Times New Roman" w:hAnsi="Times New Roman" w:cs="Times New Roman"/>
          </w:rPr>
          <w:fldChar w:fldCharType="begin"/>
        </w:r>
        <w:r w:rsidRPr="00FB4F94">
          <w:rPr>
            <w:rFonts w:ascii="Times New Roman" w:hAnsi="Times New Roman" w:cs="Times New Roman"/>
          </w:rPr>
          <w:instrText xml:space="preserve"> PAGE   \* MERGEFORMAT </w:instrText>
        </w:r>
        <w:r w:rsidRPr="00FB4F94">
          <w:rPr>
            <w:rFonts w:ascii="Times New Roman" w:hAnsi="Times New Roman" w:cs="Times New Roman"/>
          </w:rPr>
          <w:fldChar w:fldCharType="separate"/>
        </w:r>
        <w:r w:rsidRPr="00FB4F94">
          <w:rPr>
            <w:rFonts w:ascii="Times New Roman" w:hAnsi="Times New Roman" w:cs="Times New Roman"/>
            <w:noProof/>
          </w:rPr>
          <w:t>2</w:t>
        </w:r>
        <w:r w:rsidRPr="00FB4F94">
          <w:rPr>
            <w:rFonts w:ascii="Times New Roman" w:hAnsi="Times New Roman" w:cs="Times New Roman"/>
            <w:noProof/>
          </w:rPr>
          <w:fldChar w:fldCharType="end"/>
        </w:r>
      </w:p>
    </w:sdtContent>
  </w:sdt>
  <w:p w14:paraId="79656A51" w14:textId="77777777" w:rsidR="00722492" w:rsidRDefault="00722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8D2FB" w14:textId="77777777" w:rsidR="00314C44" w:rsidRDefault="00314C44">
      <w:r>
        <w:separator/>
      </w:r>
    </w:p>
  </w:footnote>
  <w:footnote w:type="continuationSeparator" w:id="0">
    <w:p w14:paraId="487BA737" w14:textId="77777777" w:rsidR="00314C44" w:rsidRDefault="00314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F642D" w14:textId="77777777" w:rsidR="00722492" w:rsidRDefault="00722492">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9706C" w14:textId="77777777" w:rsidR="00722492" w:rsidRDefault="00722492">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F201C"/>
    <w:multiLevelType w:val="hybridMultilevel"/>
    <w:tmpl w:val="AF12B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90" w:hanging="360"/>
      </w:pPr>
      <w:rPr>
        <w:rFonts w:hint="default"/>
        <w:spacing w:val="0"/>
        <w:w w:val="100"/>
        <w:position w:val="0"/>
        <w:sz w:val="20"/>
        <w14:numForm w14:val="default"/>
        <w14:numSpacing w14:val="default"/>
        <w14:stylisticSets/>
      </w:rPr>
    </w:lvl>
    <w:lvl w:ilvl="1">
      <w:start w:val="1"/>
      <w:numFmt w:val="lowerLetter"/>
      <w:lvlText w:val="%2)"/>
      <w:lvlJc w:val="left"/>
      <w:pPr>
        <w:ind w:left="4050" w:hanging="360"/>
      </w:pPr>
      <w:rPr>
        <w:rFonts w:hint="default"/>
      </w:rPr>
    </w:lvl>
    <w:lvl w:ilvl="2">
      <w:start w:val="1"/>
      <w:numFmt w:val="lowerRoman"/>
      <w:lvlText w:val="%3)"/>
      <w:lvlJc w:val="left"/>
      <w:pPr>
        <w:ind w:left="4410" w:hanging="360"/>
      </w:pPr>
      <w:rPr>
        <w:rFonts w:hint="default"/>
      </w:rPr>
    </w:lvl>
    <w:lvl w:ilvl="3">
      <w:start w:val="1"/>
      <w:numFmt w:val="decimal"/>
      <w:lvlText w:val="(%4)"/>
      <w:lvlJc w:val="left"/>
      <w:pPr>
        <w:ind w:left="4770" w:hanging="360"/>
      </w:pPr>
      <w:rPr>
        <w:rFonts w:hint="default"/>
      </w:rPr>
    </w:lvl>
    <w:lvl w:ilvl="4">
      <w:start w:val="1"/>
      <w:numFmt w:val="lowerLetter"/>
      <w:lvlText w:val="(%5)"/>
      <w:lvlJc w:val="left"/>
      <w:pPr>
        <w:ind w:left="5130" w:hanging="360"/>
      </w:pPr>
      <w:rPr>
        <w:rFonts w:hint="default"/>
      </w:rPr>
    </w:lvl>
    <w:lvl w:ilvl="5">
      <w:start w:val="1"/>
      <w:numFmt w:val="lowerRoman"/>
      <w:lvlText w:val="(%6)"/>
      <w:lvlJc w:val="left"/>
      <w:pPr>
        <w:ind w:left="5490" w:hanging="360"/>
      </w:pPr>
      <w:rPr>
        <w:rFonts w:hint="default"/>
      </w:rPr>
    </w:lvl>
    <w:lvl w:ilvl="6">
      <w:start w:val="1"/>
      <w:numFmt w:val="decimal"/>
      <w:lvlText w:val="%7."/>
      <w:lvlJc w:val="left"/>
      <w:pPr>
        <w:ind w:left="5850" w:hanging="360"/>
      </w:pPr>
      <w:rPr>
        <w:rFonts w:hint="default"/>
      </w:rPr>
    </w:lvl>
    <w:lvl w:ilvl="7">
      <w:start w:val="1"/>
      <w:numFmt w:val="lowerLetter"/>
      <w:lvlText w:val="%8."/>
      <w:lvlJc w:val="left"/>
      <w:pPr>
        <w:ind w:left="6210" w:hanging="360"/>
      </w:pPr>
      <w:rPr>
        <w:rFonts w:hint="default"/>
      </w:rPr>
    </w:lvl>
    <w:lvl w:ilvl="8">
      <w:start w:val="1"/>
      <w:numFmt w:val="lowerRoman"/>
      <w:lvlText w:val="%9."/>
      <w:lvlJc w:val="left"/>
      <w:pPr>
        <w:ind w:left="657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C5EED6A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8DE0D7C"/>
    <w:multiLevelType w:val="hybridMultilevel"/>
    <w:tmpl w:val="093E04A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5DB134A"/>
    <w:multiLevelType w:val="hybridMultilevel"/>
    <w:tmpl w:val="7B9CA8C0"/>
    <w:lvl w:ilvl="0" w:tplc="62B4ED80">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CD41A3"/>
    <w:multiLevelType w:val="multilevel"/>
    <w:tmpl w:val="1C10D11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1902B27"/>
    <w:multiLevelType w:val="hybridMultilevel"/>
    <w:tmpl w:val="88EEA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775D6F18"/>
    <w:multiLevelType w:val="hybridMultilevel"/>
    <w:tmpl w:val="6EF29C6C"/>
    <w:lvl w:ilvl="0" w:tplc="786AE91E">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4" w15:restartNumberingAfterBreak="0">
    <w:nsid w:val="7AF735C5"/>
    <w:multiLevelType w:val="hybridMultilevel"/>
    <w:tmpl w:val="FB6CF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4"/>
  </w:num>
  <w:num w:numId="4">
    <w:abstractNumId w:val="16"/>
  </w:num>
  <w:num w:numId="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11"/>
  </w:num>
  <w:num w:numId="8">
    <w:abstractNumId w:val="10"/>
  </w:num>
  <w:num w:numId="9">
    <w:abstractNumId w:val="23"/>
  </w:num>
  <w:num w:numId="10">
    <w:abstractNumId w:val="0"/>
  </w:num>
  <w:num w:numId="11">
    <w:abstractNumId w:val="20"/>
  </w:num>
  <w:num w:numId="1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78A2"/>
    <w:rsid w:val="00014A3E"/>
    <w:rsid w:val="000166A9"/>
    <w:rsid w:val="00016B03"/>
    <w:rsid w:val="0002037F"/>
    <w:rsid w:val="00021CE0"/>
    <w:rsid w:val="00032057"/>
    <w:rsid w:val="000358AE"/>
    <w:rsid w:val="00035E57"/>
    <w:rsid w:val="000406C7"/>
    <w:rsid w:val="000518CF"/>
    <w:rsid w:val="000552A9"/>
    <w:rsid w:val="00057004"/>
    <w:rsid w:val="00057607"/>
    <w:rsid w:val="00063C7A"/>
    <w:rsid w:val="000656BD"/>
    <w:rsid w:val="00066BA6"/>
    <w:rsid w:val="00067017"/>
    <w:rsid w:val="00071FB8"/>
    <w:rsid w:val="00073071"/>
    <w:rsid w:val="0007428E"/>
    <w:rsid w:val="000751DC"/>
    <w:rsid w:val="000766E0"/>
    <w:rsid w:val="00076A95"/>
    <w:rsid w:val="00080495"/>
    <w:rsid w:val="00081D7A"/>
    <w:rsid w:val="000957C1"/>
    <w:rsid w:val="000B07F3"/>
    <w:rsid w:val="000B0A40"/>
    <w:rsid w:val="000B5564"/>
    <w:rsid w:val="000B5C42"/>
    <w:rsid w:val="000B7931"/>
    <w:rsid w:val="000C24FF"/>
    <w:rsid w:val="000D546D"/>
    <w:rsid w:val="000D7103"/>
    <w:rsid w:val="000E081E"/>
    <w:rsid w:val="000E5B93"/>
    <w:rsid w:val="000E7A8B"/>
    <w:rsid w:val="000F18A8"/>
    <w:rsid w:val="000F37C4"/>
    <w:rsid w:val="000F6CFB"/>
    <w:rsid w:val="00100D2A"/>
    <w:rsid w:val="001018FF"/>
    <w:rsid w:val="0010217F"/>
    <w:rsid w:val="00112F00"/>
    <w:rsid w:val="00115CA2"/>
    <w:rsid w:val="00121B30"/>
    <w:rsid w:val="00122504"/>
    <w:rsid w:val="001227C0"/>
    <w:rsid w:val="00127B29"/>
    <w:rsid w:val="00131B74"/>
    <w:rsid w:val="0015774F"/>
    <w:rsid w:val="00160519"/>
    <w:rsid w:val="00163B7C"/>
    <w:rsid w:val="001642C8"/>
    <w:rsid w:val="001669A7"/>
    <w:rsid w:val="00167EA8"/>
    <w:rsid w:val="00173751"/>
    <w:rsid w:val="00177D09"/>
    <w:rsid w:val="00180B6A"/>
    <w:rsid w:val="00181864"/>
    <w:rsid w:val="001818CD"/>
    <w:rsid w:val="001854FB"/>
    <w:rsid w:val="00191AE2"/>
    <w:rsid w:val="00191DD7"/>
    <w:rsid w:val="00193642"/>
    <w:rsid w:val="00193E2D"/>
    <w:rsid w:val="001A0518"/>
    <w:rsid w:val="001A0D20"/>
    <w:rsid w:val="001A2AB9"/>
    <w:rsid w:val="001C263C"/>
    <w:rsid w:val="001C39F6"/>
    <w:rsid w:val="001C66FE"/>
    <w:rsid w:val="001C6DAC"/>
    <w:rsid w:val="001D200D"/>
    <w:rsid w:val="001D4908"/>
    <w:rsid w:val="001D6904"/>
    <w:rsid w:val="001D6DEA"/>
    <w:rsid w:val="001E274B"/>
    <w:rsid w:val="001E4FBF"/>
    <w:rsid w:val="001E6E36"/>
    <w:rsid w:val="001F4C75"/>
    <w:rsid w:val="001F522F"/>
    <w:rsid w:val="001F652D"/>
    <w:rsid w:val="001F6C11"/>
    <w:rsid w:val="001F6EC8"/>
    <w:rsid w:val="001F77B3"/>
    <w:rsid w:val="00203AAB"/>
    <w:rsid w:val="00206090"/>
    <w:rsid w:val="00207219"/>
    <w:rsid w:val="00207DAA"/>
    <w:rsid w:val="00210BC5"/>
    <w:rsid w:val="00211079"/>
    <w:rsid w:val="002112CD"/>
    <w:rsid w:val="00217656"/>
    <w:rsid w:val="00225AFA"/>
    <w:rsid w:val="002344A1"/>
    <w:rsid w:val="002362CD"/>
    <w:rsid w:val="00236E6D"/>
    <w:rsid w:val="00240CD4"/>
    <w:rsid w:val="00240DEB"/>
    <w:rsid w:val="00241E23"/>
    <w:rsid w:val="002429E5"/>
    <w:rsid w:val="00256306"/>
    <w:rsid w:val="002565E4"/>
    <w:rsid w:val="00260163"/>
    <w:rsid w:val="00266A92"/>
    <w:rsid w:val="00280CEF"/>
    <w:rsid w:val="00281244"/>
    <w:rsid w:val="00284FAE"/>
    <w:rsid w:val="0028757A"/>
    <w:rsid w:val="00293C1B"/>
    <w:rsid w:val="002944C9"/>
    <w:rsid w:val="002A7821"/>
    <w:rsid w:val="002B17F4"/>
    <w:rsid w:val="002B33AA"/>
    <w:rsid w:val="002C193F"/>
    <w:rsid w:val="002C32E0"/>
    <w:rsid w:val="002D1FE4"/>
    <w:rsid w:val="002D42BF"/>
    <w:rsid w:val="002D470F"/>
    <w:rsid w:val="002D5017"/>
    <w:rsid w:val="002D5F03"/>
    <w:rsid w:val="002E10AE"/>
    <w:rsid w:val="002E2492"/>
    <w:rsid w:val="002E2548"/>
    <w:rsid w:val="002E7674"/>
    <w:rsid w:val="002F15D8"/>
    <w:rsid w:val="002F16B4"/>
    <w:rsid w:val="002F74EE"/>
    <w:rsid w:val="00304BD0"/>
    <w:rsid w:val="00307D77"/>
    <w:rsid w:val="00311F1A"/>
    <w:rsid w:val="00313577"/>
    <w:rsid w:val="00313E9E"/>
    <w:rsid w:val="00314C44"/>
    <w:rsid w:val="003150D5"/>
    <w:rsid w:val="00320F78"/>
    <w:rsid w:val="003269E3"/>
    <w:rsid w:val="0032770F"/>
    <w:rsid w:val="00327754"/>
    <w:rsid w:val="0033357C"/>
    <w:rsid w:val="00334A8E"/>
    <w:rsid w:val="00336ACD"/>
    <w:rsid w:val="00340C9F"/>
    <w:rsid w:val="00342E92"/>
    <w:rsid w:val="003451F7"/>
    <w:rsid w:val="00345D30"/>
    <w:rsid w:val="0035057B"/>
    <w:rsid w:val="0035155B"/>
    <w:rsid w:val="00352875"/>
    <w:rsid w:val="00356803"/>
    <w:rsid w:val="0035768F"/>
    <w:rsid w:val="00360CC8"/>
    <w:rsid w:val="00364380"/>
    <w:rsid w:val="00366834"/>
    <w:rsid w:val="00370A9C"/>
    <w:rsid w:val="00374E6C"/>
    <w:rsid w:val="00375FD2"/>
    <w:rsid w:val="003766E3"/>
    <w:rsid w:val="003770BF"/>
    <w:rsid w:val="0038177C"/>
    <w:rsid w:val="0038182F"/>
    <w:rsid w:val="003836EB"/>
    <w:rsid w:val="00383ADC"/>
    <w:rsid w:val="00384647"/>
    <w:rsid w:val="00386C91"/>
    <w:rsid w:val="00387024"/>
    <w:rsid w:val="0039365D"/>
    <w:rsid w:val="00393678"/>
    <w:rsid w:val="003963D3"/>
    <w:rsid w:val="003B110F"/>
    <w:rsid w:val="003C00CD"/>
    <w:rsid w:val="003C146E"/>
    <w:rsid w:val="003C1575"/>
    <w:rsid w:val="003C1780"/>
    <w:rsid w:val="003C58DB"/>
    <w:rsid w:val="003D07F7"/>
    <w:rsid w:val="003D5275"/>
    <w:rsid w:val="003D63DF"/>
    <w:rsid w:val="003D737F"/>
    <w:rsid w:val="003E070B"/>
    <w:rsid w:val="003E1427"/>
    <w:rsid w:val="003E2944"/>
    <w:rsid w:val="003E58BF"/>
    <w:rsid w:val="003E5EA7"/>
    <w:rsid w:val="003F71CE"/>
    <w:rsid w:val="003F7474"/>
    <w:rsid w:val="003F7FED"/>
    <w:rsid w:val="004005A2"/>
    <w:rsid w:val="00404616"/>
    <w:rsid w:val="00406F0F"/>
    <w:rsid w:val="00407B6A"/>
    <w:rsid w:val="00414400"/>
    <w:rsid w:val="00420910"/>
    <w:rsid w:val="00421CD4"/>
    <w:rsid w:val="0042251E"/>
    <w:rsid w:val="004241A4"/>
    <w:rsid w:val="0042728B"/>
    <w:rsid w:val="00427513"/>
    <w:rsid w:val="00427833"/>
    <w:rsid w:val="00433B76"/>
    <w:rsid w:val="0044196E"/>
    <w:rsid w:val="00443B5D"/>
    <w:rsid w:val="00445ADA"/>
    <w:rsid w:val="00455787"/>
    <w:rsid w:val="004576B2"/>
    <w:rsid w:val="00470AB8"/>
    <w:rsid w:val="00474210"/>
    <w:rsid w:val="0048004C"/>
    <w:rsid w:val="00480B96"/>
    <w:rsid w:val="0048303E"/>
    <w:rsid w:val="004865E6"/>
    <w:rsid w:val="004920F6"/>
    <w:rsid w:val="004A1B3F"/>
    <w:rsid w:val="004A47B1"/>
    <w:rsid w:val="004A58EC"/>
    <w:rsid w:val="004A67E8"/>
    <w:rsid w:val="004C1D82"/>
    <w:rsid w:val="004C2518"/>
    <w:rsid w:val="004C3D65"/>
    <w:rsid w:val="004C740D"/>
    <w:rsid w:val="004D05F5"/>
    <w:rsid w:val="004D0842"/>
    <w:rsid w:val="004D595B"/>
    <w:rsid w:val="004D6472"/>
    <w:rsid w:val="004D6A00"/>
    <w:rsid w:val="004D7AFA"/>
    <w:rsid w:val="004D7D9A"/>
    <w:rsid w:val="004E1A4A"/>
    <w:rsid w:val="004E3C83"/>
    <w:rsid w:val="004F08CE"/>
    <w:rsid w:val="004F1BDF"/>
    <w:rsid w:val="004F36B0"/>
    <w:rsid w:val="004F6A3A"/>
    <w:rsid w:val="00502089"/>
    <w:rsid w:val="00504D1C"/>
    <w:rsid w:val="0051042C"/>
    <w:rsid w:val="00513BB6"/>
    <w:rsid w:val="005157D9"/>
    <w:rsid w:val="0051604E"/>
    <w:rsid w:val="005262C6"/>
    <w:rsid w:val="00533554"/>
    <w:rsid w:val="00540387"/>
    <w:rsid w:val="0054147B"/>
    <w:rsid w:val="0054552A"/>
    <w:rsid w:val="005563DA"/>
    <w:rsid w:val="00562EB1"/>
    <w:rsid w:val="005678D3"/>
    <w:rsid w:val="005717D0"/>
    <w:rsid w:val="00574E71"/>
    <w:rsid w:val="005858B0"/>
    <w:rsid w:val="00590BC5"/>
    <w:rsid w:val="00593CBB"/>
    <w:rsid w:val="0059466E"/>
    <w:rsid w:val="00597D3F"/>
    <w:rsid w:val="005A0EB0"/>
    <w:rsid w:val="005A1366"/>
    <w:rsid w:val="005A4508"/>
    <w:rsid w:val="005A4BF0"/>
    <w:rsid w:val="005A6583"/>
    <w:rsid w:val="005B19F2"/>
    <w:rsid w:val="005B32AD"/>
    <w:rsid w:val="005B393A"/>
    <w:rsid w:val="005B64F7"/>
    <w:rsid w:val="005B79E9"/>
    <w:rsid w:val="005C0C6A"/>
    <w:rsid w:val="005C10E8"/>
    <w:rsid w:val="005E4912"/>
    <w:rsid w:val="005E53C3"/>
    <w:rsid w:val="005E5EE2"/>
    <w:rsid w:val="005E6F1F"/>
    <w:rsid w:val="005E781C"/>
    <w:rsid w:val="005F2536"/>
    <w:rsid w:val="005F2B0B"/>
    <w:rsid w:val="005F44D1"/>
    <w:rsid w:val="005F7D12"/>
    <w:rsid w:val="00611EB2"/>
    <w:rsid w:val="00613654"/>
    <w:rsid w:val="00616A84"/>
    <w:rsid w:val="00621129"/>
    <w:rsid w:val="00623B78"/>
    <w:rsid w:val="00630398"/>
    <w:rsid w:val="00633916"/>
    <w:rsid w:val="00636699"/>
    <w:rsid w:val="006401E7"/>
    <w:rsid w:val="00641D2B"/>
    <w:rsid w:val="00646064"/>
    <w:rsid w:val="00647F3C"/>
    <w:rsid w:val="0065123B"/>
    <w:rsid w:val="00651FFE"/>
    <w:rsid w:val="006534F8"/>
    <w:rsid w:val="006537CF"/>
    <w:rsid w:val="00655ACB"/>
    <w:rsid w:val="00660035"/>
    <w:rsid w:val="00662D3E"/>
    <w:rsid w:val="00665C7E"/>
    <w:rsid w:val="006710A0"/>
    <w:rsid w:val="00672DDD"/>
    <w:rsid w:val="00676C91"/>
    <w:rsid w:val="0068159F"/>
    <w:rsid w:val="00683F5B"/>
    <w:rsid w:val="00683FF2"/>
    <w:rsid w:val="00686AB2"/>
    <w:rsid w:val="00687928"/>
    <w:rsid w:val="00690B77"/>
    <w:rsid w:val="00691112"/>
    <w:rsid w:val="00692671"/>
    <w:rsid w:val="00693334"/>
    <w:rsid w:val="00693B10"/>
    <w:rsid w:val="00697583"/>
    <w:rsid w:val="006A05AC"/>
    <w:rsid w:val="006A410F"/>
    <w:rsid w:val="006B475A"/>
    <w:rsid w:val="006B770F"/>
    <w:rsid w:val="006C0BE7"/>
    <w:rsid w:val="006C4000"/>
    <w:rsid w:val="006C6C6E"/>
    <w:rsid w:val="006D474B"/>
    <w:rsid w:val="006D4961"/>
    <w:rsid w:val="006E17C3"/>
    <w:rsid w:val="006E1E6D"/>
    <w:rsid w:val="006E2412"/>
    <w:rsid w:val="006E4BDD"/>
    <w:rsid w:val="006E56E8"/>
    <w:rsid w:val="006E5744"/>
    <w:rsid w:val="006F461F"/>
    <w:rsid w:val="00704376"/>
    <w:rsid w:val="00711200"/>
    <w:rsid w:val="00711801"/>
    <w:rsid w:val="00713FA0"/>
    <w:rsid w:val="00721EEA"/>
    <w:rsid w:val="00722492"/>
    <w:rsid w:val="0072397F"/>
    <w:rsid w:val="00731922"/>
    <w:rsid w:val="00731ACB"/>
    <w:rsid w:val="007333A8"/>
    <w:rsid w:val="007368AD"/>
    <w:rsid w:val="00737F54"/>
    <w:rsid w:val="0074133D"/>
    <w:rsid w:val="007421AA"/>
    <w:rsid w:val="0074235E"/>
    <w:rsid w:val="0074293C"/>
    <w:rsid w:val="007470A4"/>
    <w:rsid w:val="0075196D"/>
    <w:rsid w:val="00753EAD"/>
    <w:rsid w:val="0075558C"/>
    <w:rsid w:val="00755BA5"/>
    <w:rsid w:val="00760C83"/>
    <w:rsid w:val="0076136E"/>
    <w:rsid w:val="00761EFA"/>
    <w:rsid w:val="00764873"/>
    <w:rsid w:val="00767D67"/>
    <w:rsid w:val="00770642"/>
    <w:rsid w:val="00771E3F"/>
    <w:rsid w:val="00774192"/>
    <w:rsid w:val="00774E3E"/>
    <w:rsid w:val="00775901"/>
    <w:rsid w:val="007778DD"/>
    <w:rsid w:val="007821D0"/>
    <w:rsid w:val="00790B6C"/>
    <w:rsid w:val="00791F12"/>
    <w:rsid w:val="00792D22"/>
    <w:rsid w:val="00795D03"/>
    <w:rsid w:val="00796693"/>
    <w:rsid w:val="00796C9F"/>
    <w:rsid w:val="007A0CA3"/>
    <w:rsid w:val="007B3177"/>
    <w:rsid w:val="007B57D3"/>
    <w:rsid w:val="007C36B0"/>
    <w:rsid w:val="007C7591"/>
    <w:rsid w:val="007D52DD"/>
    <w:rsid w:val="007D538B"/>
    <w:rsid w:val="007D5CD5"/>
    <w:rsid w:val="007E19FF"/>
    <w:rsid w:val="007E4417"/>
    <w:rsid w:val="007E58BE"/>
    <w:rsid w:val="007E5AB6"/>
    <w:rsid w:val="007F149F"/>
    <w:rsid w:val="007F186A"/>
    <w:rsid w:val="007F6AE9"/>
    <w:rsid w:val="007F7A99"/>
    <w:rsid w:val="00804470"/>
    <w:rsid w:val="0080480A"/>
    <w:rsid w:val="008126CF"/>
    <w:rsid w:val="00812B91"/>
    <w:rsid w:val="00813C83"/>
    <w:rsid w:val="008215F2"/>
    <w:rsid w:val="00826143"/>
    <w:rsid w:val="00826D54"/>
    <w:rsid w:val="00834CBF"/>
    <w:rsid w:val="00834FE3"/>
    <w:rsid w:val="008361AF"/>
    <w:rsid w:val="00836F89"/>
    <w:rsid w:val="0084551B"/>
    <w:rsid w:val="00846459"/>
    <w:rsid w:val="00850166"/>
    <w:rsid w:val="008502AA"/>
    <w:rsid w:val="00852266"/>
    <w:rsid w:val="00854C1E"/>
    <w:rsid w:val="008607A7"/>
    <w:rsid w:val="00860E9E"/>
    <w:rsid w:val="00861599"/>
    <w:rsid w:val="008615A2"/>
    <w:rsid w:val="00861CAB"/>
    <w:rsid w:val="00863435"/>
    <w:rsid w:val="008712FB"/>
    <w:rsid w:val="00872827"/>
    <w:rsid w:val="0087349A"/>
    <w:rsid w:val="00880514"/>
    <w:rsid w:val="0088564B"/>
    <w:rsid w:val="008865B6"/>
    <w:rsid w:val="00886AC2"/>
    <w:rsid w:val="00887014"/>
    <w:rsid w:val="00887380"/>
    <w:rsid w:val="00895594"/>
    <w:rsid w:val="00895858"/>
    <w:rsid w:val="00895DF4"/>
    <w:rsid w:val="008A39D7"/>
    <w:rsid w:val="008A44E9"/>
    <w:rsid w:val="008A4516"/>
    <w:rsid w:val="008A4E30"/>
    <w:rsid w:val="008B1A4D"/>
    <w:rsid w:val="008B1D53"/>
    <w:rsid w:val="008B453D"/>
    <w:rsid w:val="008B58AB"/>
    <w:rsid w:val="008C537F"/>
    <w:rsid w:val="008C6130"/>
    <w:rsid w:val="008D2621"/>
    <w:rsid w:val="008D2BC8"/>
    <w:rsid w:val="008D589C"/>
    <w:rsid w:val="008E1F55"/>
    <w:rsid w:val="008E37E6"/>
    <w:rsid w:val="008E6CFC"/>
    <w:rsid w:val="008E7085"/>
    <w:rsid w:val="008E7D30"/>
    <w:rsid w:val="008F2A6C"/>
    <w:rsid w:val="008F3F6A"/>
    <w:rsid w:val="008F60C3"/>
    <w:rsid w:val="009019C7"/>
    <w:rsid w:val="009026DC"/>
    <w:rsid w:val="009036F3"/>
    <w:rsid w:val="00905020"/>
    <w:rsid w:val="009130F1"/>
    <w:rsid w:val="00916F61"/>
    <w:rsid w:val="00921C7A"/>
    <w:rsid w:val="009254D6"/>
    <w:rsid w:val="00925BBF"/>
    <w:rsid w:val="0092669B"/>
    <w:rsid w:val="0093163E"/>
    <w:rsid w:val="00936436"/>
    <w:rsid w:val="00940E4C"/>
    <w:rsid w:val="00943F78"/>
    <w:rsid w:val="0094721A"/>
    <w:rsid w:val="00950CF3"/>
    <w:rsid w:val="009519E1"/>
    <w:rsid w:val="00952451"/>
    <w:rsid w:val="00965AB7"/>
    <w:rsid w:val="00965FBD"/>
    <w:rsid w:val="0096652B"/>
    <w:rsid w:val="00966BAC"/>
    <w:rsid w:val="0097142C"/>
    <w:rsid w:val="00971735"/>
    <w:rsid w:val="00972997"/>
    <w:rsid w:val="00973514"/>
    <w:rsid w:val="009771D0"/>
    <w:rsid w:val="009917F3"/>
    <w:rsid w:val="00997897"/>
    <w:rsid w:val="009A214E"/>
    <w:rsid w:val="009A298B"/>
    <w:rsid w:val="009A2ABE"/>
    <w:rsid w:val="009A3E6E"/>
    <w:rsid w:val="009A6A2F"/>
    <w:rsid w:val="009A7854"/>
    <w:rsid w:val="009B7CAD"/>
    <w:rsid w:val="009C244F"/>
    <w:rsid w:val="009C755C"/>
    <w:rsid w:val="009C77C8"/>
    <w:rsid w:val="009C780F"/>
    <w:rsid w:val="009D2408"/>
    <w:rsid w:val="009D2AA9"/>
    <w:rsid w:val="009D4049"/>
    <w:rsid w:val="009D48A4"/>
    <w:rsid w:val="009D7F9B"/>
    <w:rsid w:val="009E2446"/>
    <w:rsid w:val="009E28CD"/>
    <w:rsid w:val="009E4F4C"/>
    <w:rsid w:val="009E5F3A"/>
    <w:rsid w:val="009E6406"/>
    <w:rsid w:val="009F0493"/>
    <w:rsid w:val="00A008FE"/>
    <w:rsid w:val="00A25353"/>
    <w:rsid w:val="00A25432"/>
    <w:rsid w:val="00A34ABE"/>
    <w:rsid w:val="00A34F5F"/>
    <w:rsid w:val="00A36668"/>
    <w:rsid w:val="00A46A68"/>
    <w:rsid w:val="00A50EE9"/>
    <w:rsid w:val="00A5188E"/>
    <w:rsid w:val="00A526F2"/>
    <w:rsid w:val="00A56B44"/>
    <w:rsid w:val="00A6214E"/>
    <w:rsid w:val="00A630B7"/>
    <w:rsid w:val="00A63663"/>
    <w:rsid w:val="00A63760"/>
    <w:rsid w:val="00A65CF5"/>
    <w:rsid w:val="00A83F3F"/>
    <w:rsid w:val="00A8542E"/>
    <w:rsid w:val="00A86F48"/>
    <w:rsid w:val="00A91F64"/>
    <w:rsid w:val="00A92273"/>
    <w:rsid w:val="00AA21F8"/>
    <w:rsid w:val="00AA4E8B"/>
    <w:rsid w:val="00AA67E2"/>
    <w:rsid w:val="00AB2B5C"/>
    <w:rsid w:val="00AB4C80"/>
    <w:rsid w:val="00AB6002"/>
    <w:rsid w:val="00AC51AC"/>
    <w:rsid w:val="00AC5AD1"/>
    <w:rsid w:val="00AD0A33"/>
    <w:rsid w:val="00AD1451"/>
    <w:rsid w:val="00AD2A38"/>
    <w:rsid w:val="00AE0982"/>
    <w:rsid w:val="00AE125E"/>
    <w:rsid w:val="00AE5577"/>
    <w:rsid w:val="00AE743B"/>
    <w:rsid w:val="00AF0126"/>
    <w:rsid w:val="00AF7AB2"/>
    <w:rsid w:val="00B07524"/>
    <w:rsid w:val="00B113E7"/>
    <w:rsid w:val="00B16B61"/>
    <w:rsid w:val="00B22A4D"/>
    <w:rsid w:val="00B24C47"/>
    <w:rsid w:val="00B31089"/>
    <w:rsid w:val="00B3180D"/>
    <w:rsid w:val="00B31D9B"/>
    <w:rsid w:val="00B3272F"/>
    <w:rsid w:val="00B33874"/>
    <w:rsid w:val="00B35B7C"/>
    <w:rsid w:val="00B53C15"/>
    <w:rsid w:val="00B56674"/>
    <w:rsid w:val="00B71F92"/>
    <w:rsid w:val="00B75754"/>
    <w:rsid w:val="00B76202"/>
    <w:rsid w:val="00B76E7C"/>
    <w:rsid w:val="00B7766D"/>
    <w:rsid w:val="00B90095"/>
    <w:rsid w:val="00B90D32"/>
    <w:rsid w:val="00B90FBC"/>
    <w:rsid w:val="00B926AC"/>
    <w:rsid w:val="00B93486"/>
    <w:rsid w:val="00B946EE"/>
    <w:rsid w:val="00B94E35"/>
    <w:rsid w:val="00B955BD"/>
    <w:rsid w:val="00B97F95"/>
    <w:rsid w:val="00BA07F4"/>
    <w:rsid w:val="00BA2A10"/>
    <w:rsid w:val="00BA4798"/>
    <w:rsid w:val="00BA4858"/>
    <w:rsid w:val="00BB4FA0"/>
    <w:rsid w:val="00BC0366"/>
    <w:rsid w:val="00BD3522"/>
    <w:rsid w:val="00BD43E6"/>
    <w:rsid w:val="00BD54D0"/>
    <w:rsid w:val="00BF0560"/>
    <w:rsid w:val="00BF32F8"/>
    <w:rsid w:val="00BF7279"/>
    <w:rsid w:val="00C067FC"/>
    <w:rsid w:val="00C0799A"/>
    <w:rsid w:val="00C07E00"/>
    <w:rsid w:val="00C1173F"/>
    <w:rsid w:val="00C11D0D"/>
    <w:rsid w:val="00C278B0"/>
    <w:rsid w:val="00C317E9"/>
    <w:rsid w:val="00C4405E"/>
    <w:rsid w:val="00C509C3"/>
    <w:rsid w:val="00C50A17"/>
    <w:rsid w:val="00C50B34"/>
    <w:rsid w:val="00C56735"/>
    <w:rsid w:val="00C57C65"/>
    <w:rsid w:val="00C62E42"/>
    <w:rsid w:val="00C65186"/>
    <w:rsid w:val="00C65A02"/>
    <w:rsid w:val="00C67197"/>
    <w:rsid w:val="00C70EAE"/>
    <w:rsid w:val="00C72D98"/>
    <w:rsid w:val="00C76955"/>
    <w:rsid w:val="00C8068C"/>
    <w:rsid w:val="00C81B84"/>
    <w:rsid w:val="00C83B65"/>
    <w:rsid w:val="00C879F6"/>
    <w:rsid w:val="00C87EE7"/>
    <w:rsid w:val="00C95581"/>
    <w:rsid w:val="00CA428A"/>
    <w:rsid w:val="00CA437E"/>
    <w:rsid w:val="00CA6347"/>
    <w:rsid w:val="00CB3450"/>
    <w:rsid w:val="00CB77EA"/>
    <w:rsid w:val="00CD3AA2"/>
    <w:rsid w:val="00CD50B5"/>
    <w:rsid w:val="00CD73A9"/>
    <w:rsid w:val="00CE02A7"/>
    <w:rsid w:val="00CE11CA"/>
    <w:rsid w:val="00CF52FE"/>
    <w:rsid w:val="00CF6756"/>
    <w:rsid w:val="00D00867"/>
    <w:rsid w:val="00D0183B"/>
    <w:rsid w:val="00D06F12"/>
    <w:rsid w:val="00D07D68"/>
    <w:rsid w:val="00D11331"/>
    <w:rsid w:val="00D122B2"/>
    <w:rsid w:val="00D15252"/>
    <w:rsid w:val="00D16BB1"/>
    <w:rsid w:val="00D200BF"/>
    <w:rsid w:val="00D20C45"/>
    <w:rsid w:val="00D21EF3"/>
    <w:rsid w:val="00D24308"/>
    <w:rsid w:val="00D33AA1"/>
    <w:rsid w:val="00D421AC"/>
    <w:rsid w:val="00D46790"/>
    <w:rsid w:val="00D53295"/>
    <w:rsid w:val="00D57C54"/>
    <w:rsid w:val="00D65421"/>
    <w:rsid w:val="00D66015"/>
    <w:rsid w:val="00D66887"/>
    <w:rsid w:val="00D71586"/>
    <w:rsid w:val="00D75F05"/>
    <w:rsid w:val="00D81B0C"/>
    <w:rsid w:val="00D83B30"/>
    <w:rsid w:val="00D840AD"/>
    <w:rsid w:val="00D86F58"/>
    <w:rsid w:val="00D87C10"/>
    <w:rsid w:val="00D913C3"/>
    <w:rsid w:val="00D91C27"/>
    <w:rsid w:val="00D954D8"/>
    <w:rsid w:val="00D95822"/>
    <w:rsid w:val="00D96458"/>
    <w:rsid w:val="00DA4CC0"/>
    <w:rsid w:val="00DB1CB1"/>
    <w:rsid w:val="00DB3CF8"/>
    <w:rsid w:val="00DB6A1B"/>
    <w:rsid w:val="00DB7622"/>
    <w:rsid w:val="00DC5925"/>
    <w:rsid w:val="00DC60FA"/>
    <w:rsid w:val="00DC6A19"/>
    <w:rsid w:val="00DD06C4"/>
    <w:rsid w:val="00DD3E85"/>
    <w:rsid w:val="00DD4CE0"/>
    <w:rsid w:val="00DE23AF"/>
    <w:rsid w:val="00DE5031"/>
    <w:rsid w:val="00DE55D6"/>
    <w:rsid w:val="00DE616E"/>
    <w:rsid w:val="00DE7C4F"/>
    <w:rsid w:val="00DF0D2A"/>
    <w:rsid w:val="00DF1C69"/>
    <w:rsid w:val="00DF3B9A"/>
    <w:rsid w:val="00DF5384"/>
    <w:rsid w:val="00DF768D"/>
    <w:rsid w:val="00E017D2"/>
    <w:rsid w:val="00E031EC"/>
    <w:rsid w:val="00E11089"/>
    <w:rsid w:val="00E157DC"/>
    <w:rsid w:val="00E16A0F"/>
    <w:rsid w:val="00E17598"/>
    <w:rsid w:val="00E203BD"/>
    <w:rsid w:val="00E26130"/>
    <w:rsid w:val="00E34651"/>
    <w:rsid w:val="00E354FA"/>
    <w:rsid w:val="00E42A55"/>
    <w:rsid w:val="00E4519D"/>
    <w:rsid w:val="00E55E36"/>
    <w:rsid w:val="00E7309A"/>
    <w:rsid w:val="00E74BAD"/>
    <w:rsid w:val="00E75827"/>
    <w:rsid w:val="00E81177"/>
    <w:rsid w:val="00E84550"/>
    <w:rsid w:val="00E85CA7"/>
    <w:rsid w:val="00E90BEF"/>
    <w:rsid w:val="00E91931"/>
    <w:rsid w:val="00E9221D"/>
    <w:rsid w:val="00E97FDB"/>
    <w:rsid w:val="00EA16CC"/>
    <w:rsid w:val="00EA2CDD"/>
    <w:rsid w:val="00EA5199"/>
    <w:rsid w:val="00EA5479"/>
    <w:rsid w:val="00EB1291"/>
    <w:rsid w:val="00EB4341"/>
    <w:rsid w:val="00EC3F15"/>
    <w:rsid w:val="00EC5147"/>
    <w:rsid w:val="00ED2943"/>
    <w:rsid w:val="00ED4B8A"/>
    <w:rsid w:val="00ED6350"/>
    <w:rsid w:val="00ED7808"/>
    <w:rsid w:val="00ED7A05"/>
    <w:rsid w:val="00EE1989"/>
    <w:rsid w:val="00EE2EC1"/>
    <w:rsid w:val="00EE334C"/>
    <w:rsid w:val="00EE63E6"/>
    <w:rsid w:val="00EF11A4"/>
    <w:rsid w:val="00EF4C8B"/>
    <w:rsid w:val="00EF6261"/>
    <w:rsid w:val="00F02153"/>
    <w:rsid w:val="00F026DD"/>
    <w:rsid w:val="00F054A2"/>
    <w:rsid w:val="00F058DF"/>
    <w:rsid w:val="00F0611F"/>
    <w:rsid w:val="00F103DF"/>
    <w:rsid w:val="00F13719"/>
    <w:rsid w:val="00F15675"/>
    <w:rsid w:val="00F15DE2"/>
    <w:rsid w:val="00F21250"/>
    <w:rsid w:val="00F21BA4"/>
    <w:rsid w:val="00F21F30"/>
    <w:rsid w:val="00F2398D"/>
    <w:rsid w:val="00F27535"/>
    <w:rsid w:val="00F31462"/>
    <w:rsid w:val="00F32F3D"/>
    <w:rsid w:val="00F35CC0"/>
    <w:rsid w:val="00F35F25"/>
    <w:rsid w:val="00F36FF3"/>
    <w:rsid w:val="00F459F7"/>
    <w:rsid w:val="00F4601F"/>
    <w:rsid w:val="00F504FA"/>
    <w:rsid w:val="00F6157A"/>
    <w:rsid w:val="00F62A3C"/>
    <w:rsid w:val="00F62E12"/>
    <w:rsid w:val="00F631BE"/>
    <w:rsid w:val="00F634A3"/>
    <w:rsid w:val="00F64332"/>
    <w:rsid w:val="00F710F9"/>
    <w:rsid w:val="00F71E2D"/>
    <w:rsid w:val="00F7620F"/>
    <w:rsid w:val="00F76E9A"/>
    <w:rsid w:val="00F83A5F"/>
    <w:rsid w:val="00F8462C"/>
    <w:rsid w:val="00F84A89"/>
    <w:rsid w:val="00F87B34"/>
    <w:rsid w:val="00F87F40"/>
    <w:rsid w:val="00F932FB"/>
    <w:rsid w:val="00FA0AE4"/>
    <w:rsid w:val="00FA0E48"/>
    <w:rsid w:val="00FA2DF5"/>
    <w:rsid w:val="00FA57E9"/>
    <w:rsid w:val="00FA61F2"/>
    <w:rsid w:val="00FA7B92"/>
    <w:rsid w:val="00FB0FAC"/>
    <w:rsid w:val="00FB3EF0"/>
    <w:rsid w:val="00FB4D7E"/>
    <w:rsid w:val="00FB4DBA"/>
    <w:rsid w:val="00FB4F94"/>
    <w:rsid w:val="00FB667E"/>
    <w:rsid w:val="00FB7538"/>
    <w:rsid w:val="00FE552D"/>
    <w:rsid w:val="00FE60A7"/>
    <w:rsid w:val="00FF195C"/>
    <w:rsid w:val="00FF283C"/>
    <w:rsid w:val="00FF547E"/>
    <w:rsid w:val="00FF5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39DBA0"/>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00D2A"/>
    <w:rPr>
      <w:rFonts w:ascii="Arial" w:hAnsi="Arial"/>
    </w:rPr>
  </w:style>
  <w:style w:type="paragraph" w:styleId="Heading1">
    <w:name w:val="heading 1"/>
    <w:basedOn w:val="Normal"/>
    <w:next w:val="Normal"/>
    <w:link w:val="Heading1Char"/>
    <w:autoRedefine/>
    <w:qFormat/>
    <w:rsid w:val="00C67197"/>
    <w:p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autoRedefine/>
    <w:qFormat/>
    <w:rsid w:val="00100D2A"/>
    <w:pPr>
      <w:keepNext/>
      <w:spacing w:line="480" w:lineRule="auto"/>
      <w:jc w:val="center"/>
      <w:outlineLvl w:val="1"/>
    </w:pPr>
    <w:rPr>
      <w:rFonts w:ascii="Times New Roman" w:hAnsi="Times New Roman" w:cs="Times New Roman"/>
      <w:b/>
      <w:bCs/>
      <w:iCs/>
    </w:rPr>
  </w:style>
  <w:style w:type="paragraph" w:styleId="Heading3">
    <w:name w:val="heading 3"/>
    <w:basedOn w:val="Normal"/>
    <w:next w:val="Normal"/>
    <w:link w:val="Heading3Char"/>
    <w:autoRedefine/>
    <w:qFormat/>
    <w:rsid w:val="00384647"/>
    <w:pPr>
      <w:keepNext/>
      <w:numPr>
        <w:ilvl w:val="2"/>
        <w:numId w:val="2"/>
      </w:numPr>
      <w:spacing w:before="240" w:after="60"/>
      <w:outlineLvl w:val="2"/>
    </w:pPr>
    <w:rPr>
      <w:rFonts w:ascii="Times New Roman" w:hAnsi="Times New Roman" w:cs="Times New Roman"/>
      <w:b/>
      <w:bCs/>
      <w:iCs/>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67197"/>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A16CC"/>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2A7821"/>
    <w:pPr>
      <w:numPr>
        <w:numId w:val="12"/>
      </w:numPr>
      <w:tabs>
        <w:tab w:val="left" w:pos="-1080"/>
        <w:tab w:val="left" w:pos="-720"/>
        <w:tab w:val="left" w:pos="0"/>
        <w:tab w:val="left" w:pos="195"/>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both"/>
    </w:pPr>
    <w:rPr>
      <w:rFonts w:ascii="Times New Roman" w:hAnsi="Times New Roman"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table" w:customStyle="1" w:styleId="TableGrid1">
    <w:name w:val="Table Grid1"/>
    <w:basedOn w:val="TableNormal"/>
    <w:next w:val="TableGrid"/>
    <w:uiPriority w:val="59"/>
    <w:rsid w:val="00651FFE"/>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8004C"/>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rsid w:val="00100D2A"/>
    <w:rPr>
      <w:rFonts w:cs="Times New Roman"/>
      <w:b/>
      <w:bCs/>
      <w:iCs/>
    </w:rPr>
  </w:style>
  <w:style w:type="character" w:customStyle="1" w:styleId="Heading3Char">
    <w:name w:val="Heading 3 Char"/>
    <w:basedOn w:val="DefaultParagraphFont"/>
    <w:link w:val="Heading3"/>
    <w:rsid w:val="00384647"/>
    <w:rPr>
      <w:rFonts w:cs="Times New Roman"/>
      <w:b/>
      <w:bCs/>
      <w:iCs/>
    </w:rPr>
  </w:style>
  <w:style w:type="paragraph" w:styleId="NormalWeb">
    <w:name w:val="Normal (Web)"/>
    <w:basedOn w:val="Normal"/>
    <w:uiPriority w:val="99"/>
    <w:unhideWhenUsed/>
    <w:rsid w:val="005F2536"/>
    <w:pPr>
      <w:spacing w:before="100" w:beforeAutospacing="1" w:after="100" w:afterAutospacing="1"/>
    </w:pPr>
    <w:rPr>
      <w:rFonts w:ascii="Times New Roman" w:hAnsi="Times New Roman" w:cs="Times New Roman"/>
    </w:rPr>
  </w:style>
  <w:style w:type="character" w:customStyle="1" w:styleId="url">
    <w:name w:val="url"/>
    <w:basedOn w:val="DefaultParagraphFont"/>
    <w:rsid w:val="005F2536"/>
  </w:style>
  <w:style w:type="character" w:styleId="UnresolvedMention">
    <w:name w:val="Unresolved Mention"/>
    <w:basedOn w:val="DefaultParagraphFont"/>
    <w:uiPriority w:val="99"/>
    <w:semiHidden/>
    <w:unhideWhenUsed/>
    <w:rsid w:val="005C0C6A"/>
    <w:rPr>
      <w:color w:val="605E5C"/>
      <w:shd w:val="clear" w:color="auto" w:fill="E1DFDD"/>
    </w:rPr>
  </w:style>
  <w:style w:type="character" w:styleId="PlaceholderText">
    <w:name w:val="Placeholder Text"/>
    <w:basedOn w:val="DefaultParagraphFont"/>
    <w:uiPriority w:val="99"/>
    <w:semiHidden/>
    <w:rsid w:val="00100D2A"/>
    <w:rPr>
      <w:color w:val="666666"/>
    </w:rPr>
  </w:style>
  <w:style w:type="character" w:styleId="CommentReference">
    <w:name w:val="annotation reference"/>
    <w:basedOn w:val="DefaultParagraphFont"/>
    <w:semiHidden/>
    <w:unhideWhenUsed/>
    <w:rsid w:val="00BC0366"/>
    <w:rPr>
      <w:sz w:val="16"/>
      <w:szCs w:val="16"/>
    </w:rPr>
  </w:style>
  <w:style w:type="paragraph" w:styleId="CommentText">
    <w:name w:val="annotation text"/>
    <w:basedOn w:val="Normal"/>
    <w:link w:val="CommentTextChar"/>
    <w:semiHidden/>
    <w:unhideWhenUsed/>
    <w:rsid w:val="00BC0366"/>
    <w:rPr>
      <w:sz w:val="20"/>
      <w:szCs w:val="20"/>
    </w:rPr>
  </w:style>
  <w:style w:type="character" w:customStyle="1" w:styleId="CommentTextChar">
    <w:name w:val="Comment Text Char"/>
    <w:basedOn w:val="DefaultParagraphFont"/>
    <w:link w:val="CommentText"/>
    <w:semiHidden/>
    <w:rsid w:val="00BC0366"/>
    <w:rPr>
      <w:rFonts w:ascii="Arial" w:hAnsi="Arial"/>
      <w:sz w:val="20"/>
      <w:szCs w:val="20"/>
    </w:rPr>
  </w:style>
  <w:style w:type="paragraph" w:styleId="CommentSubject">
    <w:name w:val="annotation subject"/>
    <w:basedOn w:val="CommentText"/>
    <w:next w:val="CommentText"/>
    <w:link w:val="CommentSubjectChar"/>
    <w:semiHidden/>
    <w:unhideWhenUsed/>
    <w:rsid w:val="00BC0366"/>
    <w:rPr>
      <w:b/>
      <w:bCs/>
    </w:rPr>
  </w:style>
  <w:style w:type="character" w:customStyle="1" w:styleId="CommentSubjectChar">
    <w:name w:val="Comment Subject Char"/>
    <w:basedOn w:val="CommentTextChar"/>
    <w:link w:val="CommentSubject"/>
    <w:semiHidden/>
    <w:rsid w:val="00BC0366"/>
    <w:rPr>
      <w:rFonts w:ascii="Arial" w:hAnsi="Arial"/>
      <w:b/>
      <w:bCs/>
      <w:sz w:val="20"/>
      <w:szCs w:val="20"/>
    </w:rPr>
  </w:style>
  <w:style w:type="paragraph" w:styleId="BalloonText">
    <w:name w:val="Balloon Text"/>
    <w:basedOn w:val="Normal"/>
    <w:link w:val="BalloonTextChar"/>
    <w:semiHidden/>
    <w:unhideWhenUsed/>
    <w:rsid w:val="00BC0366"/>
    <w:rPr>
      <w:rFonts w:ascii="Segoe UI" w:hAnsi="Segoe UI" w:cs="Segoe UI"/>
      <w:sz w:val="18"/>
      <w:szCs w:val="18"/>
    </w:rPr>
  </w:style>
  <w:style w:type="character" w:customStyle="1" w:styleId="BalloonTextChar">
    <w:name w:val="Balloon Text Char"/>
    <w:basedOn w:val="DefaultParagraphFont"/>
    <w:link w:val="BalloonText"/>
    <w:semiHidden/>
    <w:rsid w:val="00BC0366"/>
    <w:rPr>
      <w:rFonts w:ascii="Segoe UI" w:hAnsi="Segoe UI" w:cs="Segoe UI"/>
      <w:sz w:val="18"/>
      <w:szCs w:val="18"/>
    </w:rPr>
  </w:style>
  <w:style w:type="paragraph" w:styleId="Revision">
    <w:name w:val="Revision"/>
    <w:hidden/>
    <w:uiPriority w:val="99"/>
    <w:semiHidden/>
    <w:rsid w:val="00E7582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60046">
      <w:bodyDiv w:val="1"/>
      <w:marLeft w:val="0"/>
      <w:marRight w:val="0"/>
      <w:marTop w:val="0"/>
      <w:marBottom w:val="0"/>
      <w:divBdr>
        <w:top w:val="none" w:sz="0" w:space="0" w:color="auto"/>
        <w:left w:val="none" w:sz="0" w:space="0" w:color="auto"/>
        <w:bottom w:val="none" w:sz="0" w:space="0" w:color="auto"/>
        <w:right w:val="none" w:sz="0" w:space="0" w:color="auto"/>
      </w:divBdr>
      <w:divsChild>
        <w:div w:id="111943999">
          <w:marLeft w:val="-720"/>
          <w:marRight w:val="0"/>
          <w:marTop w:val="0"/>
          <w:marBottom w:val="0"/>
          <w:divBdr>
            <w:top w:val="none" w:sz="0" w:space="0" w:color="auto"/>
            <w:left w:val="none" w:sz="0" w:space="0" w:color="auto"/>
            <w:bottom w:val="none" w:sz="0" w:space="0" w:color="auto"/>
            <w:right w:val="none" w:sz="0" w:space="0" w:color="auto"/>
          </w:divBdr>
        </w:div>
      </w:divsChild>
    </w:div>
    <w:div w:id="57048242">
      <w:bodyDiv w:val="1"/>
      <w:marLeft w:val="0"/>
      <w:marRight w:val="0"/>
      <w:marTop w:val="0"/>
      <w:marBottom w:val="0"/>
      <w:divBdr>
        <w:top w:val="none" w:sz="0" w:space="0" w:color="auto"/>
        <w:left w:val="none" w:sz="0" w:space="0" w:color="auto"/>
        <w:bottom w:val="none" w:sz="0" w:space="0" w:color="auto"/>
        <w:right w:val="none" w:sz="0" w:space="0" w:color="auto"/>
      </w:divBdr>
      <w:divsChild>
        <w:div w:id="1906212766">
          <w:marLeft w:val="-720"/>
          <w:marRight w:val="0"/>
          <w:marTop w:val="0"/>
          <w:marBottom w:val="0"/>
          <w:divBdr>
            <w:top w:val="none" w:sz="0" w:space="0" w:color="auto"/>
            <w:left w:val="none" w:sz="0" w:space="0" w:color="auto"/>
            <w:bottom w:val="none" w:sz="0" w:space="0" w:color="auto"/>
            <w:right w:val="none" w:sz="0" w:space="0" w:color="auto"/>
          </w:divBdr>
        </w:div>
      </w:divsChild>
    </w:div>
    <w:div w:id="63913380">
      <w:bodyDiv w:val="1"/>
      <w:marLeft w:val="0"/>
      <w:marRight w:val="0"/>
      <w:marTop w:val="0"/>
      <w:marBottom w:val="0"/>
      <w:divBdr>
        <w:top w:val="none" w:sz="0" w:space="0" w:color="auto"/>
        <w:left w:val="none" w:sz="0" w:space="0" w:color="auto"/>
        <w:bottom w:val="none" w:sz="0" w:space="0" w:color="auto"/>
        <w:right w:val="none" w:sz="0" w:space="0" w:color="auto"/>
      </w:divBdr>
      <w:divsChild>
        <w:div w:id="1172842615">
          <w:marLeft w:val="-720"/>
          <w:marRight w:val="0"/>
          <w:marTop w:val="0"/>
          <w:marBottom w:val="0"/>
          <w:divBdr>
            <w:top w:val="none" w:sz="0" w:space="0" w:color="auto"/>
            <w:left w:val="none" w:sz="0" w:space="0" w:color="auto"/>
            <w:bottom w:val="none" w:sz="0" w:space="0" w:color="auto"/>
            <w:right w:val="none" w:sz="0" w:space="0" w:color="auto"/>
          </w:divBdr>
        </w:div>
      </w:divsChild>
    </w:div>
    <w:div w:id="181014075">
      <w:bodyDiv w:val="1"/>
      <w:marLeft w:val="0"/>
      <w:marRight w:val="0"/>
      <w:marTop w:val="0"/>
      <w:marBottom w:val="0"/>
      <w:divBdr>
        <w:top w:val="none" w:sz="0" w:space="0" w:color="auto"/>
        <w:left w:val="none" w:sz="0" w:space="0" w:color="auto"/>
        <w:bottom w:val="none" w:sz="0" w:space="0" w:color="auto"/>
        <w:right w:val="none" w:sz="0" w:space="0" w:color="auto"/>
      </w:divBdr>
      <w:divsChild>
        <w:div w:id="2013608767">
          <w:marLeft w:val="-720"/>
          <w:marRight w:val="0"/>
          <w:marTop w:val="0"/>
          <w:marBottom w:val="0"/>
          <w:divBdr>
            <w:top w:val="none" w:sz="0" w:space="0" w:color="auto"/>
            <w:left w:val="none" w:sz="0" w:space="0" w:color="auto"/>
            <w:bottom w:val="none" w:sz="0" w:space="0" w:color="auto"/>
            <w:right w:val="none" w:sz="0" w:space="0" w:color="auto"/>
          </w:divBdr>
        </w:div>
      </w:divsChild>
    </w:div>
    <w:div w:id="217284565">
      <w:bodyDiv w:val="1"/>
      <w:marLeft w:val="0"/>
      <w:marRight w:val="0"/>
      <w:marTop w:val="0"/>
      <w:marBottom w:val="0"/>
      <w:divBdr>
        <w:top w:val="none" w:sz="0" w:space="0" w:color="auto"/>
        <w:left w:val="none" w:sz="0" w:space="0" w:color="auto"/>
        <w:bottom w:val="none" w:sz="0" w:space="0" w:color="auto"/>
        <w:right w:val="none" w:sz="0" w:space="0" w:color="auto"/>
      </w:divBdr>
      <w:divsChild>
        <w:div w:id="1992639973">
          <w:marLeft w:val="-720"/>
          <w:marRight w:val="0"/>
          <w:marTop w:val="0"/>
          <w:marBottom w:val="0"/>
          <w:divBdr>
            <w:top w:val="none" w:sz="0" w:space="0" w:color="auto"/>
            <w:left w:val="none" w:sz="0" w:space="0" w:color="auto"/>
            <w:bottom w:val="none" w:sz="0" w:space="0" w:color="auto"/>
            <w:right w:val="none" w:sz="0" w:space="0" w:color="auto"/>
          </w:divBdr>
        </w:div>
      </w:divsChild>
    </w:div>
    <w:div w:id="233051843">
      <w:bodyDiv w:val="1"/>
      <w:marLeft w:val="0"/>
      <w:marRight w:val="0"/>
      <w:marTop w:val="0"/>
      <w:marBottom w:val="0"/>
      <w:divBdr>
        <w:top w:val="none" w:sz="0" w:space="0" w:color="auto"/>
        <w:left w:val="none" w:sz="0" w:space="0" w:color="auto"/>
        <w:bottom w:val="none" w:sz="0" w:space="0" w:color="auto"/>
        <w:right w:val="none" w:sz="0" w:space="0" w:color="auto"/>
      </w:divBdr>
      <w:divsChild>
        <w:div w:id="1907640822">
          <w:marLeft w:val="-720"/>
          <w:marRight w:val="0"/>
          <w:marTop w:val="0"/>
          <w:marBottom w:val="0"/>
          <w:divBdr>
            <w:top w:val="none" w:sz="0" w:space="0" w:color="auto"/>
            <w:left w:val="none" w:sz="0" w:space="0" w:color="auto"/>
            <w:bottom w:val="none" w:sz="0" w:space="0" w:color="auto"/>
            <w:right w:val="none" w:sz="0" w:space="0" w:color="auto"/>
          </w:divBdr>
        </w:div>
      </w:divsChild>
    </w:div>
    <w:div w:id="288439223">
      <w:bodyDiv w:val="1"/>
      <w:marLeft w:val="0"/>
      <w:marRight w:val="0"/>
      <w:marTop w:val="0"/>
      <w:marBottom w:val="0"/>
      <w:divBdr>
        <w:top w:val="none" w:sz="0" w:space="0" w:color="auto"/>
        <w:left w:val="none" w:sz="0" w:space="0" w:color="auto"/>
        <w:bottom w:val="none" w:sz="0" w:space="0" w:color="auto"/>
        <w:right w:val="none" w:sz="0" w:space="0" w:color="auto"/>
      </w:divBdr>
      <w:divsChild>
        <w:div w:id="945966052">
          <w:marLeft w:val="-720"/>
          <w:marRight w:val="0"/>
          <w:marTop w:val="0"/>
          <w:marBottom w:val="0"/>
          <w:divBdr>
            <w:top w:val="none" w:sz="0" w:space="0" w:color="auto"/>
            <w:left w:val="none" w:sz="0" w:space="0" w:color="auto"/>
            <w:bottom w:val="none" w:sz="0" w:space="0" w:color="auto"/>
            <w:right w:val="none" w:sz="0" w:space="0" w:color="auto"/>
          </w:divBdr>
        </w:div>
      </w:divsChild>
    </w:div>
    <w:div w:id="309093800">
      <w:bodyDiv w:val="1"/>
      <w:marLeft w:val="0"/>
      <w:marRight w:val="0"/>
      <w:marTop w:val="0"/>
      <w:marBottom w:val="0"/>
      <w:divBdr>
        <w:top w:val="none" w:sz="0" w:space="0" w:color="auto"/>
        <w:left w:val="none" w:sz="0" w:space="0" w:color="auto"/>
        <w:bottom w:val="none" w:sz="0" w:space="0" w:color="auto"/>
        <w:right w:val="none" w:sz="0" w:space="0" w:color="auto"/>
      </w:divBdr>
      <w:divsChild>
        <w:div w:id="498472662">
          <w:marLeft w:val="-720"/>
          <w:marRight w:val="0"/>
          <w:marTop w:val="0"/>
          <w:marBottom w:val="0"/>
          <w:divBdr>
            <w:top w:val="none" w:sz="0" w:space="0" w:color="auto"/>
            <w:left w:val="none" w:sz="0" w:space="0" w:color="auto"/>
            <w:bottom w:val="none" w:sz="0" w:space="0" w:color="auto"/>
            <w:right w:val="none" w:sz="0" w:space="0" w:color="auto"/>
          </w:divBdr>
        </w:div>
      </w:divsChild>
    </w:div>
    <w:div w:id="329254522">
      <w:bodyDiv w:val="1"/>
      <w:marLeft w:val="0"/>
      <w:marRight w:val="0"/>
      <w:marTop w:val="0"/>
      <w:marBottom w:val="0"/>
      <w:divBdr>
        <w:top w:val="none" w:sz="0" w:space="0" w:color="auto"/>
        <w:left w:val="none" w:sz="0" w:space="0" w:color="auto"/>
        <w:bottom w:val="none" w:sz="0" w:space="0" w:color="auto"/>
        <w:right w:val="none" w:sz="0" w:space="0" w:color="auto"/>
      </w:divBdr>
      <w:divsChild>
        <w:div w:id="1943025184">
          <w:marLeft w:val="-720"/>
          <w:marRight w:val="0"/>
          <w:marTop w:val="0"/>
          <w:marBottom w:val="0"/>
          <w:divBdr>
            <w:top w:val="none" w:sz="0" w:space="0" w:color="auto"/>
            <w:left w:val="none" w:sz="0" w:space="0" w:color="auto"/>
            <w:bottom w:val="none" w:sz="0" w:space="0" w:color="auto"/>
            <w:right w:val="none" w:sz="0" w:space="0" w:color="auto"/>
          </w:divBdr>
        </w:div>
      </w:divsChild>
    </w:div>
    <w:div w:id="401417743">
      <w:bodyDiv w:val="1"/>
      <w:marLeft w:val="0"/>
      <w:marRight w:val="0"/>
      <w:marTop w:val="0"/>
      <w:marBottom w:val="0"/>
      <w:divBdr>
        <w:top w:val="none" w:sz="0" w:space="0" w:color="auto"/>
        <w:left w:val="none" w:sz="0" w:space="0" w:color="auto"/>
        <w:bottom w:val="none" w:sz="0" w:space="0" w:color="auto"/>
        <w:right w:val="none" w:sz="0" w:space="0" w:color="auto"/>
      </w:divBdr>
      <w:divsChild>
        <w:div w:id="44721523">
          <w:marLeft w:val="-72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21442447">
      <w:bodyDiv w:val="1"/>
      <w:marLeft w:val="0"/>
      <w:marRight w:val="0"/>
      <w:marTop w:val="0"/>
      <w:marBottom w:val="0"/>
      <w:divBdr>
        <w:top w:val="none" w:sz="0" w:space="0" w:color="auto"/>
        <w:left w:val="none" w:sz="0" w:space="0" w:color="auto"/>
        <w:bottom w:val="none" w:sz="0" w:space="0" w:color="auto"/>
        <w:right w:val="none" w:sz="0" w:space="0" w:color="auto"/>
      </w:divBdr>
      <w:divsChild>
        <w:div w:id="1118373032">
          <w:marLeft w:val="-720"/>
          <w:marRight w:val="0"/>
          <w:marTop w:val="0"/>
          <w:marBottom w:val="0"/>
          <w:divBdr>
            <w:top w:val="none" w:sz="0" w:space="0" w:color="auto"/>
            <w:left w:val="none" w:sz="0" w:space="0" w:color="auto"/>
            <w:bottom w:val="none" w:sz="0" w:space="0" w:color="auto"/>
            <w:right w:val="none" w:sz="0" w:space="0" w:color="auto"/>
          </w:divBdr>
        </w:div>
      </w:divsChild>
    </w:div>
    <w:div w:id="915170119">
      <w:bodyDiv w:val="1"/>
      <w:marLeft w:val="0"/>
      <w:marRight w:val="0"/>
      <w:marTop w:val="0"/>
      <w:marBottom w:val="0"/>
      <w:divBdr>
        <w:top w:val="none" w:sz="0" w:space="0" w:color="auto"/>
        <w:left w:val="none" w:sz="0" w:space="0" w:color="auto"/>
        <w:bottom w:val="none" w:sz="0" w:space="0" w:color="auto"/>
        <w:right w:val="none" w:sz="0" w:space="0" w:color="auto"/>
      </w:divBdr>
      <w:divsChild>
        <w:div w:id="992755441">
          <w:marLeft w:val="-720"/>
          <w:marRight w:val="0"/>
          <w:marTop w:val="0"/>
          <w:marBottom w:val="0"/>
          <w:divBdr>
            <w:top w:val="none" w:sz="0" w:space="0" w:color="auto"/>
            <w:left w:val="none" w:sz="0" w:space="0" w:color="auto"/>
            <w:bottom w:val="none" w:sz="0" w:space="0" w:color="auto"/>
            <w:right w:val="none" w:sz="0" w:space="0" w:color="auto"/>
          </w:divBdr>
        </w:div>
      </w:divsChild>
    </w:div>
    <w:div w:id="935482150">
      <w:bodyDiv w:val="1"/>
      <w:marLeft w:val="0"/>
      <w:marRight w:val="0"/>
      <w:marTop w:val="0"/>
      <w:marBottom w:val="0"/>
      <w:divBdr>
        <w:top w:val="none" w:sz="0" w:space="0" w:color="auto"/>
        <w:left w:val="none" w:sz="0" w:space="0" w:color="auto"/>
        <w:bottom w:val="none" w:sz="0" w:space="0" w:color="auto"/>
        <w:right w:val="none" w:sz="0" w:space="0" w:color="auto"/>
      </w:divBdr>
    </w:div>
    <w:div w:id="966934707">
      <w:bodyDiv w:val="1"/>
      <w:marLeft w:val="0"/>
      <w:marRight w:val="0"/>
      <w:marTop w:val="0"/>
      <w:marBottom w:val="0"/>
      <w:divBdr>
        <w:top w:val="none" w:sz="0" w:space="0" w:color="auto"/>
        <w:left w:val="none" w:sz="0" w:space="0" w:color="auto"/>
        <w:bottom w:val="none" w:sz="0" w:space="0" w:color="auto"/>
        <w:right w:val="none" w:sz="0" w:space="0" w:color="auto"/>
      </w:divBdr>
      <w:divsChild>
        <w:div w:id="1865050891">
          <w:marLeft w:val="-720"/>
          <w:marRight w:val="0"/>
          <w:marTop w:val="0"/>
          <w:marBottom w:val="0"/>
          <w:divBdr>
            <w:top w:val="none" w:sz="0" w:space="0" w:color="auto"/>
            <w:left w:val="none" w:sz="0" w:space="0" w:color="auto"/>
            <w:bottom w:val="none" w:sz="0" w:space="0" w:color="auto"/>
            <w:right w:val="none" w:sz="0" w:space="0" w:color="auto"/>
          </w:divBdr>
        </w:div>
      </w:divsChild>
    </w:div>
    <w:div w:id="1029794244">
      <w:bodyDiv w:val="1"/>
      <w:marLeft w:val="0"/>
      <w:marRight w:val="0"/>
      <w:marTop w:val="0"/>
      <w:marBottom w:val="0"/>
      <w:divBdr>
        <w:top w:val="none" w:sz="0" w:space="0" w:color="auto"/>
        <w:left w:val="none" w:sz="0" w:space="0" w:color="auto"/>
        <w:bottom w:val="none" w:sz="0" w:space="0" w:color="auto"/>
        <w:right w:val="none" w:sz="0" w:space="0" w:color="auto"/>
      </w:divBdr>
      <w:divsChild>
        <w:div w:id="537008945">
          <w:marLeft w:val="-720"/>
          <w:marRight w:val="0"/>
          <w:marTop w:val="0"/>
          <w:marBottom w:val="0"/>
          <w:divBdr>
            <w:top w:val="none" w:sz="0" w:space="0" w:color="auto"/>
            <w:left w:val="none" w:sz="0" w:space="0" w:color="auto"/>
            <w:bottom w:val="none" w:sz="0" w:space="0" w:color="auto"/>
            <w:right w:val="none" w:sz="0" w:space="0" w:color="auto"/>
          </w:divBdr>
        </w:div>
      </w:divsChild>
    </w:div>
    <w:div w:id="1139230636">
      <w:bodyDiv w:val="1"/>
      <w:marLeft w:val="0"/>
      <w:marRight w:val="0"/>
      <w:marTop w:val="0"/>
      <w:marBottom w:val="0"/>
      <w:divBdr>
        <w:top w:val="none" w:sz="0" w:space="0" w:color="auto"/>
        <w:left w:val="none" w:sz="0" w:space="0" w:color="auto"/>
        <w:bottom w:val="none" w:sz="0" w:space="0" w:color="auto"/>
        <w:right w:val="none" w:sz="0" w:space="0" w:color="auto"/>
      </w:divBdr>
      <w:divsChild>
        <w:div w:id="407338995">
          <w:marLeft w:val="-720"/>
          <w:marRight w:val="0"/>
          <w:marTop w:val="0"/>
          <w:marBottom w:val="0"/>
          <w:divBdr>
            <w:top w:val="none" w:sz="0" w:space="0" w:color="auto"/>
            <w:left w:val="none" w:sz="0" w:space="0" w:color="auto"/>
            <w:bottom w:val="none" w:sz="0" w:space="0" w:color="auto"/>
            <w:right w:val="none" w:sz="0" w:space="0" w:color="auto"/>
          </w:divBdr>
        </w:div>
      </w:divsChild>
    </w:div>
    <w:div w:id="1193877688">
      <w:bodyDiv w:val="1"/>
      <w:marLeft w:val="0"/>
      <w:marRight w:val="0"/>
      <w:marTop w:val="0"/>
      <w:marBottom w:val="0"/>
      <w:divBdr>
        <w:top w:val="none" w:sz="0" w:space="0" w:color="auto"/>
        <w:left w:val="none" w:sz="0" w:space="0" w:color="auto"/>
        <w:bottom w:val="none" w:sz="0" w:space="0" w:color="auto"/>
        <w:right w:val="none" w:sz="0" w:space="0" w:color="auto"/>
      </w:divBdr>
      <w:divsChild>
        <w:div w:id="603194260">
          <w:marLeft w:val="-720"/>
          <w:marRight w:val="0"/>
          <w:marTop w:val="0"/>
          <w:marBottom w:val="0"/>
          <w:divBdr>
            <w:top w:val="none" w:sz="0" w:space="0" w:color="auto"/>
            <w:left w:val="none" w:sz="0" w:space="0" w:color="auto"/>
            <w:bottom w:val="none" w:sz="0" w:space="0" w:color="auto"/>
            <w:right w:val="none" w:sz="0" w:space="0" w:color="auto"/>
          </w:divBdr>
        </w:div>
      </w:divsChild>
    </w:div>
    <w:div w:id="1199707022">
      <w:bodyDiv w:val="1"/>
      <w:marLeft w:val="0"/>
      <w:marRight w:val="0"/>
      <w:marTop w:val="0"/>
      <w:marBottom w:val="0"/>
      <w:divBdr>
        <w:top w:val="none" w:sz="0" w:space="0" w:color="auto"/>
        <w:left w:val="none" w:sz="0" w:space="0" w:color="auto"/>
        <w:bottom w:val="none" w:sz="0" w:space="0" w:color="auto"/>
        <w:right w:val="none" w:sz="0" w:space="0" w:color="auto"/>
      </w:divBdr>
      <w:divsChild>
        <w:div w:id="531922724">
          <w:marLeft w:val="-720"/>
          <w:marRight w:val="0"/>
          <w:marTop w:val="0"/>
          <w:marBottom w:val="0"/>
          <w:divBdr>
            <w:top w:val="none" w:sz="0" w:space="0" w:color="auto"/>
            <w:left w:val="none" w:sz="0" w:space="0" w:color="auto"/>
            <w:bottom w:val="none" w:sz="0" w:space="0" w:color="auto"/>
            <w:right w:val="none" w:sz="0" w:space="0" w:color="auto"/>
          </w:divBdr>
        </w:div>
      </w:divsChild>
    </w:div>
    <w:div w:id="1310859904">
      <w:bodyDiv w:val="1"/>
      <w:marLeft w:val="0"/>
      <w:marRight w:val="0"/>
      <w:marTop w:val="0"/>
      <w:marBottom w:val="0"/>
      <w:divBdr>
        <w:top w:val="none" w:sz="0" w:space="0" w:color="auto"/>
        <w:left w:val="none" w:sz="0" w:space="0" w:color="auto"/>
        <w:bottom w:val="none" w:sz="0" w:space="0" w:color="auto"/>
        <w:right w:val="none" w:sz="0" w:space="0" w:color="auto"/>
      </w:divBdr>
      <w:divsChild>
        <w:div w:id="1370498179">
          <w:marLeft w:val="-720"/>
          <w:marRight w:val="0"/>
          <w:marTop w:val="0"/>
          <w:marBottom w:val="0"/>
          <w:divBdr>
            <w:top w:val="none" w:sz="0" w:space="0" w:color="auto"/>
            <w:left w:val="none" w:sz="0" w:space="0" w:color="auto"/>
            <w:bottom w:val="none" w:sz="0" w:space="0" w:color="auto"/>
            <w:right w:val="none" w:sz="0" w:space="0" w:color="auto"/>
          </w:divBdr>
        </w:div>
      </w:divsChild>
    </w:div>
    <w:div w:id="1401176389">
      <w:bodyDiv w:val="1"/>
      <w:marLeft w:val="0"/>
      <w:marRight w:val="0"/>
      <w:marTop w:val="0"/>
      <w:marBottom w:val="0"/>
      <w:divBdr>
        <w:top w:val="none" w:sz="0" w:space="0" w:color="auto"/>
        <w:left w:val="none" w:sz="0" w:space="0" w:color="auto"/>
        <w:bottom w:val="none" w:sz="0" w:space="0" w:color="auto"/>
        <w:right w:val="none" w:sz="0" w:space="0" w:color="auto"/>
      </w:divBdr>
      <w:divsChild>
        <w:div w:id="512304907">
          <w:marLeft w:val="-720"/>
          <w:marRight w:val="0"/>
          <w:marTop w:val="0"/>
          <w:marBottom w:val="0"/>
          <w:divBdr>
            <w:top w:val="none" w:sz="0" w:space="0" w:color="auto"/>
            <w:left w:val="none" w:sz="0" w:space="0" w:color="auto"/>
            <w:bottom w:val="none" w:sz="0" w:space="0" w:color="auto"/>
            <w:right w:val="none" w:sz="0" w:space="0" w:color="auto"/>
          </w:divBdr>
        </w:div>
      </w:divsChild>
    </w:div>
    <w:div w:id="1424298262">
      <w:bodyDiv w:val="1"/>
      <w:marLeft w:val="0"/>
      <w:marRight w:val="0"/>
      <w:marTop w:val="0"/>
      <w:marBottom w:val="0"/>
      <w:divBdr>
        <w:top w:val="none" w:sz="0" w:space="0" w:color="auto"/>
        <w:left w:val="none" w:sz="0" w:space="0" w:color="auto"/>
        <w:bottom w:val="none" w:sz="0" w:space="0" w:color="auto"/>
        <w:right w:val="none" w:sz="0" w:space="0" w:color="auto"/>
      </w:divBdr>
      <w:divsChild>
        <w:div w:id="793059629">
          <w:marLeft w:val="-720"/>
          <w:marRight w:val="0"/>
          <w:marTop w:val="0"/>
          <w:marBottom w:val="0"/>
          <w:divBdr>
            <w:top w:val="none" w:sz="0" w:space="0" w:color="auto"/>
            <w:left w:val="none" w:sz="0" w:space="0" w:color="auto"/>
            <w:bottom w:val="none" w:sz="0" w:space="0" w:color="auto"/>
            <w:right w:val="none" w:sz="0" w:space="0" w:color="auto"/>
          </w:divBdr>
        </w:div>
      </w:divsChild>
    </w:div>
    <w:div w:id="1501121103">
      <w:bodyDiv w:val="1"/>
      <w:marLeft w:val="0"/>
      <w:marRight w:val="0"/>
      <w:marTop w:val="0"/>
      <w:marBottom w:val="0"/>
      <w:divBdr>
        <w:top w:val="none" w:sz="0" w:space="0" w:color="auto"/>
        <w:left w:val="none" w:sz="0" w:space="0" w:color="auto"/>
        <w:bottom w:val="none" w:sz="0" w:space="0" w:color="auto"/>
        <w:right w:val="none" w:sz="0" w:space="0" w:color="auto"/>
      </w:divBdr>
      <w:divsChild>
        <w:div w:id="1612395749">
          <w:marLeft w:val="-720"/>
          <w:marRight w:val="0"/>
          <w:marTop w:val="0"/>
          <w:marBottom w:val="0"/>
          <w:divBdr>
            <w:top w:val="none" w:sz="0" w:space="0" w:color="auto"/>
            <w:left w:val="none" w:sz="0" w:space="0" w:color="auto"/>
            <w:bottom w:val="none" w:sz="0" w:space="0" w:color="auto"/>
            <w:right w:val="none" w:sz="0" w:space="0" w:color="auto"/>
          </w:divBdr>
        </w:div>
      </w:divsChild>
    </w:div>
    <w:div w:id="1510488170">
      <w:bodyDiv w:val="1"/>
      <w:marLeft w:val="0"/>
      <w:marRight w:val="0"/>
      <w:marTop w:val="0"/>
      <w:marBottom w:val="0"/>
      <w:divBdr>
        <w:top w:val="none" w:sz="0" w:space="0" w:color="auto"/>
        <w:left w:val="none" w:sz="0" w:space="0" w:color="auto"/>
        <w:bottom w:val="none" w:sz="0" w:space="0" w:color="auto"/>
        <w:right w:val="none" w:sz="0" w:space="0" w:color="auto"/>
      </w:divBdr>
      <w:divsChild>
        <w:div w:id="1975673879">
          <w:marLeft w:val="-720"/>
          <w:marRight w:val="0"/>
          <w:marTop w:val="0"/>
          <w:marBottom w:val="0"/>
          <w:divBdr>
            <w:top w:val="none" w:sz="0" w:space="0" w:color="auto"/>
            <w:left w:val="none" w:sz="0" w:space="0" w:color="auto"/>
            <w:bottom w:val="none" w:sz="0" w:space="0" w:color="auto"/>
            <w:right w:val="none" w:sz="0" w:space="0" w:color="auto"/>
          </w:divBdr>
        </w:div>
      </w:divsChild>
    </w:div>
    <w:div w:id="1530334930">
      <w:bodyDiv w:val="1"/>
      <w:marLeft w:val="0"/>
      <w:marRight w:val="0"/>
      <w:marTop w:val="0"/>
      <w:marBottom w:val="0"/>
      <w:divBdr>
        <w:top w:val="none" w:sz="0" w:space="0" w:color="auto"/>
        <w:left w:val="none" w:sz="0" w:space="0" w:color="auto"/>
        <w:bottom w:val="none" w:sz="0" w:space="0" w:color="auto"/>
        <w:right w:val="none" w:sz="0" w:space="0" w:color="auto"/>
      </w:divBdr>
    </w:div>
    <w:div w:id="1546022108">
      <w:bodyDiv w:val="1"/>
      <w:marLeft w:val="0"/>
      <w:marRight w:val="0"/>
      <w:marTop w:val="0"/>
      <w:marBottom w:val="0"/>
      <w:divBdr>
        <w:top w:val="none" w:sz="0" w:space="0" w:color="auto"/>
        <w:left w:val="none" w:sz="0" w:space="0" w:color="auto"/>
        <w:bottom w:val="none" w:sz="0" w:space="0" w:color="auto"/>
        <w:right w:val="none" w:sz="0" w:space="0" w:color="auto"/>
      </w:divBdr>
      <w:divsChild>
        <w:div w:id="1798403563">
          <w:marLeft w:val="-720"/>
          <w:marRight w:val="0"/>
          <w:marTop w:val="0"/>
          <w:marBottom w:val="0"/>
          <w:divBdr>
            <w:top w:val="none" w:sz="0" w:space="0" w:color="auto"/>
            <w:left w:val="none" w:sz="0" w:space="0" w:color="auto"/>
            <w:bottom w:val="none" w:sz="0" w:space="0" w:color="auto"/>
            <w:right w:val="none" w:sz="0" w:space="0" w:color="auto"/>
          </w:divBdr>
        </w:div>
      </w:divsChild>
    </w:div>
    <w:div w:id="1575043161">
      <w:bodyDiv w:val="1"/>
      <w:marLeft w:val="0"/>
      <w:marRight w:val="0"/>
      <w:marTop w:val="0"/>
      <w:marBottom w:val="0"/>
      <w:divBdr>
        <w:top w:val="none" w:sz="0" w:space="0" w:color="auto"/>
        <w:left w:val="none" w:sz="0" w:space="0" w:color="auto"/>
        <w:bottom w:val="none" w:sz="0" w:space="0" w:color="auto"/>
        <w:right w:val="none" w:sz="0" w:space="0" w:color="auto"/>
      </w:divBdr>
      <w:divsChild>
        <w:div w:id="2059476670">
          <w:marLeft w:val="-720"/>
          <w:marRight w:val="0"/>
          <w:marTop w:val="0"/>
          <w:marBottom w:val="0"/>
          <w:divBdr>
            <w:top w:val="none" w:sz="0" w:space="0" w:color="auto"/>
            <w:left w:val="none" w:sz="0" w:space="0" w:color="auto"/>
            <w:bottom w:val="none" w:sz="0" w:space="0" w:color="auto"/>
            <w:right w:val="none" w:sz="0" w:space="0" w:color="auto"/>
          </w:divBdr>
        </w:div>
      </w:divsChild>
    </w:div>
    <w:div w:id="1672223621">
      <w:bodyDiv w:val="1"/>
      <w:marLeft w:val="0"/>
      <w:marRight w:val="0"/>
      <w:marTop w:val="0"/>
      <w:marBottom w:val="0"/>
      <w:divBdr>
        <w:top w:val="none" w:sz="0" w:space="0" w:color="auto"/>
        <w:left w:val="none" w:sz="0" w:space="0" w:color="auto"/>
        <w:bottom w:val="none" w:sz="0" w:space="0" w:color="auto"/>
        <w:right w:val="none" w:sz="0" w:space="0" w:color="auto"/>
      </w:divBdr>
      <w:divsChild>
        <w:div w:id="938827431">
          <w:marLeft w:val="-720"/>
          <w:marRight w:val="0"/>
          <w:marTop w:val="0"/>
          <w:marBottom w:val="0"/>
          <w:divBdr>
            <w:top w:val="none" w:sz="0" w:space="0" w:color="auto"/>
            <w:left w:val="none" w:sz="0" w:space="0" w:color="auto"/>
            <w:bottom w:val="none" w:sz="0" w:space="0" w:color="auto"/>
            <w:right w:val="none" w:sz="0" w:space="0" w:color="auto"/>
          </w:divBdr>
        </w:div>
      </w:divsChild>
    </w:div>
    <w:div w:id="1716199809">
      <w:bodyDiv w:val="1"/>
      <w:marLeft w:val="0"/>
      <w:marRight w:val="0"/>
      <w:marTop w:val="0"/>
      <w:marBottom w:val="0"/>
      <w:divBdr>
        <w:top w:val="none" w:sz="0" w:space="0" w:color="auto"/>
        <w:left w:val="none" w:sz="0" w:space="0" w:color="auto"/>
        <w:bottom w:val="none" w:sz="0" w:space="0" w:color="auto"/>
        <w:right w:val="none" w:sz="0" w:space="0" w:color="auto"/>
      </w:divBdr>
      <w:divsChild>
        <w:div w:id="1412503376">
          <w:marLeft w:val="-720"/>
          <w:marRight w:val="0"/>
          <w:marTop w:val="0"/>
          <w:marBottom w:val="0"/>
          <w:divBdr>
            <w:top w:val="none" w:sz="0" w:space="0" w:color="auto"/>
            <w:left w:val="none" w:sz="0" w:space="0" w:color="auto"/>
            <w:bottom w:val="none" w:sz="0" w:space="0" w:color="auto"/>
            <w:right w:val="none" w:sz="0" w:space="0" w:color="auto"/>
          </w:divBdr>
        </w:div>
      </w:divsChild>
    </w:div>
    <w:div w:id="1760634827">
      <w:bodyDiv w:val="1"/>
      <w:marLeft w:val="0"/>
      <w:marRight w:val="0"/>
      <w:marTop w:val="0"/>
      <w:marBottom w:val="0"/>
      <w:divBdr>
        <w:top w:val="none" w:sz="0" w:space="0" w:color="auto"/>
        <w:left w:val="none" w:sz="0" w:space="0" w:color="auto"/>
        <w:bottom w:val="none" w:sz="0" w:space="0" w:color="auto"/>
        <w:right w:val="none" w:sz="0" w:space="0" w:color="auto"/>
      </w:divBdr>
      <w:divsChild>
        <w:div w:id="452940758">
          <w:marLeft w:val="-720"/>
          <w:marRight w:val="0"/>
          <w:marTop w:val="0"/>
          <w:marBottom w:val="0"/>
          <w:divBdr>
            <w:top w:val="none" w:sz="0" w:space="0" w:color="auto"/>
            <w:left w:val="none" w:sz="0" w:space="0" w:color="auto"/>
            <w:bottom w:val="none" w:sz="0" w:space="0" w:color="auto"/>
            <w:right w:val="none" w:sz="0" w:space="0" w:color="auto"/>
          </w:divBdr>
        </w:div>
      </w:divsChild>
    </w:div>
    <w:div w:id="1831018143">
      <w:bodyDiv w:val="1"/>
      <w:marLeft w:val="0"/>
      <w:marRight w:val="0"/>
      <w:marTop w:val="0"/>
      <w:marBottom w:val="0"/>
      <w:divBdr>
        <w:top w:val="none" w:sz="0" w:space="0" w:color="auto"/>
        <w:left w:val="none" w:sz="0" w:space="0" w:color="auto"/>
        <w:bottom w:val="none" w:sz="0" w:space="0" w:color="auto"/>
        <w:right w:val="none" w:sz="0" w:space="0" w:color="auto"/>
      </w:divBdr>
      <w:divsChild>
        <w:div w:id="1681004959">
          <w:marLeft w:val="-720"/>
          <w:marRight w:val="0"/>
          <w:marTop w:val="0"/>
          <w:marBottom w:val="0"/>
          <w:divBdr>
            <w:top w:val="none" w:sz="0" w:space="0" w:color="auto"/>
            <w:left w:val="none" w:sz="0" w:space="0" w:color="auto"/>
            <w:bottom w:val="none" w:sz="0" w:space="0" w:color="auto"/>
            <w:right w:val="none" w:sz="0" w:space="0" w:color="auto"/>
          </w:divBdr>
        </w:div>
      </w:divsChild>
    </w:div>
    <w:div w:id="2047826854">
      <w:bodyDiv w:val="1"/>
      <w:marLeft w:val="0"/>
      <w:marRight w:val="0"/>
      <w:marTop w:val="0"/>
      <w:marBottom w:val="0"/>
      <w:divBdr>
        <w:top w:val="none" w:sz="0" w:space="0" w:color="auto"/>
        <w:left w:val="none" w:sz="0" w:space="0" w:color="auto"/>
        <w:bottom w:val="none" w:sz="0" w:space="0" w:color="auto"/>
        <w:right w:val="none" w:sz="0" w:space="0" w:color="auto"/>
      </w:divBdr>
      <w:divsChild>
        <w:div w:id="667682920">
          <w:marLeft w:val="-720"/>
          <w:marRight w:val="0"/>
          <w:marTop w:val="0"/>
          <w:marBottom w:val="0"/>
          <w:divBdr>
            <w:top w:val="none" w:sz="0" w:space="0" w:color="auto"/>
            <w:left w:val="none" w:sz="0" w:space="0" w:color="auto"/>
            <w:bottom w:val="none" w:sz="0" w:space="0" w:color="auto"/>
            <w:right w:val="none" w:sz="0" w:space="0" w:color="auto"/>
          </w:divBdr>
        </w:div>
      </w:divsChild>
    </w:div>
    <w:div w:id="2124567517">
      <w:bodyDiv w:val="1"/>
      <w:marLeft w:val="0"/>
      <w:marRight w:val="0"/>
      <w:marTop w:val="0"/>
      <w:marBottom w:val="0"/>
      <w:divBdr>
        <w:top w:val="none" w:sz="0" w:space="0" w:color="auto"/>
        <w:left w:val="none" w:sz="0" w:space="0" w:color="auto"/>
        <w:bottom w:val="none" w:sz="0" w:space="0" w:color="auto"/>
        <w:right w:val="none" w:sz="0" w:space="0" w:color="auto"/>
      </w:divBdr>
      <w:divsChild>
        <w:div w:id="1569803960">
          <w:marLeft w:val="-720"/>
          <w:marRight w:val="0"/>
          <w:marTop w:val="0"/>
          <w:marBottom w:val="0"/>
          <w:divBdr>
            <w:top w:val="none" w:sz="0" w:space="0" w:color="auto"/>
            <w:left w:val="none" w:sz="0" w:space="0" w:color="auto"/>
            <w:bottom w:val="none" w:sz="0" w:space="0" w:color="auto"/>
            <w:right w:val="none" w:sz="0" w:space="0" w:color="auto"/>
          </w:divBdr>
        </w:div>
      </w:divsChild>
    </w:div>
    <w:div w:id="2138063320">
      <w:bodyDiv w:val="1"/>
      <w:marLeft w:val="0"/>
      <w:marRight w:val="0"/>
      <w:marTop w:val="0"/>
      <w:marBottom w:val="0"/>
      <w:divBdr>
        <w:top w:val="none" w:sz="0" w:space="0" w:color="auto"/>
        <w:left w:val="none" w:sz="0" w:space="0" w:color="auto"/>
        <w:bottom w:val="none" w:sz="0" w:space="0" w:color="auto"/>
        <w:right w:val="none" w:sz="0" w:space="0" w:color="auto"/>
      </w:divBdr>
      <w:divsChild>
        <w:div w:id="1775323691">
          <w:marLeft w:val="-720"/>
          <w:marRight w:val="0"/>
          <w:marTop w:val="0"/>
          <w:marBottom w:val="0"/>
          <w:divBdr>
            <w:top w:val="none" w:sz="0" w:space="0" w:color="auto"/>
            <w:left w:val="none" w:sz="0" w:space="0" w:color="auto"/>
            <w:bottom w:val="none" w:sz="0" w:space="0" w:color="auto"/>
            <w:right w:val="none" w:sz="0" w:space="0" w:color="auto"/>
          </w:divBdr>
        </w:div>
      </w:divsChild>
    </w:div>
    <w:div w:id="2139564393">
      <w:bodyDiv w:val="1"/>
      <w:marLeft w:val="0"/>
      <w:marRight w:val="0"/>
      <w:marTop w:val="0"/>
      <w:marBottom w:val="0"/>
      <w:divBdr>
        <w:top w:val="none" w:sz="0" w:space="0" w:color="auto"/>
        <w:left w:val="none" w:sz="0" w:space="0" w:color="auto"/>
        <w:bottom w:val="none" w:sz="0" w:space="0" w:color="auto"/>
        <w:right w:val="none" w:sz="0" w:space="0" w:color="auto"/>
      </w:divBdr>
      <w:divsChild>
        <w:div w:id="511147260">
          <w:marLeft w:val="-720"/>
          <w:marRight w:val="0"/>
          <w:marTop w:val="0"/>
          <w:marBottom w:val="0"/>
          <w:divBdr>
            <w:top w:val="none" w:sz="0" w:space="0" w:color="auto"/>
            <w:left w:val="none" w:sz="0" w:space="0" w:color="auto"/>
            <w:bottom w:val="none" w:sz="0" w:space="0" w:color="auto"/>
            <w:right w:val="none" w:sz="0" w:space="0" w:color="auto"/>
          </w:divBdr>
        </w:div>
      </w:divsChild>
    </w:div>
    <w:div w:id="2141876667">
      <w:bodyDiv w:val="1"/>
      <w:marLeft w:val="0"/>
      <w:marRight w:val="0"/>
      <w:marTop w:val="0"/>
      <w:marBottom w:val="0"/>
      <w:divBdr>
        <w:top w:val="none" w:sz="0" w:space="0" w:color="auto"/>
        <w:left w:val="none" w:sz="0" w:space="0" w:color="auto"/>
        <w:bottom w:val="none" w:sz="0" w:space="0" w:color="auto"/>
        <w:right w:val="none" w:sz="0" w:space="0" w:color="auto"/>
      </w:divBdr>
      <w:divsChild>
        <w:div w:id="202003929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doi.org/10.2172/1829680" TargetMode="External"/><Relationship Id="rId26" Type="http://schemas.openxmlformats.org/officeDocument/2006/relationships/hyperlink" Target="https://doi.org/10.1007/s10479-023-05519-8" TargetMode="External"/><Relationship Id="rId3" Type="http://schemas.openxmlformats.org/officeDocument/2006/relationships/styles" Target="styles.xml"/><Relationship Id="rId21" Type="http://schemas.openxmlformats.org/officeDocument/2006/relationships/hyperlink" Target="https://doi.org/10.1016/j.rser.2021.111733"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oi.org/10.1016/j.trd.2019.11.011" TargetMode="External"/><Relationship Id="rId25" Type="http://schemas.openxmlformats.org/officeDocument/2006/relationships/hyperlink" Target="https://doi.org/10.1016/j.enpol.2014.01.043" TargetMode="External"/><Relationship Id="rId2" Type="http://schemas.openxmlformats.org/officeDocument/2006/relationships/numbering" Target="numbering.xml"/><Relationship Id="rId16" Type="http://schemas.openxmlformats.org/officeDocument/2006/relationships/hyperlink" Target="https://doi.org/10.1016/j.tra.2018.09.013" TargetMode="External"/><Relationship Id="rId20" Type="http://schemas.openxmlformats.org/officeDocument/2006/relationships/hyperlink" Target="https://doi.org/10.1016/j.trd.2020.102475"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apenergy.2019.113680" TargetMode="External"/><Relationship Id="rId5" Type="http://schemas.openxmlformats.org/officeDocument/2006/relationships/webSettings" Target="webSettings.xml"/><Relationship Id="rId15" Type="http://schemas.openxmlformats.org/officeDocument/2006/relationships/hyperlink" Target="https://doi.org/10.1016/j.trd.2019.10.024" TargetMode="External"/><Relationship Id="rId23" Type="http://schemas.openxmlformats.org/officeDocument/2006/relationships/hyperlink" Target="https://doi.org/10.1016/j.rser.2017.05.022" TargetMode="External"/><Relationship Id="rId28" Type="http://schemas.openxmlformats.org/officeDocument/2006/relationships/hyperlink" Target="https://doi.org/10.1177/0361198120952792" TargetMode="External"/><Relationship Id="rId10" Type="http://schemas.openxmlformats.org/officeDocument/2006/relationships/footer" Target="footer1.xml"/><Relationship Id="rId19" Type="http://schemas.openxmlformats.org/officeDocument/2006/relationships/hyperlink" Target="https://apo.org.au/node/18041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trid.trb.org/view/1870679" TargetMode="External"/><Relationship Id="rId22" Type="http://schemas.openxmlformats.org/officeDocument/2006/relationships/hyperlink" Target="https://doi.org/10.1016/j.enpol.2022.112931" TargetMode="External"/><Relationship Id="rId27" Type="http://schemas.openxmlformats.org/officeDocument/2006/relationships/hyperlink" Target="https://doi.org/10.1257/pol.20190131"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9C7BB-CE1B-4223-89A2-C34CC8E6E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15</TotalTime>
  <Pages>39</Pages>
  <Words>6453</Words>
  <Characters>36784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4</cp:revision>
  <cp:lastPrinted>2024-08-13T20:10:00Z</cp:lastPrinted>
  <dcterms:created xsi:type="dcterms:W3CDTF">2024-08-15T14:30:00Z</dcterms:created>
  <dcterms:modified xsi:type="dcterms:W3CDTF">2024-08-15T18:08:00Z</dcterms:modified>
</cp:coreProperties>
</file>