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052" w:rsidRPr="00D03C73" w:rsidRDefault="00067052" w:rsidP="00067052">
      <w:pPr>
        <w:tabs>
          <w:tab w:val="center" w:pos="4320"/>
          <w:tab w:val="left" w:pos="7484"/>
        </w:tabs>
        <w:jc w:val="center"/>
        <w:rPr>
          <w:b/>
          <w:sz w:val="36"/>
          <w:szCs w:val="36"/>
          <w:lang w:val="en-CA"/>
        </w:rPr>
      </w:pPr>
      <w:r>
        <w:rPr>
          <w:sz w:val="36"/>
          <w:szCs w:val="36"/>
          <w:lang w:val="en-CA"/>
        </w:rPr>
        <w:t>Non-target</w:t>
      </w:r>
      <w:r w:rsidRPr="00D03C73">
        <w:rPr>
          <w:sz w:val="36"/>
          <w:szCs w:val="36"/>
          <w:lang w:val="en-CA"/>
        </w:rPr>
        <w:t xml:space="preserve"> effects of strobilurin fungicide applications on creeping bentgrass putting greens </w:t>
      </w:r>
      <w:r>
        <w:rPr>
          <w:sz w:val="36"/>
          <w:szCs w:val="36"/>
          <w:lang w:val="en-CA"/>
        </w:rPr>
        <w:t>during</w:t>
      </w:r>
      <w:r w:rsidRPr="00D03C73">
        <w:rPr>
          <w:sz w:val="36"/>
          <w:szCs w:val="36"/>
          <w:lang w:val="en-CA"/>
        </w:rPr>
        <w:t xml:space="preserve"> summer stress</w:t>
      </w: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r w:rsidRPr="00D03C73">
        <w:rPr>
          <w:sz w:val="36"/>
          <w:szCs w:val="36"/>
        </w:rPr>
        <w:t>A Thesis Presented for the</w:t>
      </w:r>
    </w:p>
    <w:p w:rsidR="00067052" w:rsidRPr="00D03C73" w:rsidRDefault="00067052" w:rsidP="00067052">
      <w:pPr>
        <w:jc w:val="center"/>
        <w:rPr>
          <w:sz w:val="36"/>
          <w:szCs w:val="36"/>
        </w:rPr>
      </w:pPr>
      <w:r w:rsidRPr="00D03C73">
        <w:rPr>
          <w:sz w:val="36"/>
          <w:szCs w:val="36"/>
        </w:rPr>
        <w:t>Master of Science</w:t>
      </w:r>
    </w:p>
    <w:p w:rsidR="00067052" w:rsidRPr="00D03C73" w:rsidRDefault="00067052" w:rsidP="00067052">
      <w:pPr>
        <w:jc w:val="center"/>
        <w:rPr>
          <w:sz w:val="36"/>
          <w:szCs w:val="36"/>
        </w:rPr>
      </w:pPr>
      <w:r w:rsidRPr="00D03C73">
        <w:rPr>
          <w:sz w:val="36"/>
          <w:szCs w:val="36"/>
        </w:rPr>
        <w:t>Degree</w:t>
      </w:r>
    </w:p>
    <w:p w:rsidR="00067052" w:rsidRPr="00D03C73" w:rsidRDefault="00067052" w:rsidP="00067052">
      <w:pPr>
        <w:jc w:val="center"/>
        <w:rPr>
          <w:sz w:val="36"/>
          <w:szCs w:val="36"/>
        </w:rPr>
      </w:pPr>
      <w:r w:rsidRPr="00D03C73">
        <w:rPr>
          <w:sz w:val="36"/>
          <w:szCs w:val="36"/>
        </w:rPr>
        <w:t>The University of Tennessee, Knoxville</w:t>
      </w: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067052" w:rsidP="00067052">
      <w:pPr>
        <w:jc w:val="center"/>
        <w:rPr>
          <w:sz w:val="36"/>
          <w:szCs w:val="36"/>
        </w:rPr>
      </w:pPr>
    </w:p>
    <w:p w:rsidR="00067052" w:rsidRPr="00D03C73" w:rsidRDefault="00A55756" w:rsidP="00067052">
      <w:pPr>
        <w:jc w:val="center"/>
        <w:rPr>
          <w:sz w:val="36"/>
          <w:szCs w:val="36"/>
        </w:rPr>
      </w:pPr>
      <w:r>
        <w:rPr>
          <w:sz w:val="36"/>
          <w:szCs w:val="36"/>
        </w:rPr>
        <w:t>Jesse J</w:t>
      </w:r>
      <w:r w:rsidR="00067052" w:rsidRPr="00D03C73">
        <w:rPr>
          <w:sz w:val="36"/>
          <w:szCs w:val="36"/>
        </w:rPr>
        <w:t xml:space="preserve"> Benelli</w:t>
      </w:r>
    </w:p>
    <w:p w:rsidR="00067052" w:rsidRDefault="00FF0399" w:rsidP="00067052">
      <w:pPr>
        <w:jc w:val="center"/>
        <w:rPr>
          <w:sz w:val="36"/>
          <w:szCs w:val="36"/>
        </w:rPr>
      </w:pPr>
      <w:r>
        <w:rPr>
          <w:sz w:val="36"/>
          <w:szCs w:val="36"/>
        </w:rPr>
        <w:t>May</w:t>
      </w:r>
      <w:r w:rsidR="00067052" w:rsidRPr="00D03C73">
        <w:rPr>
          <w:sz w:val="36"/>
          <w:szCs w:val="36"/>
        </w:rPr>
        <w:t xml:space="preserve"> 2013</w:t>
      </w:r>
    </w:p>
    <w:p w:rsidR="00A55756" w:rsidRDefault="00A55756" w:rsidP="00067052">
      <w:pPr>
        <w:jc w:val="center"/>
        <w:rPr>
          <w:sz w:val="36"/>
          <w:szCs w:val="36"/>
        </w:rPr>
      </w:pPr>
    </w:p>
    <w:p w:rsidR="00A55756" w:rsidRDefault="00A55756" w:rsidP="00067052">
      <w:pPr>
        <w:jc w:val="center"/>
        <w:rPr>
          <w:sz w:val="36"/>
          <w:szCs w:val="36"/>
        </w:rPr>
      </w:pPr>
    </w:p>
    <w:p w:rsidR="00067052" w:rsidRPr="00D03C73" w:rsidRDefault="00067052" w:rsidP="00067052">
      <w:pPr>
        <w:jc w:val="center"/>
        <w:rPr>
          <w:sz w:val="36"/>
          <w:szCs w:val="36"/>
        </w:rPr>
      </w:pPr>
    </w:p>
    <w:p w:rsidR="00067052" w:rsidRPr="0047272D" w:rsidRDefault="00067052" w:rsidP="00067052">
      <w:pPr>
        <w:jc w:val="center"/>
      </w:pPr>
      <w:r w:rsidRPr="0047272D">
        <w:lastRenderedPageBreak/>
        <w:t xml:space="preserve">Copyright © 2013 by Jesse J Benelli </w:t>
      </w:r>
    </w:p>
    <w:p w:rsidR="00067052" w:rsidRPr="0047272D" w:rsidRDefault="00067052" w:rsidP="00067052">
      <w:pPr>
        <w:jc w:val="center"/>
      </w:pPr>
      <w:r w:rsidRPr="0047272D">
        <w:t>All rights reserved.</w:t>
      </w: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Pr="009B2EE6" w:rsidRDefault="00067052" w:rsidP="00067052">
      <w:pPr>
        <w:jc w:val="center"/>
        <w:rPr>
          <w:b/>
          <w:sz w:val="28"/>
          <w:szCs w:val="28"/>
        </w:rPr>
      </w:pPr>
      <w:r>
        <w:rPr>
          <w:rFonts w:ascii="Arial" w:hAnsi="Arial" w:cs="Arial"/>
          <w:sz w:val="36"/>
          <w:szCs w:val="36"/>
        </w:rPr>
        <w:br w:type="page"/>
      </w:r>
      <w:r w:rsidRPr="009B2EE6">
        <w:rPr>
          <w:b/>
          <w:sz w:val="28"/>
          <w:szCs w:val="28"/>
        </w:rPr>
        <w:lastRenderedPageBreak/>
        <w:t>DEDICATION</w:t>
      </w:r>
    </w:p>
    <w:p w:rsidR="00067052" w:rsidRDefault="00067052" w:rsidP="00067052">
      <w:pPr>
        <w:jc w:val="center"/>
      </w:pPr>
    </w:p>
    <w:p w:rsidR="00067052" w:rsidRPr="004B3AF0" w:rsidRDefault="00067052" w:rsidP="00067052">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rPr>
        <w:t xml:space="preserve">I dedicate this thesis to all my family and close friends. Your encouragement, support, and sacrifice from all of you are surely appreciated.  </w:t>
      </w: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spacing w:line="480" w:lineRule="auto"/>
        <w:jc w:val="center"/>
      </w:pPr>
      <w:r>
        <w:t>“</w:t>
      </w:r>
      <w:r w:rsidRPr="004B3AF0">
        <w:rPr>
          <w:i/>
        </w:rPr>
        <w:t>Withholding non-significant results from publication introduces a serious bias in the biological literature and hence has a retrogressive effect on scientific development</w:t>
      </w:r>
      <w:r>
        <w:rPr>
          <w:i/>
        </w:rPr>
        <w:t>.</w:t>
      </w:r>
      <w:r>
        <w:t>”</w:t>
      </w:r>
    </w:p>
    <w:p w:rsidR="00067052" w:rsidRPr="004B3AF0" w:rsidRDefault="00067052" w:rsidP="00067052">
      <w:pPr>
        <w:jc w:val="center"/>
      </w:pPr>
      <w:r>
        <w:t>- Ryan D. Csada</w:t>
      </w: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Default="00067052" w:rsidP="00067052">
      <w:pPr>
        <w:jc w:val="center"/>
        <w:rPr>
          <w:rFonts w:ascii="Arial" w:hAnsi="Arial" w:cs="Arial"/>
          <w:sz w:val="36"/>
          <w:szCs w:val="36"/>
        </w:rPr>
      </w:pPr>
    </w:p>
    <w:p w:rsidR="00067052" w:rsidRPr="00D03C73" w:rsidRDefault="00067052" w:rsidP="00067052">
      <w:pPr>
        <w:jc w:val="center"/>
        <w:rPr>
          <w:b/>
          <w:sz w:val="28"/>
          <w:szCs w:val="28"/>
        </w:rPr>
      </w:pPr>
      <w:r>
        <w:rPr>
          <w:rFonts w:ascii="Arial" w:hAnsi="Arial" w:cs="Arial"/>
          <w:sz w:val="36"/>
          <w:szCs w:val="36"/>
        </w:rPr>
        <w:br w:type="page"/>
      </w:r>
      <w:r w:rsidRPr="00D03C73">
        <w:rPr>
          <w:b/>
          <w:sz w:val="28"/>
          <w:szCs w:val="28"/>
        </w:rPr>
        <w:lastRenderedPageBreak/>
        <w:t>ACKNOWLEDGEMENTS</w:t>
      </w:r>
    </w:p>
    <w:p w:rsidR="00067052" w:rsidRPr="00D03C73" w:rsidRDefault="00067052" w:rsidP="00067052">
      <w:pPr>
        <w:jc w:val="center"/>
      </w:pPr>
    </w:p>
    <w:p w:rsidR="00067052" w:rsidRPr="00D03C73" w:rsidRDefault="00067052" w:rsidP="00067052">
      <w:pPr>
        <w:jc w:val="center"/>
      </w:pPr>
    </w:p>
    <w:p w:rsidR="00067052" w:rsidRDefault="00067052" w:rsidP="00067052">
      <w:pPr>
        <w:spacing w:line="480" w:lineRule="auto"/>
        <w:ind w:firstLine="720"/>
      </w:pPr>
      <w:r>
        <w:t xml:space="preserve">I wish to express my appreciation to my graduate committee: Dr. Jim Brosnan and Dr. Dean Kopsell. Their knowledge, statistical expertise, and project guidance has served me well. I would like to thank my thesis advisor Dr. Brandon Horvath for his patience throughout my graduate school career. I appreciate his willingness to give me ownership of my academic endeavors. This undoubtedly will help me in the long term. I would like to thank Dr. Wakar Uddin for providing me with a backbone of applied turfgrass pathology knowledge at Penn State prior to my pursuit of a graduate career.  </w:t>
      </w:r>
    </w:p>
    <w:p w:rsidR="00067052" w:rsidRDefault="00067052" w:rsidP="00067052">
      <w:pPr>
        <w:spacing w:line="480" w:lineRule="auto"/>
        <w:ind w:firstLine="720"/>
      </w:pPr>
      <w:r>
        <w:t xml:space="preserve">I would like to thank my fellow graduate students Matt Elmore, David Shell, Lucas Freshour, Pat Jones, Keith Bartley, Adam Thoms, and Sophy Hu for their friendship and memories. Together we have given new meaning to the phrase ‘start early end early’. I would also like to acknowledge fellow turf colleague Matt Hollan. Sometimes I think I can still hear those urea prills. </w:t>
      </w:r>
    </w:p>
    <w:p w:rsidR="00067052" w:rsidRDefault="00067052" w:rsidP="00067052">
      <w:pPr>
        <w:spacing w:line="480" w:lineRule="auto"/>
        <w:ind w:firstLine="720"/>
      </w:pPr>
      <w:r>
        <w:t xml:space="preserve">I also wish to express my gratitude towards Mother Nature. Your entity has allowed me to witness some of the most damaging outbreaks of disease I have ever seen during my time at Tennessee. Mornings after evening thunderstorms were like waking up on Christmas and seeing all the splendors that wait. Some very sick individuals grow perennial ryegrass and colonial bentgrass in TN. </w:t>
      </w:r>
    </w:p>
    <w:p w:rsidR="00067052" w:rsidRPr="009A5908" w:rsidRDefault="00067052" w:rsidP="00067052">
      <w:pPr>
        <w:spacing w:line="480" w:lineRule="auto"/>
        <w:ind w:firstLine="720"/>
      </w:pPr>
    </w:p>
    <w:p w:rsidR="00067052" w:rsidRDefault="00067052" w:rsidP="00067052">
      <w:pPr>
        <w:jc w:val="center"/>
        <w:rPr>
          <w:rFonts w:ascii="Arial" w:hAnsi="Arial" w:cs="Arial"/>
        </w:rPr>
      </w:pPr>
    </w:p>
    <w:p w:rsidR="00067052" w:rsidRPr="00F276FE" w:rsidRDefault="00067052" w:rsidP="00F276FE">
      <w:pPr>
        <w:autoSpaceDE w:val="0"/>
        <w:autoSpaceDN w:val="0"/>
        <w:adjustRightInd w:val="0"/>
        <w:spacing w:line="480" w:lineRule="auto"/>
        <w:jc w:val="center"/>
      </w:pPr>
      <w:r>
        <w:rPr>
          <w:rFonts w:ascii="Arial" w:hAnsi="Arial" w:cs="Arial"/>
        </w:rPr>
        <w:br w:type="page"/>
      </w:r>
    </w:p>
    <w:p w:rsidR="00067052" w:rsidRPr="00E87A77" w:rsidRDefault="00067052" w:rsidP="00067052">
      <w:pPr>
        <w:jc w:val="center"/>
      </w:pPr>
      <w:r w:rsidRPr="00E87A77">
        <w:rPr>
          <w:b/>
          <w:bCs/>
          <w:sz w:val="28"/>
          <w:szCs w:val="28"/>
        </w:rPr>
        <w:lastRenderedPageBreak/>
        <w:t>ABSTRACT</w:t>
      </w:r>
    </w:p>
    <w:p w:rsidR="00067052" w:rsidRPr="009D794C" w:rsidRDefault="00067052" w:rsidP="00067052">
      <w:pPr>
        <w:rPr>
          <w:rFonts w:ascii="Arial" w:hAnsi="Arial" w:cs="Arial"/>
        </w:rPr>
      </w:pPr>
    </w:p>
    <w:p w:rsidR="00067052" w:rsidRPr="000D39EB" w:rsidRDefault="00067052" w:rsidP="00AA73AD">
      <w:pPr>
        <w:spacing w:line="480" w:lineRule="auto"/>
        <w:ind w:firstLine="720"/>
        <w:rPr>
          <w:color w:val="000000"/>
        </w:rPr>
      </w:pPr>
      <w:r>
        <w:t>Previous research has indicated that strobilurin fungicide applications may improve summer stress tolerance of creeping bentgrass</w:t>
      </w:r>
      <w:r w:rsidR="00A63F4E">
        <w:t xml:space="preserve"> (</w:t>
      </w:r>
      <w:r w:rsidR="00A63F4E">
        <w:rPr>
          <w:i/>
        </w:rPr>
        <w:t xml:space="preserve">Agrostis stolonifera </w:t>
      </w:r>
      <w:r w:rsidR="00A63F4E">
        <w:t>L.)</w:t>
      </w:r>
      <w:r>
        <w:t xml:space="preserve"> putting greens. In this experiment, s</w:t>
      </w:r>
      <w:r w:rsidRPr="000D39EB">
        <w:t>trobilurin fungicides were integrated within a summer fungicide program to evaluate disease</w:t>
      </w:r>
      <w:r w:rsidR="00A333BA">
        <w:t xml:space="preserve"> severity</w:t>
      </w:r>
      <w:r w:rsidRPr="000D39EB">
        <w:t xml:space="preserve"> and </w:t>
      </w:r>
      <w:r w:rsidR="00C071C1">
        <w:t>plant physiological</w:t>
      </w:r>
      <w:r w:rsidRPr="000D39EB">
        <w:t xml:space="preserve"> effects. Fungicide programs were applied on a ‘</w:t>
      </w:r>
      <w:r>
        <w:t>Dominant Southern</w:t>
      </w:r>
      <w:r w:rsidRPr="000D39EB">
        <w:t>’ creeping bentgrass putting green</w:t>
      </w:r>
      <w:r w:rsidR="00A63F4E">
        <w:t xml:space="preserve">; all of which </w:t>
      </w:r>
      <w:r w:rsidRPr="000D39EB">
        <w:t xml:space="preserve">consisted of </w:t>
      </w:r>
      <w:r w:rsidR="00A63F4E">
        <w:t xml:space="preserve">five </w:t>
      </w:r>
      <w:r>
        <w:t>fungicide</w:t>
      </w:r>
      <w:r w:rsidRPr="000D39EB">
        <w:t xml:space="preserve"> spray applications</w:t>
      </w:r>
      <w:r w:rsidR="00A63F4E">
        <w:t xml:space="preserve"> from </w:t>
      </w:r>
      <w:r w:rsidR="00A333BA">
        <w:t xml:space="preserve">June to August </w:t>
      </w:r>
      <w:r w:rsidR="00A63F4E">
        <w:t>during 2011 and 2012</w:t>
      </w:r>
      <w:r w:rsidRPr="000D39EB">
        <w:t xml:space="preserve">. </w:t>
      </w:r>
      <w:r w:rsidR="00FA5A27">
        <w:t xml:space="preserve">The </w:t>
      </w:r>
      <w:r w:rsidR="00FA5A27" w:rsidRPr="000D39EB">
        <w:rPr>
          <w:color w:val="000000"/>
        </w:rPr>
        <w:t>2</w:t>
      </w:r>
      <w:r w:rsidR="00FA5A27" w:rsidRPr="000D39EB">
        <w:rPr>
          <w:color w:val="000000"/>
          <w:vertAlign w:val="superscript"/>
        </w:rPr>
        <w:t>nd</w:t>
      </w:r>
      <w:r w:rsidR="00FA5A27" w:rsidRPr="000D39EB">
        <w:rPr>
          <w:color w:val="000000"/>
        </w:rPr>
        <w:t xml:space="preserve"> and 5</w:t>
      </w:r>
      <w:r w:rsidR="00FA5A27" w:rsidRPr="000D39EB">
        <w:rPr>
          <w:color w:val="000000"/>
          <w:vertAlign w:val="superscript"/>
        </w:rPr>
        <w:t>th</w:t>
      </w:r>
      <w:r w:rsidR="00FA5A27">
        <w:rPr>
          <w:color w:val="000000"/>
        </w:rPr>
        <w:t xml:space="preserve"> application in each program consisted of a strobilurin fungicide. Strobilurin fungicides evaluated included p</w:t>
      </w:r>
      <w:r w:rsidRPr="000D39EB">
        <w:rPr>
          <w:color w:val="000000"/>
        </w:rPr>
        <w:t xml:space="preserve">yraclostrobin, azoxystrobin, fluoxastrobin, </w:t>
      </w:r>
      <w:r w:rsidR="00FA5A27">
        <w:rPr>
          <w:color w:val="000000"/>
        </w:rPr>
        <w:t>or</w:t>
      </w:r>
      <w:r w:rsidR="00FA5A27" w:rsidRPr="000D39EB">
        <w:rPr>
          <w:color w:val="000000"/>
        </w:rPr>
        <w:t xml:space="preserve"> </w:t>
      </w:r>
      <w:r w:rsidRPr="000D39EB">
        <w:rPr>
          <w:color w:val="000000"/>
        </w:rPr>
        <w:t>trifloxystrobin</w:t>
      </w:r>
      <w:r w:rsidR="00FA5A27">
        <w:rPr>
          <w:color w:val="000000"/>
        </w:rPr>
        <w:t>.</w:t>
      </w:r>
      <w:r w:rsidRPr="000D39EB">
        <w:rPr>
          <w:color w:val="000000"/>
        </w:rPr>
        <w:t xml:space="preserve"> </w:t>
      </w:r>
      <w:r>
        <w:rPr>
          <w:color w:val="000000"/>
        </w:rPr>
        <w:t>The remaining fungicide applications were identical</w:t>
      </w:r>
      <w:r w:rsidRPr="000D39EB">
        <w:rPr>
          <w:color w:val="000000"/>
        </w:rPr>
        <w:t xml:space="preserve"> across </w:t>
      </w:r>
      <w:r>
        <w:rPr>
          <w:color w:val="000000"/>
        </w:rPr>
        <w:t>programs</w:t>
      </w:r>
      <w:r w:rsidRPr="000D39EB">
        <w:rPr>
          <w:color w:val="000000"/>
        </w:rPr>
        <w:t xml:space="preserve">. Measurements of visual quality, spectral reflectance, turfgrass cover, rooting characteristics, and disease </w:t>
      </w:r>
      <w:r>
        <w:rPr>
          <w:color w:val="000000"/>
        </w:rPr>
        <w:t xml:space="preserve">severity </w:t>
      </w:r>
      <w:r w:rsidRPr="000D39EB">
        <w:rPr>
          <w:color w:val="000000"/>
        </w:rPr>
        <w:t xml:space="preserve">were collected.  The non-treated control </w:t>
      </w:r>
      <w:r>
        <w:rPr>
          <w:color w:val="000000"/>
        </w:rPr>
        <w:t xml:space="preserve">was similar to treated plots in all parameters in 2011, and until </w:t>
      </w:r>
      <w:r w:rsidRPr="000D39EB">
        <w:rPr>
          <w:color w:val="000000"/>
        </w:rPr>
        <w:t xml:space="preserve">42 and 56 days after initial treatment (DAIT) the following year. </w:t>
      </w:r>
      <w:r>
        <w:rPr>
          <w:color w:val="000000"/>
        </w:rPr>
        <w:t>At this time,</w:t>
      </w:r>
      <w:r w:rsidRPr="000D39EB">
        <w:rPr>
          <w:color w:val="000000"/>
        </w:rPr>
        <w:t xml:space="preserve"> fungicide programs began to exhibit greater visual quality, turfgrass cover, and spectral reflectance</w:t>
      </w:r>
      <w:r w:rsidR="00FA5A27">
        <w:rPr>
          <w:color w:val="000000"/>
        </w:rPr>
        <w:t xml:space="preserve"> compared to the non-treated control. </w:t>
      </w:r>
      <w:r w:rsidR="00C071C1">
        <w:rPr>
          <w:color w:val="000000"/>
        </w:rPr>
        <w:t xml:space="preserve">Differences in physiological effects </w:t>
      </w:r>
      <w:r>
        <w:rPr>
          <w:color w:val="000000"/>
        </w:rPr>
        <w:t>coincided with the first observation of brown patch</w:t>
      </w:r>
      <w:r w:rsidR="00A333BA">
        <w:rPr>
          <w:color w:val="000000"/>
        </w:rPr>
        <w:t xml:space="preserve"> (</w:t>
      </w:r>
      <w:r w:rsidR="00A333BA" w:rsidRPr="00A333BA">
        <w:rPr>
          <w:i/>
          <w:color w:val="000000"/>
        </w:rPr>
        <w:t>Rhizoctonia Solani</w:t>
      </w:r>
      <w:r w:rsidR="00A333BA">
        <w:rPr>
          <w:color w:val="000000"/>
        </w:rPr>
        <w:t xml:space="preserve"> Kühn)</w:t>
      </w:r>
      <w:r>
        <w:rPr>
          <w:color w:val="000000"/>
        </w:rPr>
        <w:t xml:space="preserve"> in the experimental area. These data suggest that strobilurin fungicides </w:t>
      </w:r>
      <w:r w:rsidR="00FA5A27">
        <w:rPr>
          <w:color w:val="000000"/>
        </w:rPr>
        <w:t>exhibit excellent efficacy for disease control during summer</w:t>
      </w:r>
      <w:r>
        <w:rPr>
          <w:color w:val="000000"/>
        </w:rPr>
        <w:t xml:space="preserve">, and that direct </w:t>
      </w:r>
      <w:r w:rsidR="00C071C1">
        <w:rPr>
          <w:color w:val="000000"/>
        </w:rPr>
        <w:t>physiological</w:t>
      </w:r>
      <w:r>
        <w:rPr>
          <w:color w:val="000000"/>
        </w:rPr>
        <w:t xml:space="preserve"> effects may be transient and observable over the long term. </w:t>
      </w:r>
    </w:p>
    <w:p w:rsidR="00067052" w:rsidRDefault="00067052" w:rsidP="00067052">
      <w:pPr>
        <w:spacing w:line="480" w:lineRule="auto"/>
        <w:ind w:firstLine="720"/>
      </w:pPr>
      <w:r>
        <w:rPr>
          <w:color w:val="000000"/>
        </w:rPr>
        <w:t>A 2-year field experiment was conducted to determine if applications</w:t>
      </w:r>
      <w:r w:rsidRPr="00DD21E4">
        <w:rPr>
          <w:rFonts w:eastAsia="Calibri"/>
          <w:color w:val="000033"/>
        </w:rPr>
        <w:t xml:space="preserve"> of pyraclostrobin, azoxystrobin, fluoxastrobin, and trifloxystrobin</w:t>
      </w:r>
      <w:r>
        <w:rPr>
          <w:rFonts w:eastAsia="Calibri"/>
          <w:color w:val="000033"/>
        </w:rPr>
        <w:t xml:space="preserve"> could improve </w:t>
      </w:r>
      <w:r w:rsidR="00C071C1">
        <w:rPr>
          <w:rFonts w:eastAsia="Calibri"/>
          <w:color w:val="000033"/>
        </w:rPr>
        <w:t>plant physiological effects</w:t>
      </w:r>
      <w:r>
        <w:rPr>
          <w:rFonts w:eastAsia="Calibri"/>
          <w:color w:val="000033"/>
        </w:rPr>
        <w:t xml:space="preserve"> of a ‘Dominant Southern’ creeping bentgrass putting green in the absence of visible foliar disease. </w:t>
      </w:r>
      <w:r w:rsidRPr="00DD21E4">
        <w:rPr>
          <w:rFonts w:eastAsia="Calibri"/>
          <w:color w:val="000033"/>
        </w:rPr>
        <w:t xml:space="preserve">Experimental units were arranged in a split-plot </w:t>
      </w:r>
      <w:r w:rsidRPr="00DD21E4">
        <w:rPr>
          <w:rFonts w:eastAsia="Calibri"/>
          <w:color w:val="000033"/>
        </w:rPr>
        <w:lastRenderedPageBreak/>
        <w:t>randomized complete block design</w:t>
      </w:r>
      <w:r>
        <w:rPr>
          <w:rFonts w:eastAsia="Calibri"/>
          <w:color w:val="000033"/>
        </w:rPr>
        <w:t>.</w:t>
      </w:r>
      <w:r w:rsidRPr="00DD21E4">
        <w:rPr>
          <w:rFonts w:eastAsia="Calibri"/>
          <w:color w:val="000033"/>
        </w:rPr>
        <w:t xml:space="preserve"> </w:t>
      </w:r>
      <w:r>
        <w:rPr>
          <w:rFonts w:eastAsia="Calibri"/>
          <w:color w:val="000033"/>
        </w:rPr>
        <w:t xml:space="preserve">A fungicide mixture containing chlorothalonil and iprodione and a no fungicide treatment served as the whole-plots. </w:t>
      </w:r>
      <w:r w:rsidR="00270767">
        <w:rPr>
          <w:rFonts w:eastAsia="Calibri"/>
          <w:color w:val="000033"/>
        </w:rPr>
        <w:t>Chlorothalonil a</w:t>
      </w:r>
      <w:r w:rsidR="00301C96">
        <w:rPr>
          <w:rFonts w:eastAsia="Calibri"/>
          <w:color w:val="000033"/>
        </w:rPr>
        <w:t>nd iprodione were applied at 14-</w:t>
      </w:r>
      <w:r w:rsidR="00270767">
        <w:rPr>
          <w:rFonts w:eastAsia="Calibri"/>
          <w:color w:val="000033"/>
        </w:rPr>
        <w:t xml:space="preserve">day intervals. </w:t>
      </w:r>
      <w:r>
        <w:rPr>
          <w:rFonts w:eastAsia="Calibri"/>
          <w:color w:val="000033"/>
        </w:rPr>
        <w:t xml:space="preserve">Sub-plots were treated with strobilurin fungicides (azoxystrobin, pyraclostrobin, fluoxastrobin, and trifloxystrobin) and a non-treated control. </w:t>
      </w:r>
      <w:r w:rsidR="00270767">
        <w:rPr>
          <w:rFonts w:eastAsia="Calibri"/>
          <w:color w:val="000033"/>
        </w:rPr>
        <w:t xml:space="preserve">Sub-plots were applied at 14-day intervals. </w:t>
      </w:r>
      <w:r>
        <w:rPr>
          <w:color w:val="000000"/>
        </w:rPr>
        <w:t xml:space="preserve">Neither differences in disease </w:t>
      </w:r>
      <w:r w:rsidR="00C071C1">
        <w:rPr>
          <w:color w:val="000000"/>
        </w:rPr>
        <w:t>severity</w:t>
      </w:r>
      <w:r>
        <w:rPr>
          <w:color w:val="000000"/>
        </w:rPr>
        <w:t xml:space="preserve"> nor</w:t>
      </w:r>
      <w:r>
        <w:rPr>
          <w:rFonts w:eastAsia="Calibri"/>
        </w:rPr>
        <w:t xml:space="preserve"> </w:t>
      </w:r>
      <w:r w:rsidRPr="00DD21E4">
        <w:rPr>
          <w:rFonts w:eastAsia="Calibri"/>
        </w:rPr>
        <w:t xml:space="preserve">any </w:t>
      </w:r>
      <w:r w:rsidR="00C071C1">
        <w:rPr>
          <w:rFonts w:eastAsia="Calibri"/>
        </w:rPr>
        <w:t>physiological effect</w:t>
      </w:r>
      <w:r w:rsidRPr="00DD21E4">
        <w:rPr>
          <w:rFonts w:eastAsia="Calibri"/>
        </w:rPr>
        <w:t xml:space="preserve"> </w:t>
      </w:r>
      <w:r>
        <w:rPr>
          <w:rFonts w:eastAsia="Calibri"/>
        </w:rPr>
        <w:t xml:space="preserve">was observed on </w:t>
      </w:r>
      <w:r w:rsidRPr="00DD21E4">
        <w:rPr>
          <w:rFonts w:eastAsia="Calibri"/>
        </w:rPr>
        <w:t>any assessment date</w:t>
      </w:r>
      <w:r>
        <w:rPr>
          <w:rFonts w:eastAsia="Calibri"/>
        </w:rPr>
        <w:t xml:space="preserve"> over the course of two years</w:t>
      </w:r>
      <w:r w:rsidRPr="00DD21E4">
        <w:rPr>
          <w:rFonts w:eastAsia="Calibri"/>
        </w:rPr>
        <w:t>.</w:t>
      </w:r>
      <w:r w:rsidRPr="004C3281">
        <w:rPr>
          <w:color w:val="000000"/>
        </w:rPr>
        <w:t xml:space="preserve"> </w:t>
      </w:r>
      <w:r>
        <w:rPr>
          <w:color w:val="000000"/>
        </w:rPr>
        <w:t>The results of this experiment suggest that while strobilurin fungicides perform well for disease control</w:t>
      </w:r>
      <w:r w:rsidR="00FA5A27">
        <w:rPr>
          <w:color w:val="000000"/>
        </w:rPr>
        <w:t>,</w:t>
      </w:r>
      <w:r>
        <w:rPr>
          <w:color w:val="000000"/>
        </w:rPr>
        <w:t xml:space="preserve"> </w:t>
      </w:r>
      <w:r w:rsidR="00FA5A27">
        <w:rPr>
          <w:color w:val="000000"/>
        </w:rPr>
        <w:t>detectable</w:t>
      </w:r>
      <w:r>
        <w:rPr>
          <w:color w:val="000000"/>
        </w:rPr>
        <w:t xml:space="preserve"> </w:t>
      </w:r>
      <w:r w:rsidR="00C071C1">
        <w:rPr>
          <w:color w:val="000000"/>
        </w:rPr>
        <w:t>plant physiological effects</w:t>
      </w:r>
      <w:r>
        <w:rPr>
          <w:color w:val="000000"/>
        </w:rPr>
        <w:t xml:space="preserve"> under field conditions </w:t>
      </w:r>
      <w:r w:rsidR="00FA5A27">
        <w:rPr>
          <w:color w:val="000000"/>
        </w:rPr>
        <w:t xml:space="preserve">were </w:t>
      </w:r>
      <w:r>
        <w:rPr>
          <w:color w:val="000000"/>
        </w:rPr>
        <w:t>limited.</w:t>
      </w:r>
    </w:p>
    <w:p w:rsidR="00067052" w:rsidRDefault="00067052" w:rsidP="00067052">
      <w:pPr>
        <w:rPr>
          <w:rFonts w:ascii="Arial" w:hAnsi="Arial" w:cs="Arial"/>
        </w:rPr>
      </w:pPr>
    </w:p>
    <w:p w:rsidR="00067052" w:rsidRDefault="00067052" w:rsidP="00067052">
      <w:pPr>
        <w:jc w:val="center"/>
        <w:rPr>
          <w:rFonts w:ascii="Arial" w:hAnsi="Arial" w:cs="Arial"/>
        </w:rPr>
      </w:pPr>
      <w:r>
        <w:rPr>
          <w:rFonts w:ascii="Arial" w:hAnsi="Arial" w:cs="Arial"/>
        </w:rPr>
        <w:br w:type="page"/>
      </w: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rPr>
          <w:rFonts w:ascii="Arial" w:hAnsi="Arial" w:cs="Arial"/>
        </w:rPr>
      </w:pPr>
    </w:p>
    <w:p w:rsidR="00067052" w:rsidRDefault="00067052" w:rsidP="00067052">
      <w:pPr>
        <w:jc w:val="center"/>
        <w:rPr>
          <w:rFonts w:ascii="Arial" w:hAnsi="Arial" w:cs="Arial"/>
        </w:rPr>
      </w:pPr>
    </w:p>
    <w:p w:rsidR="00067052" w:rsidRDefault="00067052" w:rsidP="00067052">
      <w:pPr>
        <w:jc w:val="center"/>
        <w:rPr>
          <w:rFonts w:ascii="Arial" w:hAnsi="Arial" w:cs="Arial"/>
        </w:rPr>
      </w:pPr>
    </w:p>
    <w:p w:rsidR="00067052" w:rsidRDefault="00067052" w:rsidP="00067052">
      <w:pPr>
        <w:jc w:val="center"/>
        <w:rPr>
          <w:b/>
          <w:sz w:val="28"/>
          <w:szCs w:val="28"/>
        </w:rPr>
      </w:pPr>
    </w:p>
    <w:p w:rsidR="00067052" w:rsidRDefault="00067052" w:rsidP="00067052">
      <w:pPr>
        <w:jc w:val="center"/>
        <w:rPr>
          <w:b/>
          <w:sz w:val="28"/>
          <w:szCs w:val="28"/>
        </w:rPr>
      </w:pPr>
    </w:p>
    <w:p w:rsidR="00067052" w:rsidRDefault="00067052" w:rsidP="00067052">
      <w:pPr>
        <w:jc w:val="center"/>
        <w:rPr>
          <w:b/>
          <w:sz w:val="28"/>
          <w:szCs w:val="28"/>
        </w:rPr>
      </w:pPr>
      <w:r w:rsidRPr="00314322">
        <w:rPr>
          <w:b/>
          <w:sz w:val="28"/>
          <w:szCs w:val="28"/>
        </w:rPr>
        <w:t>PREFACE</w:t>
      </w:r>
    </w:p>
    <w:p w:rsidR="00067052" w:rsidRDefault="00067052" w:rsidP="00067052">
      <w:pPr>
        <w:rPr>
          <w:b/>
          <w:sz w:val="28"/>
          <w:szCs w:val="28"/>
        </w:rPr>
      </w:pPr>
    </w:p>
    <w:p w:rsidR="00067052" w:rsidRDefault="00067052" w:rsidP="00067052">
      <w:pPr>
        <w:jc w:val="center"/>
        <w:rPr>
          <w:b/>
          <w:sz w:val="28"/>
          <w:szCs w:val="28"/>
        </w:rPr>
      </w:pPr>
      <w:r>
        <w:rPr>
          <w:b/>
          <w:sz w:val="28"/>
          <w:szCs w:val="28"/>
        </w:rPr>
        <w:t>PRELIMINARY RESEARCH</w:t>
      </w:r>
    </w:p>
    <w:p w:rsidR="00067052" w:rsidRDefault="00067052" w:rsidP="00067052">
      <w:pPr>
        <w:numPr>
          <w:ilvl w:val="12"/>
          <w:numId w:val="0"/>
        </w:numPr>
        <w:rPr>
          <w:b/>
          <w:sz w:val="28"/>
          <w:szCs w:val="28"/>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rPr>
      </w:pPr>
    </w:p>
    <w:p w:rsidR="00067052" w:rsidRDefault="00067052" w:rsidP="00067052">
      <w:pPr>
        <w:numPr>
          <w:ilvl w:val="12"/>
          <w:numId w:val="0"/>
        </w:numPr>
        <w:rPr>
          <w:b/>
          <w:sz w:val="32"/>
          <w:szCs w:val="32"/>
        </w:rPr>
      </w:pPr>
      <w:r w:rsidRPr="003174EC">
        <w:rPr>
          <w:b/>
        </w:rPr>
        <w:lastRenderedPageBreak/>
        <w:t>Field Trial</w:t>
      </w:r>
    </w:p>
    <w:p w:rsidR="00067052" w:rsidRDefault="00067052" w:rsidP="00067052">
      <w:pPr>
        <w:numPr>
          <w:ilvl w:val="12"/>
          <w:numId w:val="0"/>
        </w:numPr>
        <w:jc w:val="center"/>
        <w:rPr>
          <w:b/>
          <w:sz w:val="32"/>
          <w:szCs w:val="32"/>
        </w:rPr>
      </w:pPr>
    </w:p>
    <w:p w:rsidR="00067052" w:rsidRDefault="00067052" w:rsidP="00067052">
      <w:pPr>
        <w:numPr>
          <w:ilvl w:val="12"/>
          <w:numId w:val="0"/>
        </w:numPr>
        <w:spacing w:line="480" w:lineRule="auto"/>
        <w:ind w:firstLine="720"/>
      </w:pPr>
      <w:r>
        <w:t>A preliminary field trial was conducted in 2011 on a ‘Penn A-1’ creeping bentgrass (</w:t>
      </w:r>
      <w:r w:rsidRPr="00F01429">
        <w:rPr>
          <w:i/>
        </w:rPr>
        <w:t>Agrostis stolonifera</w:t>
      </w:r>
      <w:r>
        <w:t xml:space="preserve"> L.) putting green located at the Pee Dee Research and Education Center (Florence, SC). Research was conducted to evaluate plant health effects of strobilurin based fungicide programs under severe disease pressure. The putting green was established according to USGA (United States Golf Association</w:t>
      </w:r>
      <w:r w:rsidR="00ED1079">
        <w:t>, 2007</w:t>
      </w:r>
      <w:r>
        <w:t>) specifications. Mowing was performed five times per week at 3</w:t>
      </w:r>
      <w:r w:rsidR="00FA5A27">
        <w:t xml:space="preserve"> </w:t>
      </w:r>
      <w:r>
        <w:t xml:space="preserve">mm. Overhead irrigation was applied as needed to </w:t>
      </w:r>
      <w:r w:rsidR="002912DF">
        <w:t>prevent</w:t>
      </w:r>
      <w:r>
        <w:t>. The putting green received 5 kg ha</w:t>
      </w:r>
      <w:r w:rsidRPr="00947594">
        <w:rPr>
          <w:vertAlign w:val="superscript"/>
        </w:rPr>
        <w:t>-1</w:t>
      </w:r>
      <w:r>
        <w:rPr>
          <w:vertAlign w:val="superscript"/>
        </w:rPr>
        <w:t xml:space="preserve"> </w:t>
      </w:r>
      <w:r w:rsidR="002912DF">
        <w:t xml:space="preserve">N from urea </w:t>
      </w:r>
      <w:r>
        <w:t xml:space="preserve">every two weeks throughout the trial period. </w:t>
      </w:r>
    </w:p>
    <w:p w:rsidR="00067052" w:rsidRDefault="00067052" w:rsidP="00067052">
      <w:pPr>
        <w:numPr>
          <w:ilvl w:val="12"/>
          <w:numId w:val="0"/>
        </w:numPr>
        <w:spacing w:line="480" w:lineRule="auto"/>
        <w:ind w:firstLine="720"/>
      </w:pPr>
      <w:r w:rsidRPr="00D917D9">
        <w:t xml:space="preserve">Treatments were arranged in a randomized complete block design with four replications. Plots measured 0.9 x 3.0 m. Fungicide programs were </w:t>
      </w:r>
      <w:r>
        <w:t>initiated</w:t>
      </w:r>
      <w:r w:rsidRPr="00D917D9">
        <w:t xml:space="preserve"> on </w:t>
      </w:r>
      <w:r>
        <w:t>17-May</w:t>
      </w:r>
      <w:r w:rsidRPr="00D917D9">
        <w:t xml:space="preserve"> </w:t>
      </w:r>
      <w:r>
        <w:t>and subsequent applications were made on 14-day intervals (</w:t>
      </w:r>
      <w:r w:rsidRPr="0099753F">
        <w:t>Table 1</w:t>
      </w:r>
      <w:r>
        <w:t>)</w:t>
      </w:r>
      <w:r w:rsidRPr="00D917D9">
        <w:t xml:space="preserve">. Strobilurin treatments </w:t>
      </w:r>
      <w:r>
        <w:t>were applied at the 2</w:t>
      </w:r>
      <w:r w:rsidRPr="00274271">
        <w:rPr>
          <w:vertAlign w:val="superscript"/>
        </w:rPr>
        <w:t>nd</w:t>
      </w:r>
      <w:r>
        <w:t xml:space="preserve"> and 5</w:t>
      </w:r>
      <w:r w:rsidRPr="00274271">
        <w:rPr>
          <w:vertAlign w:val="superscript"/>
        </w:rPr>
        <w:t>th</w:t>
      </w:r>
      <w:r>
        <w:t xml:space="preserve"> application interval and </w:t>
      </w:r>
      <w:r w:rsidRPr="00D917D9">
        <w:t>inclu</w:t>
      </w:r>
      <w:r w:rsidRPr="005B0288">
        <w:t>ded 1) azoxystrobin</w:t>
      </w:r>
      <w:r>
        <w:t xml:space="preserve"> (Heritage TL; </w:t>
      </w:r>
      <w:r w:rsidRPr="00D917D9">
        <w:t>Syngenta Crop Protection, Greensboro, NC</w:t>
      </w:r>
      <w:r>
        <w:t xml:space="preserve">) </w:t>
      </w:r>
      <w:r w:rsidR="00ED1079">
        <w:t xml:space="preserve">at </w:t>
      </w:r>
      <w:r w:rsidR="00ED1079" w:rsidRPr="005B0288">
        <w:t>0.61</w:t>
      </w:r>
      <w:r w:rsidRPr="005B0288">
        <w:t xml:space="preserve"> kg ai ha</w:t>
      </w:r>
      <w:r w:rsidRPr="005B0288">
        <w:rPr>
          <w:vertAlign w:val="superscript"/>
        </w:rPr>
        <w:t>-1</w:t>
      </w:r>
      <w:r w:rsidRPr="005B0288">
        <w:t>; 2) pyraclostrobin (Insignia SC; BASF Corporation, Research Triangle Park, NC) at 0.55 kg ai ha</w:t>
      </w:r>
      <w:r w:rsidRPr="005B0288">
        <w:rPr>
          <w:vertAlign w:val="superscript"/>
        </w:rPr>
        <w:t>-1</w:t>
      </w:r>
      <w:r w:rsidRPr="005B0288">
        <w:t xml:space="preserve">; </w:t>
      </w:r>
      <w:r>
        <w:t xml:space="preserve">and </w:t>
      </w:r>
      <w:r w:rsidR="001F2556">
        <w:t>3) fluoxastrobin (Disarm</w:t>
      </w:r>
      <w:r w:rsidRPr="005B0288">
        <w:t>; Arysta LifeScience North America LLC, Cary, NC) at 0.55 kg ai ha</w:t>
      </w:r>
      <w:r w:rsidRPr="005B0288">
        <w:rPr>
          <w:vertAlign w:val="superscript"/>
        </w:rPr>
        <w:t>-1</w:t>
      </w:r>
      <w:r w:rsidR="001F2556">
        <w:t>; and 4)</w:t>
      </w:r>
      <w:r>
        <w:t xml:space="preserve"> </w:t>
      </w:r>
      <w:r w:rsidR="00301C96">
        <w:t xml:space="preserve">A </w:t>
      </w:r>
      <w:r>
        <w:t>non-treated control</w:t>
      </w:r>
      <w:r w:rsidR="00301C96">
        <w:t xml:space="preserve"> receiving no fungicide treatments was included for comparison</w:t>
      </w:r>
      <w:r>
        <w:t xml:space="preserve">. </w:t>
      </w:r>
      <w:r w:rsidR="00B105F6">
        <w:t xml:space="preserve">A breakdown of each fungicide program is presented in Table 1. </w:t>
      </w:r>
      <w:r>
        <w:t>Treatments were applied as a foliar spray using two flat fan nozzles (</w:t>
      </w:r>
      <w:r w:rsidRPr="007F71D4">
        <w:t>TeeJet 8004EVS; Spraying Systems Co., Roswell, GA</w:t>
      </w:r>
      <w:r>
        <w:t>) calibrated to deliver a spray volume of 847 L per ha</w:t>
      </w:r>
      <w:r w:rsidRPr="007F71D4">
        <w:rPr>
          <w:vertAlign w:val="superscript"/>
        </w:rPr>
        <w:t>-1</w:t>
      </w:r>
      <w:r>
        <w:t xml:space="preserve">. </w:t>
      </w:r>
    </w:p>
    <w:p w:rsidR="00E27DC7" w:rsidRDefault="00E27DC7" w:rsidP="00067052">
      <w:pPr>
        <w:numPr>
          <w:ilvl w:val="12"/>
          <w:numId w:val="0"/>
        </w:numPr>
        <w:spacing w:line="480" w:lineRule="auto"/>
        <w:ind w:firstLine="720"/>
      </w:pPr>
    </w:p>
    <w:p w:rsidR="00067052" w:rsidRDefault="00067052" w:rsidP="00067052">
      <w:pPr>
        <w:numPr>
          <w:ilvl w:val="12"/>
          <w:numId w:val="0"/>
        </w:numPr>
        <w:spacing w:line="480" w:lineRule="auto"/>
      </w:pPr>
    </w:p>
    <w:p w:rsidR="00067052" w:rsidRPr="00E27DC7" w:rsidRDefault="00067052" w:rsidP="00067052">
      <w:pPr>
        <w:numPr>
          <w:ilvl w:val="12"/>
          <w:numId w:val="0"/>
        </w:numPr>
        <w:spacing w:line="480" w:lineRule="auto"/>
        <w:rPr>
          <w:b/>
        </w:rPr>
      </w:pPr>
      <w:r w:rsidRPr="006E6002">
        <w:rPr>
          <w:b/>
        </w:rPr>
        <w:lastRenderedPageBreak/>
        <w:t>Data Collection</w:t>
      </w:r>
    </w:p>
    <w:p w:rsidR="00067052" w:rsidRDefault="00067052" w:rsidP="00067052">
      <w:pPr>
        <w:numPr>
          <w:ilvl w:val="12"/>
          <w:numId w:val="0"/>
        </w:numPr>
        <w:spacing w:line="480" w:lineRule="auto"/>
        <w:ind w:firstLine="720"/>
      </w:pPr>
      <w:r>
        <w:t>Visual turfgrass quality, spectral reflectance, and disease severity were assessed throughout the trial period. Visual turfgrass quality was measured on a 1</w:t>
      </w:r>
      <w:r w:rsidR="00540190">
        <w:t xml:space="preserve"> to </w:t>
      </w:r>
      <w:r>
        <w:t xml:space="preserve">9 scale where a rating of 1 </w:t>
      </w:r>
      <w:r w:rsidR="00540190">
        <w:t xml:space="preserve">was </w:t>
      </w:r>
      <w:r>
        <w:t xml:space="preserve">considered bare soil and a rating of 9 </w:t>
      </w:r>
      <w:r w:rsidR="00540190">
        <w:t xml:space="preserve">was </w:t>
      </w:r>
      <w:r>
        <w:t xml:space="preserve">considered exceptional. A rating of 6 </w:t>
      </w:r>
      <w:r w:rsidR="004E141B">
        <w:t xml:space="preserve">was </w:t>
      </w:r>
      <w:r>
        <w:t xml:space="preserve">considered acceptable. Spectral reflectance was measured using a mobile spectrophotometer (ASC-210; Holland Scientific, Lincoln, NE) and configured similarly to Jiang et al. (2009). </w:t>
      </w:r>
      <w:r w:rsidRPr="0057258F">
        <w:t xml:space="preserve">This </w:t>
      </w:r>
      <w:r w:rsidR="004E141B">
        <w:t>instrument</w:t>
      </w:r>
      <w:r w:rsidR="004E141B" w:rsidRPr="0057258F">
        <w:t xml:space="preserve"> </w:t>
      </w:r>
      <w:r w:rsidRPr="0057258F">
        <w:t xml:space="preserve">has a built-in light sensor that simultaneously emits visible and near infrared light onto the </w:t>
      </w:r>
      <w:r w:rsidR="004E141B">
        <w:t xml:space="preserve">turf </w:t>
      </w:r>
      <w:r w:rsidRPr="0057258F">
        <w:t>canopy. The sensor was fitted onto a golf push cart 0.75</w:t>
      </w:r>
      <w:r w:rsidR="004E141B">
        <w:t xml:space="preserve"> </w:t>
      </w:r>
      <w:r w:rsidRPr="0057258F">
        <w:t xml:space="preserve">m above the canopy and pushed across the center of </w:t>
      </w:r>
      <w:r w:rsidR="004E141B">
        <w:t>each</w:t>
      </w:r>
      <w:r w:rsidR="004E141B" w:rsidRPr="0057258F">
        <w:t xml:space="preserve"> </w:t>
      </w:r>
      <w:r w:rsidRPr="0057258F">
        <w:t>plot to obtain normalized difference vegetation index (NDVI) and ratio vegetation index (RVI).</w:t>
      </w:r>
      <w:r>
        <w:t xml:space="preserve"> Disease severity was evaluated whenever symptoms were present within the trial area. Brown patch (</w:t>
      </w:r>
      <w:r w:rsidRPr="00BA3E06">
        <w:rPr>
          <w:rFonts w:eastAsia="Calibri"/>
          <w:i/>
        </w:rPr>
        <w:t>Rhizoctonia solani</w:t>
      </w:r>
      <w:r>
        <w:rPr>
          <w:rFonts w:eastAsia="Calibri"/>
          <w:i/>
        </w:rPr>
        <w:t xml:space="preserve"> </w:t>
      </w:r>
      <w:r>
        <w:t>Kühn) was assessed by visually estimating the percent turf area infected. Dollar spot (</w:t>
      </w:r>
      <w:r w:rsidRPr="00451834">
        <w:rPr>
          <w:i/>
        </w:rPr>
        <w:t>Sclerotinia homoeocarpa</w:t>
      </w:r>
      <w:r>
        <w:t xml:space="preserve"> F.T. Bennett) was assessed by counting the number of dollar spot foci per plot. </w:t>
      </w:r>
    </w:p>
    <w:p w:rsidR="00067052" w:rsidRDefault="00067052" w:rsidP="00067052">
      <w:pPr>
        <w:numPr>
          <w:ilvl w:val="12"/>
          <w:numId w:val="0"/>
        </w:numPr>
        <w:spacing w:line="480" w:lineRule="auto"/>
        <w:ind w:firstLine="720"/>
      </w:pPr>
      <w:r>
        <w:t>Two weeks after each strobilurin application an a</w:t>
      </w:r>
      <w:r w:rsidRPr="00B46DA7">
        <w:t xml:space="preserve">nalysis of percent turfgrass cover was quantified </w:t>
      </w:r>
      <w:r>
        <w:t>using</w:t>
      </w:r>
      <w:r w:rsidRPr="00B46DA7">
        <w:t xml:space="preserve"> digital image analysis (DIA). Digital images were captured using a Canon G12</w:t>
      </w:r>
      <w:r>
        <w:t xml:space="preserve"> (</w:t>
      </w:r>
      <w:r w:rsidRPr="00ED2527">
        <w:rPr>
          <w:color w:val="000000"/>
        </w:rPr>
        <w:t>Canon G12</w:t>
      </w:r>
      <w:r>
        <w:rPr>
          <w:color w:val="000000"/>
        </w:rPr>
        <w:t xml:space="preserve">, </w:t>
      </w:r>
      <w:r w:rsidRPr="00D917D9">
        <w:rPr>
          <w:color w:val="000000"/>
        </w:rPr>
        <w:t>Canon Inc</w:t>
      </w:r>
      <w:r>
        <w:rPr>
          <w:color w:val="000000"/>
        </w:rPr>
        <w:t>.</w:t>
      </w:r>
      <w:r w:rsidRPr="00D917D9">
        <w:rPr>
          <w:color w:val="000000"/>
        </w:rPr>
        <w:t>, Japan</w:t>
      </w:r>
      <w:r>
        <w:rPr>
          <w:color w:val="000000"/>
        </w:rPr>
        <w:t>)</w:t>
      </w:r>
      <w:r w:rsidR="004E141B">
        <w:rPr>
          <w:color w:val="000000"/>
        </w:rPr>
        <w:t xml:space="preserve"> digital camera</w:t>
      </w:r>
      <w:r w:rsidRPr="00B46DA7">
        <w:t>. The camera was mounted inside a 0.28 m</w:t>
      </w:r>
      <w:r w:rsidRPr="00B46DA7">
        <w:rPr>
          <w:vertAlign w:val="superscript"/>
        </w:rPr>
        <w:t>2</w:t>
      </w:r>
      <w:r w:rsidRPr="00B46DA7">
        <w:t xml:space="preserve"> box equipped with </w:t>
      </w:r>
      <w:r w:rsidR="004E141B">
        <w:t>four</w:t>
      </w:r>
      <w:r w:rsidR="004E141B" w:rsidRPr="00B46DA7">
        <w:t xml:space="preserve"> </w:t>
      </w:r>
      <w:r w:rsidR="003A610C">
        <w:t>fluorescent light bulbs</w:t>
      </w:r>
      <w:r>
        <w:t xml:space="preserve">. </w:t>
      </w:r>
      <w:r w:rsidRPr="00B46DA7">
        <w:t xml:space="preserve"> Image size in this experiment was 307,200 pixels. Images were analyzed </w:t>
      </w:r>
      <w:r w:rsidR="003A610C">
        <w:t xml:space="preserve">similar to the methods and configuration from </w:t>
      </w:r>
      <w:r w:rsidR="003A610C">
        <w:rPr>
          <w:rFonts w:eastAsia="Calibri"/>
        </w:rPr>
        <w:t>Richardson</w:t>
      </w:r>
      <w:r w:rsidR="003A610C" w:rsidRPr="007E39AA">
        <w:rPr>
          <w:rFonts w:eastAsia="Calibri"/>
        </w:rPr>
        <w:t xml:space="preserve"> et al. </w:t>
      </w:r>
      <w:r w:rsidR="003A610C">
        <w:rPr>
          <w:rFonts w:eastAsia="Calibri"/>
        </w:rPr>
        <w:t>(</w:t>
      </w:r>
      <w:r w:rsidR="003A610C" w:rsidRPr="007E39AA">
        <w:rPr>
          <w:rFonts w:eastAsia="Calibri"/>
        </w:rPr>
        <w:t>2001</w:t>
      </w:r>
      <w:r w:rsidR="003A610C">
        <w:rPr>
          <w:rFonts w:eastAsia="Calibri"/>
        </w:rPr>
        <w:t xml:space="preserve">) </w:t>
      </w:r>
      <w:r w:rsidRPr="00B46DA7">
        <w:t>using SigmaScan Pro software</w:t>
      </w:r>
      <w:r>
        <w:rPr>
          <w:vertAlign w:val="superscript"/>
        </w:rPr>
        <w:t xml:space="preserve"> </w:t>
      </w:r>
      <w:r>
        <w:t>(</w:t>
      </w:r>
      <w:r>
        <w:rPr>
          <w:color w:val="000000"/>
        </w:rPr>
        <w:t>Version</w:t>
      </w:r>
      <w:r w:rsidRPr="00D917D9">
        <w:rPr>
          <w:color w:val="000000"/>
        </w:rPr>
        <w:t xml:space="preserve"> 5.0; SPSS Inc</w:t>
      </w:r>
      <w:r>
        <w:rPr>
          <w:color w:val="000000"/>
        </w:rPr>
        <w:t>.</w:t>
      </w:r>
      <w:r w:rsidRPr="00D917D9">
        <w:rPr>
          <w:color w:val="000000"/>
        </w:rPr>
        <w:t>, Chicago, IL</w:t>
      </w:r>
      <w:r>
        <w:rPr>
          <w:color w:val="000000"/>
        </w:rPr>
        <w:t>)</w:t>
      </w:r>
      <w:r w:rsidRPr="00B46DA7">
        <w:t>. Pixels classified as green turf expressed a hue range of 45</w:t>
      </w:r>
      <w:r w:rsidRPr="00B46DA7">
        <w:rPr>
          <w:vertAlign w:val="superscript"/>
        </w:rPr>
        <w:t>o</w:t>
      </w:r>
      <w:r w:rsidRPr="00B46DA7">
        <w:t xml:space="preserve"> to 120</w:t>
      </w:r>
      <w:r w:rsidRPr="00B46DA7">
        <w:rPr>
          <w:vertAlign w:val="superscript"/>
        </w:rPr>
        <w:t>o</w:t>
      </w:r>
      <w:r w:rsidRPr="00B46DA7">
        <w:t xml:space="preserve"> and saturation defined between 0% and 100%. </w:t>
      </w:r>
    </w:p>
    <w:p w:rsidR="00067052" w:rsidRDefault="00067052" w:rsidP="00067052">
      <w:pPr>
        <w:numPr>
          <w:ilvl w:val="12"/>
          <w:numId w:val="0"/>
        </w:numPr>
        <w:spacing w:line="480" w:lineRule="auto"/>
        <w:ind w:firstLine="720"/>
        <w:rPr>
          <w:color w:val="000000"/>
        </w:rPr>
      </w:pPr>
      <w:r w:rsidRPr="00D917D9">
        <w:rPr>
          <w:color w:val="000000"/>
        </w:rPr>
        <w:lastRenderedPageBreak/>
        <w:t xml:space="preserve">A root morphology assessment was conducted at </w:t>
      </w:r>
      <w:r>
        <w:rPr>
          <w:color w:val="000000"/>
        </w:rPr>
        <w:t>two weeks after the 2</w:t>
      </w:r>
      <w:r w:rsidRPr="00AE22AC">
        <w:rPr>
          <w:color w:val="000000"/>
          <w:vertAlign w:val="superscript"/>
        </w:rPr>
        <w:t>nd</w:t>
      </w:r>
      <w:r>
        <w:rPr>
          <w:color w:val="000000"/>
        </w:rPr>
        <w:t xml:space="preserve"> strobilurin application.</w:t>
      </w:r>
      <w:r w:rsidRPr="00D917D9">
        <w:rPr>
          <w:color w:val="000000"/>
        </w:rPr>
        <w:t xml:space="preserve"> </w:t>
      </w:r>
      <w:r w:rsidRPr="005B0288">
        <w:rPr>
          <w:color w:val="000000"/>
        </w:rPr>
        <w:t>A soil profiler</w:t>
      </w:r>
      <w:r>
        <w:rPr>
          <w:color w:val="000000"/>
        </w:rPr>
        <w:t xml:space="preserve"> (Soil profiler, </w:t>
      </w:r>
      <w:r w:rsidRPr="00D917D9">
        <w:rPr>
          <w:color w:val="000000"/>
        </w:rPr>
        <w:t>Fore</w:t>
      </w:r>
      <w:r>
        <w:rPr>
          <w:color w:val="000000"/>
        </w:rPr>
        <w:t>stry Suppliers Inc., Jackson, MS)</w:t>
      </w:r>
      <w:r w:rsidRPr="00D917D9">
        <w:rPr>
          <w:color w:val="000000"/>
        </w:rPr>
        <w:t xml:space="preserve"> was used to extract 14 soil profiles from each plot. Soil profiles measured 25</w:t>
      </w:r>
      <w:r w:rsidR="004E141B">
        <w:rPr>
          <w:color w:val="000000"/>
        </w:rPr>
        <w:t xml:space="preserve"> </w:t>
      </w:r>
      <w:r w:rsidRPr="00D917D9">
        <w:rPr>
          <w:color w:val="000000"/>
        </w:rPr>
        <w:t>cm</w:t>
      </w:r>
      <w:r w:rsidRPr="00D917D9">
        <w:rPr>
          <w:color w:val="000000"/>
          <w:vertAlign w:val="superscript"/>
        </w:rPr>
        <w:t>2</w:t>
      </w:r>
      <w:r w:rsidRPr="00D917D9">
        <w:rPr>
          <w:color w:val="000000"/>
        </w:rPr>
        <w:t xml:space="preserve"> and were pulled from a depth of 18 cm into the rootzone. Soil profiles were gently rinsed with water to remove sand and organic </w:t>
      </w:r>
      <w:r w:rsidR="0079298F">
        <w:rPr>
          <w:color w:val="000000"/>
        </w:rPr>
        <w:t>matter</w:t>
      </w:r>
      <w:r w:rsidRPr="00D917D9">
        <w:rPr>
          <w:color w:val="000000"/>
        </w:rPr>
        <w:t xml:space="preserve">. The remaining roots were scanned and analyzed for total root length, root surface area, root diameter and root volume using the </w:t>
      </w:r>
      <w:r w:rsidRPr="005B0288">
        <w:rPr>
          <w:color w:val="000000"/>
        </w:rPr>
        <w:t>WinRhizo Pro system</w:t>
      </w:r>
      <w:r>
        <w:rPr>
          <w:color w:val="000000"/>
          <w:vertAlign w:val="superscript"/>
        </w:rPr>
        <w:t xml:space="preserve"> </w:t>
      </w:r>
      <w:r>
        <w:rPr>
          <w:color w:val="000000"/>
        </w:rPr>
        <w:t>(</w:t>
      </w:r>
      <w:r w:rsidRPr="00A21E4E">
        <w:rPr>
          <w:color w:val="000000"/>
        </w:rPr>
        <w:t>WinRhizo Pro</w:t>
      </w:r>
      <w:r>
        <w:rPr>
          <w:color w:val="000000"/>
        </w:rPr>
        <w:t xml:space="preserve">, </w:t>
      </w:r>
      <w:r w:rsidRPr="00D917D9">
        <w:rPr>
          <w:color w:val="000000"/>
        </w:rPr>
        <w:t xml:space="preserve">Regent Instruments Inc., </w:t>
      </w:r>
      <w:r w:rsidR="003A610C">
        <w:rPr>
          <w:color w:val="000000"/>
        </w:rPr>
        <w:t>Canada</w:t>
      </w:r>
      <w:r>
        <w:rPr>
          <w:color w:val="000000"/>
        </w:rPr>
        <w:t>)</w:t>
      </w:r>
      <w:r w:rsidR="00ED1079">
        <w:rPr>
          <w:color w:val="000000"/>
        </w:rPr>
        <w:t xml:space="preserve">. </w:t>
      </w:r>
      <w:r w:rsidR="00ED1079" w:rsidRPr="00D917D9">
        <w:rPr>
          <w:color w:val="000000"/>
        </w:rPr>
        <w:t>Procedures were similar to those outlined in Beasley and Branham (2007) and</w:t>
      </w:r>
      <w:r w:rsidR="00ED1079">
        <w:rPr>
          <w:color w:val="000000"/>
        </w:rPr>
        <w:t xml:space="preserve"> Brosnan et al. (2010).</w:t>
      </w:r>
    </w:p>
    <w:p w:rsidR="003A610C" w:rsidRDefault="003A610C" w:rsidP="003A610C">
      <w:pPr>
        <w:numPr>
          <w:ilvl w:val="12"/>
          <w:numId w:val="0"/>
        </w:numPr>
        <w:spacing w:line="480" w:lineRule="auto"/>
        <w:ind w:firstLine="720"/>
      </w:pPr>
      <w:r w:rsidRPr="00D917D9">
        <w:t>Data were subjected to analysis of variance</w:t>
      </w:r>
      <w:r>
        <w:t xml:space="preserve"> (ANOVA)</w:t>
      </w:r>
      <w:r w:rsidRPr="00D917D9">
        <w:t xml:space="preserve"> using </w:t>
      </w:r>
      <w:r>
        <w:t xml:space="preserve">PROC MIXED with code generated by the DANDA macro (Saxton, 2010) in </w:t>
      </w:r>
      <w:r w:rsidRPr="005B0288">
        <w:t>SAS</w:t>
      </w:r>
      <w:r>
        <w:t xml:space="preserve"> (</w:t>
      </w:r>
      <w:r w:rsidRPr="009D2CE7">
        <w:t>Statistical Analysis</w:t>
      </w:r>
      <w:r>
        <w:rPr>
          <w:rFonts w:ascii="TimesNewRomanPSMT" w:hAnsi="TimesNewRomanPSMT" w:cs="TimesNewRomanPSMT"/>
        </w:rPr>
        <w:t xml:space="preserve"> Software, Inc., </w:t>
      </w:r>
      <w:r w:rsidRPr="009D2CE7">
        <w:t>Cary</w:t>
      </w:r>
      <w:r>
        <w:rPr>
          <w:rFonts w:ascii="TimesNewRomanPSMT" w:hAnsi="TimesNewRomanPSMT" w:cs="TimesNewRomanPSMT"/>
        </w:rPr>
        <w:t>, NC</w:t>
      </w:r>
      <w:r>
        <w:t xml:space="preserve">). Means were separated using Fisher’s protected least significant difference (LSD) at </w:t>
      </w:r>
      <w:r w:rsidR="0079298F">
        <w:t xml:space="preserve">α </w:t>
      </w:r>
      <w:r>
        <w:t>=</w:t>
      </w:r>
      <w:r w:rsidR="0079298F">
        <w:t xml:space="preserve"> </w:t>
      </w:r>
      <w:r>
        <w:t xml:space="preserve">0.05. </w:t>
      </w:r>
      <w:r w:rsidRPr="00D917D9">
        <w:t xml:space="preserve">A combined ANOVA was conducted to test for significant interactions between experimental runs. The </w:t>
      </w:r>
      <w:r>
        <w:t>area under the progress c</w:t>
      </w:r>
      <w:r w:rsidRPr="00D917D9">
        <w:t>urve (AU</w:t>
      </w:r>
      <w:r>
        <w:t>(x)</w:t>
      </w:r>
      <w:r w:rsidRPr="00D917D9">
        <w:t>PC) was calculated for ea</w:t>
      </w:r>
      <w:r>
        <w:t>ch of the evaluation parameters where (x) is a parameter of interest.  The (AU(x)PC) describes the course of increase or decrease in (x) parameter over time (Campbell and Madden, 1991).</w:t>
      </w:r>
    </w:p>
    <w:p w:rsidR="00067052" w:rsidRDefault="00067052" w:rsidP="003A610C">
      <w:pPr>
        <w:numPr>
          <w:ilvl w:val="12"/>
          <w:numId w:val="0"/>
        </w:numPr>
        <w:spacing w:line="480" w:lineRule="auto"/>
      </w:pPr>
    </w:p>
    <w:p w:rsidR="00067052" w:rsidRDefault="00067052" w:rsidP="00067052">
      <w:pPr>
        <w:numPr>
          <w:ilvl w:val="12"/>
          <w:numId w:val="0"/>
        </w:numPr>
        <w:spacing w:line="480" w:lineRule="auto"/>
        <w:rPr>
          <w:b/>
        </w:rPr>
      </w:pPr>
      <w:r w:rsidRPr="00AE22AC">
        <w:rPr>
          <w:b/>
        </w:rPr>
        <w:t>Results</w:t>
      </w:r>
    </w:p>
    <w:p w:rsidR="00067052" w:rsidRDefault="00067052" w:rsidP="00067052">
      <w:pPr>
        <w:numPr>
          <w:ilvl w:val="12"/>
          <w:numId w:val="0"/>
        </w:numPr>
        <w:spacing w:line="480" w:lineRule="auto"/>
        <w:ind w:firstLine="720"/>
      </w:pPr>
      <w:r>
        <w:t xml:space="preserve">Analysis of variance revealed significant differences in visual turfgrass quality, spectral reflectance, and disease severity. No significant differences in percent turfgrass cover or rooting characteristics were observed </w:t>
      </w:r>
      <w:r w:rsidR="0079298F">
        <w:t>(data not</w:t>
      </w:r>
      <w:r>
        <w:t xml:space="preserve"> presented</w:t>
      </w:r>
      <w:r w:rsidR="0079298F">
        <w:t>)</w:t>
      </w:r>
      <w:r>
        <w:t xml:space="preserve">. </w:t>
      </w:r>
    </w:p>
    <w:p w:rsidR="00067052" w:rsidRDefault="00067052" w:rsidP="00067052">
      <w:pPr>
        <w:numPr>
          <w:ilvl w:val="12"/>
          <w:numId w:val="0"/>
        </w:numPr>
        <w:spacing w:line="480" w:lineRule="auto"/>
        <w:ind w:firstLine="720"/>
      </w:pPr>
      <w:r>
        <w:t xml:space="preserve">All strobilurin programs resulted in acceptable quality on every evaluation date. Unacceptable quality was observed within the non-treated control on 6 of the last 8 rating </w:t>
      </w:r>
      <w:r>
        <w:lastRenderedPageBreak/>
        <w:t>dates (data not presented).</w:t>
      </w:r>
      <w:r w:rsidRPr="00965202">
        <w:t xml:space="preserve"> </w:t>
      </w:r>
      <w:r w:rsidR="003A610C">
        <w:t>Analysis of area under the visual quality progress c</w:t>
      </w:r>
      <w:r>
        <w:t>urve (AUVQPC) revealed significant differences among treatments (Figure 1). All strobilurin fungicide programs exhibited greater AUVQPC than the non-treated control. Fungicide programs featuring pyraclostrobin had significant higher AUVQPC than the fluoxastrobin programs, but pyraclostrobin programs were not statistically different from azoxystrobin programs (</w:t>
      </w:r>
      <w:r w:rsidRPr="0099753F">
        <w:t>Figure 1</w:t>
      </w:r>
      <w:r>
        <w:t>).</w:t>
      </w:r>
    </w:p>
    <w:p w:rsidR="00067052" w:rsidRDefault="00067052" w:rsidP="00067052">
      <w:pPr>
        <w:numPr>
          <w:ilvl w:val="12"/>
          <w:numId w:val="0"/>
        </w:numPr>
        <w:spacing w:line="480" w:lineRule="auto"/>
        <w:ind w:firstLine="720"/>
      </w:pPr>
      <w:r>
        <w:t>Spectral reflectance gradually declined in all treatments throughout trial period. Strobilurin programs had significantly greater spectral reflectance than the non-treated control beginning 21 days after initial treatment (DAIT). Pyraclostrobin programs resulted in significantly greater NDVI than azoxystrobin and fluoxastrobin programs from 56</w:t>
      </w:r>
      <w:r w:rsidR="00BE4C2D">
        <w:t xml:space="preserve"> to </w:t>
      </w:r>
      <w:r>
        <w:t>84 DAIT. Azoxystrobin and fluoxastrobin programs were not significantly different on any evaluation date (</w:t>
      </w:r>
      <w:r w:rsidR="0060478E">
        <w:t>Table</w:t>
      </w:r>
      <w:r w:rsidRPr="0099753F">
        <w:t xml:space="preserve"> 2</w:t>
      </w:r>
      <w:r>
        <w:t>). All fungicide prog</w:t>
      </w:r>
      <w:r w:rsidR="003A610C">
        <w:t>rams had significantly greater area u</w:t>
      </w:r>
      <w:r>
        <w:t>nder the ND</w:t>
      </w:r>
      <w:r w:rsidR="003A610C">
        <w:t>VI progress curve (AUNDVIPC) and area u</w:t>
      </w:r>
      <w:r>
        <w:t>nder the RVI</w:t>
      </w:r>
      <w:r w:rsidR="003A610C">
        <w:t xml:space="preserve"> progress c</w:t>
      </w:r>
      <w:r>
        <w:t>urve (AURVIC) compared to the non-treated control. Pyraclostrobin programs exhibited higher AUNDVIPC and AURVIC than both azoxystrobin and fluoxastrobin programs. No statistical differences were reported for spectral reflectance measurements between azoxystrobin and fluoxastrobin programs (</w:t>
      </w:r>
      <w:r w:rsidRPr="0099753F">
        <w:t xml:space="preserve">Figures </w:t>
      </w:r>
      <w:r w:rsidR="004A28B7">
        <w:t>2</w:t>
      </w:r>
      <w:r w:rsidRPr="0099753F">
        <w:t xml:space="preserve">, </w:t>
      </w:r>
      <w:r w:rsidR="004A28B7">
        <w:t>3</w:t>
      </w:r>
      <w:r>
        <w:t xml:space="preserve">). </w:t>
      </w:r>
    </w:p>
    <w:p w:rsidR="00067052" w:rsidRDefault="00067052" w:rsidP="00067052">
      <w:pPr>
        <w:numPr>
          <w:ilvl w:val="12"/>
          <w:numId w:val="0"/>
        </w:numPr>
        <w:spacing w:line="480" w:lineRule="auto"/>
        <w:ind w:firstLine="720"/>
      </w:pPr>
      <w:r>
        <w:t xml:space="preserve">Environmental conditions were conducive for brown patch development during this experiment. Peak brown patch activity occurred at 56 DAIT. On this date, the non-treated control exceeded 40% disease severity. </w:t>
      </w:r>
      <w:r w:rsidR="00136C24">
        <w:t>Pyraclostrobin programs had trace amounts of brown patch on this date (&lt; 2%) and were</w:t>
      </w:r>
      <w:r>
        <w:t xml:space="preserve"> significantly lower than programs with either azoxystrobin or fluoxastrobin which each had </w:t>
      </w:r>
      <w:r w:rsidR="00BE4C2D">
        <w:t>9</w:t>
      </w:r>
      <w:r>
        <w:t xml:space="preserve">% brown patch, respectively (data not </w:t>
      </w:r>
      <w:r w:rsidR="003A610C">
        <w:t>presented). An analysis of the area under the brown patch progress c</w:t>
      </w:r>
      <w:r>
        <w:t xml:space="preserve">urve </w:t>
      </w:r>
      <w:r>
        <w:lastRenderedPageBreak/>
        <w:t xml:space="preserve">(AUBPPC) revealed significant differences among treatments. Pyraclostrobin programs had significantly lower AUBPPC than all other treatments. Programs featuring azoxystrobin and fluoxastrobin were statistically similar in this assessment and each had significant lower AUBPPC than the non-treated control (Figure </w:t>
      </w:r>
      <w:r w:rsidR="004A28B7">
        <w:t>4</w:t>
      </w:r>
      <w:r>
        <w:t xml:space="preserve">). </w:t>
      </w:r>
    </w:p>
    <w:p w:rsidR="00067052" w:rsidRDefault="00067052" w:rsidP="00067052">
      <w:pPr>
        <w:numPr>
          <w:ilvl w:val="12"/>
          <w:numId w:val="0"/>
        </w:numPr>
        <w:spacing w:line="480" w:lineRule="auto"/>
        <w:ind w:firstLine="720"/>
      </w:pPr>
      <w:r>
        <w:t xml:space="preserve">The aforementioned differences in disease </w:t>
      </w:r>
      <w:r w:rsidR="003A610C">
        <w:t>severity</w:t>
      </w:r>
      <w:r>
        <w:t xml:space="preserve"> may contribute to field observable differences in plant </w:t>
      </w:r>
      <w:r w:rsidR="003A610C">
        <w:t>physiological</w:t>
      </w:r>
      <w:r>
        <w:t xml:space="preserve"> effects. If creeping bentgrass plants are subjected to increased disease pressure then the plant’s physiology could be deteriorated enough to cause a field observable degradation of </w:t>
      </w:r>
      <w:r w:rsidR="00BE4C2D">
        <w:t xml:space="preserve">turf </w:t>
      </w:r>
      <w:r>
        <w:t>quality. A regression analysis revealed a strong correlation (</w:t>
      </w:r>
      <w:r w:rsidRPr="000231E5">
        <w:t>R</w:t>
      </w:r>
      <w:r w:rsidRPr="003059A5">
        <w:rPr>
          <w:vertAlign w:val="superscript"/>
        </w:rPr>
        <w:t>2</w:t>
      </w:r>
      <w:r w:rsidRPr="000231E5">
        <w:t xml:space="preserve"> = 0.82</w:t>
      </w:r>
      <w:r>
        <w:t xml:space="preserve">) between disease </w:t>
      </w:r>
      <w:r w:rsidR="00BE4C2D">
        <w:t xml:space="preserve">severity </w:t>
      </w:r>
      <w:r>
        <w:t>and spectral reflectance measurements such as NDVI (</w:t>
      </w:r>
      <w:r w:rsidRPr="0099753F">
        <w:t>Figure</w:t>
      </w:r>
      <w:r>
        <w:t xml:space="preserve"> </w:t>
      </w:r>
      <w:r w:rsidR="004A28B7">
        <w:t>5</w:t>
      </w:r>
      <w:r>
        <w:t xml:space="preserve">). </w:t>
      </w:r>
    </w:p>
    <w:p w:rsidR="00067052" w:rsidRDefault="00067052" w:rsidP="00067052">
      <w:pPr>
        <w:numPr>
          <w:ilvl w:val="12"/>
          <w:numId w:val="0"/>
        </w:numPr>
        <w:spacing w:line="480" w:lineRule="auto"/>
        <w:ind w:firstLine="720"/>
      </w:pPr>
    </w:p>
    <w:p w:rsidR="00067052" w:rsidRPr="00954771" w:rsidRDefault="00067052" w:rsidP="00067052">
      <w:pPr>
        <w:numPr>
          <w:ilvl w:val="12"/>
          <w:numId w:val="0"/>
        </w:numPr>
        <w:spacing w:line="480" w:lineRule="auto"/>
        <w:rPr>
          <w:b/>
        </w:rPr>
      </w:pPr>
      <w:r w:rsidRPr="00954771">
        <w:rPr>
          <w:b/>
        </w:rPr>
        <w:t>Conclusion</w:t>
      </w:r>
    </w:p>
    <w:p w:rsidR="00067052" w:rsidRDefault="00067052" w:rsidP="00067052">
      <w:pPr>
        <w:numPr>
          <w:ilvl w:val="12"/>
          <w:numId w:val="0"/>
        </w:numPr>
        <w:spacing w:line="480" w:lineRule="auto"/>
        <w:ind w:firstLine="720"/>
      </w:pPr>
      <w:r>
        <w:t>All strobilurin programs maintained acceptable</w:t>
      </w:r>
      <w:r w:rsidR="00BE4C2D">
        <w:t xml:space="preserve"> turf</w:t>
      </w:r>
      <w:r>
        <w:t xml:space="preserve"> quality and disease control throughout the experiment. Pyraclostrobin programs had greater AUNDVIPC and AURVIPC measurements than all other strobilurin programs. Pyraclostrobin programs also exhibited a greater AUVQPC compared to </w:t>
      </w:r>
      <w:r w:rsidR="00ED1079">
        <w:t>fluoxastrobin</w:t>
      </w:r>
      <w:r>
        <w:t xml:space="preserve"> treated programs; however pyraclostrobin and azoxystrobin programs were not statistically different. Fluoxastrobin and azoxystrobin programs were nearly identical in the AUVQPC, AURVIPC, and AUNDVIPC analyses. </w:t>
      </w:r>
    </w:p>
    <w:p w:rsidR="00067052" w:rsidRDefault="00067052" w:rsidP="00067052">
      <w:pPr>
        <w:numPr>
          <w:ilvl w:val="12"/>
          <w:numId w:val="0"/>
        </w:numPr>
        <w:spacing w:line="480" w:lineRule="auto"/>
      </w:pPr>
      <w:r>
        <w:tab/>
        <w:t xml:space="preserve">Differences in these </w:t>
      </w:r>
      <w:r w:rsidR="003A610C">
        <w:t>physiological effects</w:t>
      </w:r>
      <w:r>
        <w:t xml:space="preserve"> between strobilurin programs could be due to a number of factors. Stressors imposed by the environment could adversely affect creeping bentgrass plants differently when exposed to different strobilurin fungicides. Another potential explanation is differences in disease </w:t>
      </w:r>
      <w:r w:rsidR="00BE4C2D">
        <w:t xml:space="preserve">control efficacy between </w:t>
      </w:r>
      <w:r w:rsidR="00BE4C2D">
        <w:lastRenderedPageBreak/>
        <w:t>strobilurin treatments</w:t>
      </w:r>
      <w:r>
        <w:t xml:space="preserve">. However, it remains impractical to discern whether differences in </w:t>
      </w:r>
      <w:r w:rsidR="003A610C">
        <w:t>physiological effects</w:t>
      </w:r>
      <w:r>
        <w:t xml:space="preserve"> are likely the result of environmental stressors, disease </w:t>
      </w:r>
      <w:r w:rsidR="00BE4C2D">
        <w:t>control efficacy</w:t>
      </w:r>
      <w:r>
        <w:t>, or other unknown factors</w:t>
      </w:r>
      <w:r w:rsidR="00BE4C2D">
        <w:t xml:space="preserve"> from data collected at a single location in one growing season.</w:t>
      </w:r>
      <w:r>
        <w:t xml:space="preserve"> It is anticipated that additional data will become available to replicate this trial</w:t>
      </w:r>
      <w:r w:rsidR="00BE4C2D">
        <w:t xml:space="preserve"> over time</w:t>
      </w:r>
      <w:r>
        <w:t xml:space="preserve">. </w:t>
      </w: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067052" w:rsidRDefault="00067052" w:rsidP="00067052">
      <w:pPr>
        <w:numPr>
          <w:ilvl w:val="12"/>
          <w:numId w:val="0"/>
        </w:numPr>
        <w:spacing w:line="480" w:lineRule="auto"/>
      </w:pPr>
    </w:p>
    <w:p w:rsidR="00F276FE" w:rsidRDefault="00F276FE" w:rsidP="00067052">
      <w:pPr>
        <w:numPr>
          <w:ilvl w:val="12"/>
          <w:numId w:val="0"/>
        </w:numPr>
        <w:spacing w:line="480" w:lineRule="auto"/>
      </w:pPr>
    </w:p>
    <w:p w:rsidR="00067052" w:rsidRDefault="00067052" w:rsidP="00067052">
      <w:pPr>
        <w:rPr>
          <w:rFonts w:ascii="Arial" w:hAnsi="Arial" w:cs="Arial"/>
        </w:rPr>
      </w:pPr>
    </w:p>
    <w:p w:rsidR="003A610C" w:rsidRPr="00667568" w:rsidRDefault="003A610C" w:rsidP="003A610C">
      <w:pPr>
        <w:spacing w:after="200" w:line="276" w:lineRule="auto"/>
        <w:jc w:val="center"/>
        <w:rPr>
          <w:rFonts w:eastAsia="Calibri"/>
          <w:b/>
          <w:sz w:val="28"/>
          <w:szCs w:val="28"/>
        </w:rPr>
      </w:pPr>
      <w:r w:rsidRPr="00667568">
        <w:rPr>
          <w:rFonts w:eastAsia="Calibri"/>
          <w:b/>
          <w:sz w:val="28"/>
          <w:szCs w:val="28"/>
        </w:rPr>
        <w:lastRenderedPageBreak/>
        <w:t>LITERATURE CITED</w:t>
      </w:r>
    </w:p>
    <w:p w:rsidR="00ED1079" w:rsidRDefault="00ED1079" w:rsidP="00ED1079">
      <w:pPr>
        <w:pStyle w:val="Default"/>
        <w:spacing w:line="480" w:lineRule="auto"/>
        <w:ind w:left="720" w:hanging="720"/>
        <w:contextualSpacing/>
        <w:rPr>
          <w:color w:val="222222"/>
        </w:rPr>
      </w:pPr>
      <w:r w:rsidRPr="003D7113">
        <w:rPr>
          <w:color w:val="222222"/>
        </w:rPr>
        <w:t>Beasley, J.S., and B.E. Branham. 2007. Trinexa</w:t>
      </w:r>
      <w:r>
        <w:rPr>
          <w:color w:val="222222"/>
        </w:rPr>
        <w:t>pac-ethyl and paclobutrazol affect k</w:t>
      </w:r>
      <w:r w:rsidRPr="003D7113">
        <w:rPr>
          <w:color w:val="222222"/>
        </w:rPr>
        <w:t>entucky bluegrass single-leaf carbon exchange rates and plant growth. Crop Sci. 47:132–138.</w:t>
      </w:r>
    </w:p>
    <w:p w:rsidR="003A59F2" w:rsidRDefault="003A59F2" w:rsidP="003A59F2">
      <w:pPr>
        <w:autoSpaceDE w:val="0"/>
        <w:autoSpaceDN w:val="0"/>
        <w:adjustRightInd w:val="0"/>
        <w:spacing w:line="480" w:lineRule="auto"/>
        <w:ind w:left="720" w:hanging="720"/>
        <w:contextualSpacing/>
      </w:pPr>
      <w:r w:rsidRPr="003D7113">
        <w:t>Brosnan, J.T, B.J. Horvath, M.T. Elmore, G.K. Breeden, and J.C. Sorochan. 2010. Greenhouse investigation of strobilurin fungicide applications on creeping bentgrass root characteristics under two irrigation regimes. Crop Sci. 50:26</w:t>
      </w:r>
      <w:r>
        <w:t>05-</w:t>
      </w:r>
      <w:r w:rsidRPr="003D7113">
        <w:t>2610.</w:t>
      </w:r>
    </w:p>
    <w:p w:rsidR="00ED1079" w:rsidRDefault="00ED1079" w:rsidP="00ED1079">
      <w:pPr>
        <w:autoSpaceDE w:val="0"/>
        <w:autoSpaceDN w:val="0"/>
        <w:adjustRightInd w:val="0"/>
        <w:spacing w:line="480" w:lineRule="auto"/>
        <w:ind w:left="720" w:hanging="720"/>
        <w:rPr>
          <w:rFonts w:eastAsia="Calibri"/>
        </w:rPr>
      </w:pPr>
      <w:r w:rsidRPr="003A366F">
        <w:rPr>
          <w:rFonts w:eastAsia="Calibri"/>
        </w:rPr>
        <w:t xml:space="preserve">Campbell, C.L., and L.V. Madden. 1991. Introduction to plant disease epidemiology. John Wily and Sons, NY. </w:t>
      </w:r>
    </w:p>
    <w:p w:rsidR="00ED1079" w:rsidRDefault="00ED1079" w:rsidP="00ED1079">
      <w:pPr>
        <w:autoSpaceDE w:val="0"/>
        <w:autoSpaceDN w:val="0"/>
        <w:adjustRightInd w:val="0"/>
        <w:spacing w:line="480" w:lineRule="auto"/>
        <w:ind w:left="720" w:hanging="720"/>
        <w:contextualSpacing/>
      </w:pPr>
      <w:r w:rsidRPr="003D7113">
        <w:t xml:space="preserve">Jiang, Y., H. Liu, and V. Cline. 2009. Correlations of leaf relative water content, canopy temperature, and spectral reflectance in perennial ryegrass under </w:t>
      </w:r>
      <w:r>
        <w:t>water deficit conditions. Hort</w:t>
      </w:r>
      <w:r w:rsidRPr="003D7113">
        <w:t>Science 44:459–462.</w:t>
      </w:r>
    </w:p>
    <w:p w:rsidR="003A59F2" w:rsidRPr="00ED1079" w:rsidRDefault="003A59F2" w:rsidP="003A59F2">
      <w:pPr>
        <w:autoSpaceDE w:val="0"/>
        <w:autoSpaceDN w:val="0"/>
        <w:adjustRightInd w:val="0"/>
        <w:spacing w:line="480" w:lineRule="auto"/>
        <w:ind w:left="720" w:hanging="720"/>
        <w:contextualSpacing/>
      </w:pPr>
      <w:r w:rsidRPr="003D7113">
        <w:t>Richardson, M.D., D.E. Karcher, and L.C. Purcell. 2001. Quantifying turfgrass cover using digital image analysis. Crop Sci. 41:1884–1888.</w:t>
      </w:r>
    </w:p>
    <w:p w:rsidR="00ED1079" w:rsidRDefault="00ED1079" w:rsidP="00ED1079">
      <w:pPr>
        <w:autoSpaceDE w:val="0"/>
        <w:autoSpaceDN w:val="0"/>
        <w:adjustRightInd w:val="0"/>
        <w:spacing w:line="480" w:lineRule="auto"/>
        <w:ind w:left="720" w:hanging="720"/>
        <w:rPr>
          <w:rFonts w:eastAsia="Calibri"/>
        </w:rPr>
      </w:pPr>
      <w:r>
        <w:rPr>
          <w:rFonts w:eastAsia="Calibri"/>
        </w:rPr>
        <w:t xml:space="preserve">Saxton, A.M. 2010. </w:t>
      </w:r>
      <w:r w:rsidRPr="00465A44">
        <w:rPr>
          <w:rFonts w:eastAsia="Calibri"/>
        </w:rPr>
        <w:t xml:space="preserve">Design and Analysis Web Guide. DAWG Web site. Available online: </w:t>
      </w:r>
      <w:hyperlink r:id="rId8" w:history="1">
        <w:r w:rsidRPr="009B3E44">
          <w:rPr>
            <w:rStyle w:val="Hyperlink"/>
            <w:rFonts w:eastAsia="Calibri"/>
          </w:rPr>
          <w:t>http://dawg.utk.edu/</w:t>
        </w:r>
      </w:hyperlink>
      <w:r>
        <w:rPr>
          <w:rFonts w:eastAsia="Calibri"/>
        </w:rPr>
        <w:t xml:space="preserve"> </w:t>
      </w:r>
      <w:r w:rsidRPr="00465A44">
        <w:rPr>
          <w:rFonts w:eastAsia="Calibri"/>
        </w:rPr>
        <w:t xml:space="preserve">(accessed on </w:t>
      </w:r>
      <w:r>
        <w:rPr>
          <w:rFonts w:eastAsia="Calibri"/>
        </w:rPr>
        <w:t>7</w:t>
      </w:r>
      <w:r w:rsidRPr="00465A44">
        <w:rPr>
          <w:rFonts w:eastAsia="Calibri"/>
        </w:rPr>
        <w:t xml:space="preserve"> June 2011).</w:t>
      </w:r>
    </w:p>
    <w:p w:rsidR="003A610C" w:rsidRPr="003A59F2" w:rsidRDefault="00ED1079" w:rsidP="003A59F2">
      <w:pPr>
        <w:autoSpaceDE w:val="0"/>
        <w:autoSpaceDN w:val="0"/>
        <w:adjustRightInd w:val="0"/>
        <w:spacing w:line="480" w:lineRule="auto"/>
        <w:ind w:left="720" w:hanging="720"/>
        <w:rPr>
          <w:rFonts w:eastAsia="Calibri"/>
        </w:rPr>
      </w:pPr>
      <w:r w:rsidRPr="00E87A77">
        <w:rPr>
          <w:rFonts w:eastAsia="Calibri"/>
          <w:color w:val="000000"/>
        </w:rPr>
        <w:t>United States Golf Association. 2007. Green section recommendations for a method of putting green construction. Available at:  http;//www.usga.org/course_care/articles/construction/greens/Green-Section-Recommendations-For-A-Method-Of-Putting-Green-Construction/ (verified 9 Nov. 2012). United States Golf Association, Far Hills, NJ</w:t>
      </w:r>
      <w:r w:rsidR="003A59F2">
        <w:rPr>
          <w:rFonts w:eastAsia="Calibri"/>
          <w:color w:val="000000"/>
        </w:rPr>
        <w:t>.</w:t>
      </w:r>
    </w:p>
    <w:p w:rsidR="003A610C" w:rsidRDefault="003A610C" w:rsidP="00067052">
      <w:pPr>
        <w:rPr>
          <w:rFonts w:ascii="Arial" w:hAnsi="Arial" w:cs="Arial"/>
        </w:rPr>
      </w:pPr>
    </w:p>
    <w:p w:rsidR="003A610C" w:rsidRDefault="003A610C" w:rsidP="00067052">
      <w:pPr>
        <w:rPr>
          <w:rFonts w:ascii="Arial" w:hAnsi="Arial" w:cs="Arial"/>
        </w:rPr>
      </w:pPr>
    </w:p>
    <w:tbl>
      <w:tblPr>
        <w:tblW w:w="7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07"/>
        <w:gridCol w:w="2064"/>
        <w:gridCol w:w="2249"/>
        <w:gridCol w:w="124"/>
        <w:gridCol w:w="1435"/>
      </w:tblGrid>
      <w:tr w:rsidR="00067052" w:rsidRPr="00314322" w:rsidTr="00ED1079">
        <w:trPr>
          <w:trHeight w:val="575"/>
          <w:jc w:val="center"/>
        </w:trPr>
        <w:tc>
          <w:tcPr>
            <w:tcW w:w="7979" w:type="dxa"/>
            <w:gridSpan w:val="5"/>
            <w:tcBorders>
              <w:top w:val="nil"/>
              <w:left w:val="nil"/>
              <w:bottom w:val="single" w:sz="4" w:space="0" w:color="auto"/>
              <w:right w:val="nil"/>
            </w:tcBorders>
            <w:shd w:val="clear" w:color="auto" w:fill="auto"/>
            <w:vAlign w:val="center"/>
          </w:tcPr>
          <w:p w:rsidR="00067052" w:rsidRPr="0082164C" w:rsidRDefault="00067052" w:rsidP="004C3C30">
            <w:pPr>
              <w:rPr>
                <w:rFonts w:eastAsia="Calibri"/>
                <w:b/>
                <w:sz w:val="23"/>
                <w:szCs w:val="23"/>
              </w:rPr>
            </w:pPr>
            <w:r w:rsidRPr="0082164C">
              <w:rPr>
                <w:rFonts w:eastAsia="Calibri"/>
                <w:b/>
                <w:sz w:val="23"/>
                <w:szCs w:val="23"/>
              </w:rPr>
              <w:t xml:space="preserve">Table 1. Summer fungicide program integrated with strobilurin fungicides. </w:t>
            </w:r>
          </w:p>
        </w:tc>
      </w:tr>
      <w:tr w:rsidR="00067052" w:rsidRPr="00314322" w:rsidTr="00BD403B">
        <w:trPr>
          <w:trHeight w:val="575"/>
          <w:jc w:val="center"/>
        </w:trPr>
        <w:tc>
          <w:tcPr>
            <w:tcW w:w="2107" w:type="dxa"/>
            <w:tcBorders>
              <w:left w:val="nil"/>
              <w:bottom w:val="single" w:sz="4" w:space="0" w:color="auto"/>
              <w:right w:val="nil"/>
            </w:tcBorders>
            <w:shd w:val="clear" w:color="auto" w:fill="auto"/>
            <w:vAlign w:val="center"/>
          </w:tcPr>
          <w:p w:rsidR="00067052" w:rsidRPr="00314322" w:rsidRDefault="00067052" w:rsidP="004C3C30">
            <w:pPr>
              <w:jc w:val="center"/>
              <w:rPr>
                <w:rFonts w:eastAsia="Calibri"/>
                <w:b/>
                <w:sz w:val="22"/>
                <w:szCs w:val="22"/>
              </w:rPr>
            </w:pPr>
            <w:r w:rsidRPr="00314322">
              <w:rPr>
                <w:rFonts w:eastAsia="Calibri"/>
                <w:b/>
                <w:sz w:val="22"/>
                <w:szCs w:val="22"/>
              </w:rPr>
              <w:t>Application interval</w:t>
            </w:r>
            <w:r w:rsidRPr="00136C24">
              <w:rPr>
                <w:rFonts w:eastAsia="Calibri"/>
                <w:b/>
                <w:sz w:val="22"/>
                <w:szCs w:val="22"/>
                <w:vertAlign w:val="superscript"/>
              </w:rPr>
              <w:t>†</w:t>
            </w:r>
          </w:p>
        </w:tc>
        <w:tc>
          <w:tcPr>
            <w:tcW w:w="2064" w:type="dxa"/>
            <w:tcBorders>
              <w:left w:val="nil"/>
              <w:bottom w:val="single" w:sz="4" w:space="0" w:color="auto"/>
              <w:right w:val="nil"/>
            </w:tcBorders>
            <w:shd w:val="clear" w:color="auto" w:fill="auto"/>
            <w:vAlign w:val="center"/>
          </w:tcPr>
          <w:p w:rsidR="00067052" w:rsidRPr="00314322" w:rsidRDefault="00067052" w:rsidP="004C3C30">
            <w:pPr>
              <w:jc w:val="center"/>
              <w:rPr>
                <w:rFonts w:eastAsia="Calibri"/>
                <w:b/>
                <w:sz w:val="22"/>
                <w:szCs w:val="22"/>
              </w:rPr>
            </w:pPr>
            <w:r w:rsidRPr="00314322">
              <w:rPr>
                <w:rFonts w:eastAsia="Calibri"/>
                <w:b/>
                <w:sz w:val="22"/>
                <w:szCs w:val="22"/>
              </w:rPr>
              <w:t>Fungicide</w:t>
            </w:r>
            <w:r w:rsidRPr="00136C24">
              <w:rPr>
                <w:rFonts w:eastAsia="Calibri"/>
                <w:b/>
                <w:sz w:val="22"/>
                <w:szCs w:val="22"/>
                <w:vertAlign w:val="superscript"/>
              </w:rPr>
              <w:t>‡</w:t>
            </w:r>
          </w:p>
        </w:tc>
        <w:tc>
          <w:tcPr>
            <w:tcW w:w="2249" w:type="dxa"/>
            <w:tcBorders>
              <w:left w:val="nil"/>
              <w:bottom w:val="single" w:sz="4" w:space="0" w:color="auto"/>
              <w:right w:val="nil"/>
            </w:tcBorders>
            <w:shd w:val="clear" w:color="auto" w:fill="auto"/>
            <w:vAlign w:val="center"/>
          </w:tcPr>
          <w:p w:rsidR="00067052" w:rsidRPr="00314322" w:rsidRDefault="00BD403B" w:rsidP="004C3C30">
            <w:pPr>
              <w:jc w:val="center"/>
              <w:rPr>
                <w:rFonts w:eastAsia="Calibri"/>
                <w:b/>
                <w:sz w:val="22"/>
                <w:szCs w:val="22"/>
              </w:rPr>
            </w:pPr>
            <w:r>
              <w:rPr>
                <w:rFonts w:eastAsia="Calibri"/>
                <w:b/>
                <w:sz w:val="22"/>
                <w:szCs w:val="22"/>
              </w:rPr>
              <w:t xml:space="preserve">  </w:t>
            </w:r>
            <w:r w:rsidR="00067052" w:rsidRPr="00314322">
              <w:rPr>
                <w:rFonts w:eastAsia="Calibri"/>
                <w:b/>
                <w:sz w:val="22"/>
                <w:szCs w:val="22"/>
              </w:rPr>
              <w:t>Fungicide class</w:t>
            </w:r>
          </w:p>
        </w:tc>
        <w:tc>
          <w:tcPr>
            <w:tcW w:w="1559" w:type="dxa"/>
            <w:gridSpan w:val="2"/>
            <w:tcBorders>
              <w:left w:val="nil"/>
              <w:bottom w:val="single" w:sz="4" w:space="0" w:color="auto"/>
              <w:right w:val="nil"/>
            </w:tcBorders>
            <w:shd w:val="clear" w:color="auto" w:fill="auto"/>
            <w:vAlign w:val="center"/>
          </w:tcPr>
          <w:p w:rsidR="00067052" w:rsidRPr="00314322" w:rsidRDefault="00067052" w:rsidP="004C3C30">
            <w:pPr>
              <w:jc w:val="center"/>
              <w:rPr>
                <w:rFonts w:eastAsia="Calibri"/>
                <w:b/>
                <w:sz w:val="22"/>
                <w:szCs w:val="22"/>
              </w:rPr>
            </w:pPr>
            <w:r w:rsidRPr="00314322">
              <w:rPr>
                <w:rFonts w:eastAsia="Calibri"/>
                <w:b/>
                <w:sz w:val="22"/>
                <w:szCs w:val="22"/>
              </w:rPr>
              <w:t>Rate (kg ha</w:t>
            </w:r>
            <w:r w:rsidRPr="00314322">
              <w:rPr>
                <w:rFonts w:eastAsia="Calibri"/>
                <w:b/>
                <w:sz w:val="22"/>
                <w:szCs w:val="22"/>
                <w:vertAlign w:val="superscript"/>
              </w:rPr>
              <w:t>-1</w:t>
            </w:r>
            <w:r w:rsidRPr="00314322">
              <w:rPr>
                <w:rFonts w:eastAsia="Calibri"/>
                <w:b/>
                <w:sz w:val="22"/>
                <w:szCs w:val="22"/>
              </w:rPr>
              <w:t>)</w:t>
            </w:r>
          </w:p>
        </w:tc>
      </w:tr>
      <w:tr w:rsidR="00067052" w:rsidRPr="00314322" w:rsidTr="00ED1079">
        <w:trPr>
          <w:trHeight w:val="543"/>
          <w:jc w:val="center"/>
        </w:trPr>
        <w:tc>
          <w:tcPr>
            <w:tcW w:w="2107" w:type="dxa"/>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1,7,8</w:t>
            </w:r>
          </w:p>
        </w:tc>
        <w:tc>
          <w:tcPr>
            <w:tcW w:w="2064" w:type="dxa"/>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Iprodione</w:t>
            </w:r>
          </w:p>
        </w:tc>
        <w:tc>
          <w:tcPr>
            <w:tcW w:w="2373" w:type="dxa"/>
            <w:gridSpan w:val="2"/>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Dicarboximide</w:t>
            </w:r>
          </w:p>
        </w:tc>
        <w:tc>
          <w:tcPr>
            <w:tcW w:w="1435" w:type="dxa"/>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3.05</w:t>
            </w:r>
          </w:p>
        </w:tc>
      </w:tr>
      <w:tr w:rsidR="00067052" w:rsidRPr="00314322" w:rsidTr="00ED1079">
        <w:trPr>
          <w:trHeight w:val="575"/>
          <w:jc w:val="center"/>
        </w:trPr>
        <w:tc>
          <w:tcPr>
            <w:tcW w:w="2107" w:type="dxa"/>
            <w:tcBorders>
              <w:top w:val="single" w:sz="4" w:space="0" w:color="auto"/>
              <w:left w:val="nil"/>
              <w:bottom w:val="single" w:sz="4" w:space="0" w:color="auto"/>
              <w:right w:val="nil"/>
            </w:tcBorders>
            <w:shd w:val="clear" w:color="auto" w:fill="auto"/>
            <w:vAlign w:val="center"/>
          </w:tcPr>
          <w:p w:rsidR="00067052" w:rsidRPr="00314322" w:rsidRDefault="00067052" w:rsidP="00ED1079">
            <w:pPr>
              <w:jc w:val="center"/>
              <w:rPr>
                <w:rFonts w:eastAsia="Calibri"/>
                <w:sz w:val="22"/>
                <w:szCs w:val="22"/>
              </w:rPr>
            </w:pPr>
            <w:r w:rsidRPr="00314322">
              <w:rPr>
                <w:rFonts w:eastAsia="Calibri"/>
                <w:sz w:val="22"/>
                <w:szCs w:val="22"/>
              </w:rPr>
              <w:t>2,5</w:t>
            </w:r>
          </w:p>
        </w:tc>
        <w:tc>
          <w:tcPr>
            <w:tcW w:w="2064" w:type="dxa"/>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Strobilurin</w:t>
            </w:r>
            <w:r w:rsidR="00ED1079" w:rsidRPr="00136C24">
              <w:rPr>
                <w:rFonts w:eastAsia="Calibri"/>
                <w:sz w:val="22"/>
                <w:szCs w:val="22"/>
                <w:vertAlign w:val="superscript"/>
              </w:rPr>
              <w:t>§</w:t>
            </w:r>
          </w:p>
        </w:tc>
        <w:tc>
          <w:tcPr>
            <w:tcW w:w="2373" w:type="dxa"/>
            <w:gridSpan w:val="2"/>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Quinone outside inhibitor</w:t>
            </w:r>
          </w:p>
        </w:tc>
        <w:tc>
          <w:tcPr>
            <w:tcW w:w="1435" w:type="dxa"/>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p>
        </w:tc>
      </w:tr>
      <w:tr w:rsidR="00067052" w:rsidRPr="00314322" w:rsidTr="00ED1079">
        <w:trPr>
          <w:trHeight w:val="575"/>
          <w:jc w:val="center"/>
        </w:trPr>
        <w:tc>
          <w:tcPr>
            <w:tcW w:w="2107" w:type="dxa"/>
            <w:vMerge w:val="restart"/>
            <w:tcBorders>
              <w:top w:val="single" w:sz="4" w:space="0" w:color="auto"/>
              <w:left w:val="nil"/>
              <w:bottom w:val="nil"/>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3</w:t>
            </w:r>
          </w:p>
        </w:tc>
        <w:tc>
          <w:tcPr>
            <w:tcW w:w="2064" w:type="dxa"/>
            <w:tcBorders>
              <w:top w:val="single" w:sz="4" w:space="0" w:color="auto"/>
              <w:left w:val="nil"/>
              <w:bottom w:val="nil"/>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Thiophanate-methyl</w:t>
            </w:r>
          </w:p>
        </w:tc>
        <w:tc>
          <w:tcPr>
            <w:tcW w:w="2373" w:type="dxa"/>
            <w:gridSpan w:val="2"/>
            <w:tcBorders>
              <w:top w:val="single" w:sz="4" w:space="0" w:color="auto"/>
              <w:left w:val="nil"/>
              <w:bottom w:val="nil"/>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Benzimidazole</w:t>
            </w:r>
          </w:p>
        </w:tc>
        <w:tc>
          <w:tcPr>
            <w:tcW w:w="1435" w:type="dxa"/>
            <w:tcBorders>
              <w:top w:val="single" w:sz="4" w:space="0" w:color="auto"/>
              <w:left w:val="nil"/>
              <w:bottom w:val="nil"/>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3.16</w:t>
            </w:r>
          </w:p>
        </w:tc>
      </w:tr>
      <w:tr w:rsidR="00067052" w:rsidRPr="00314322" w:rsidTr="00ED1079">
        <w:trPr>
          <w:trHeight w:val="575"/>
          <w:jc w:val="center"/>
        </w:trPr>
        <w:tc>
          <w:tcPr>
            <w:tcW w:w="2107" w:type="dxa"/>
            <w:vMerge/>
            <w:tcBorders>
              <w:top w:val="nil"/>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p>
        </w:tc>
        <w:tc>
          <w:tcPr>
            <w:tcW w:w="2064" w:type="dxa"/>
            <w:tcBorders>
              <w:top w:val="nil"/>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Chl</w:t>
            </w:r>
            <w:r w:rsidR="00ED1079">
              <w:rPr>
                <w:rFonts w:eastAsia="Calibri"/>
                <w:sz w:val="22"/>
                <w:szCs w:val="22"/>
              </w:rPr>
              <w:t>o</w:t>
            </w:r>
            <w:r w:rsidRPr="00314322">
              <w:rPr>
                <w:rFonts w:eastAsia="Calibri"/>
                <w:sz w:val="22"/>
                <w:szCs w:val="22"/>
              </w:rPr>
              <w:t>rothalonil</w:t>
            </w:r>
          </w:p>
        </w:tc>
        <w:tc>
          <w:tcPr>
            <w:tcW w:w="2373" w:type="dxa"/>
            <w:gridSpan w:val="2"/>
            <w:tcBorders>
              <w:top w:val="nil"/>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Benzonitrile</w:t>
            </w:r>
          </w:p>
        </w:tc>
        <w:tc>
          <w:tcPr>
            <w:tcW w:w="1435" w:type="dxa"/>
            <w:tcBorders>
              <w:top w:val="nil"/>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12.65</w:t>
            </w:r>
          </w:p>
        </w:tc>
      </w:tr>
      <w:tr w:rsidR="00067052" w:rsidRPr="00314322" w:rsidTr="00ED1079">
        <w:trPr>
          <w:trHeight w:val="575"/>
          <w:jc w:val="center"/>
        </w:trPr>
        <w:tc>
          <w:tcPr>
            <w:tcW w:w="2107" w:type="dxa"/>
            <w:vMerge w:val="restart"/>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4,6</w:t>
            </w:r>
          </w:p>
        </w:tc>
        <w:tc>
          <w:tcPr>
            <w:tcW w:w="2064" w:type="dxa"/>
            <w:tcBorders>
              <w:top w:val="single" w:sz="4" w:space="0" w:color="auto"/>
              <w:left w:val="nil"/>
              <w:bottom w:val="nil"/>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Fosetyl Aluminum</w:t>
            </w:r>
          </w:p>
        </w:tc>
        <w:tc>
          <w:tcPr>
            <w:tcW w:w="2373" w:type="dxa"/>
            <w:gridSpan w:val="2"/>
            <w:tcBorders>
              <w:top w:val="single" w:sz="4" w:space="0" w:color="auto"/>
              <w:left w:val="nil"/>
              <w:bottom w:val="nil"/>
              <w:right w:val="nil"/>
            </w:tcBorders>
            <w:shd w:val="clear" w:color="auto" w:fill="auto"/>
            <w:vAlign w:val="center"/>
          </w:tcPr>
          <w:p w:rsidR="00067052" w:rsidRPr="00314322" w:rsidRDefault="00ED1079" w:rsidP="004C3C30">
            <w:pPr>
              <w:jc w:val="center"/>
              <w:rPr>
                <w:rFonts w:eastAsia="Calibri"/>
                <w:sz w:val="22"/>
                <w:szCs w:val="22"/>
              </w:rPr>
            </w:pPr>
            <w:r>
              <w:rPr>
                <w:rFonts w:eastAsia="Calibri"/>
                <w:sz w:val="22"/>
                <w:szCs w:val="22"/>
              </w:rPr>
              <w:t>P</w:t>
            </w:r>
            <w:r w:rsidR="00067052" w:rsidRPr="00314322">
              <w:rPr>
                <w:rFonts w:eastAsia="Calibri"/>
                <w:sz w:val="22"/>
                <w:szCs w:val="22"/>
              </w:rPr>
              <w:t>hosphonate</w:t>
            </w:r>
          </w:p>
        </w:tc>
        <w:tc>
          <w:tcPr>
            <w:tcW w:w="1435" w:type="dxa"/>
            <w:tcBorders>
              <w:top w:val="single" w:sz="4" w:space="0" w:color="auto"/>
              <w:left w:val="nil"/>
              <w:bottom w:val="nil"/>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9.76</w:t>
            </w:r>
          </w:p>
        </w:tc>
      </w:tr>
      <w:tr w:rsidR="00067052" w:rsidRPr="00314322" w:rsidTr="00ED1079">
        <w:trPr>
          <w:trHeight w:val="575"/>
          <w:jc w:val="center"/>
        </w:trPr>
        <w:tc>
          <w:tcPr>
            <w:tcW w:w="2107" w:type="dxa"/>
            <w:vMerge/>
            <w:tcBorders>
              <w:top w:val="single" w:sz="4" w:space="0" w:color="auto"/>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p>
        </w:tc>
        <w:tc>
          <w:tcPr>
            <w:tcW w:w="2064" w:type="dxa"/>
            <w:tcBorders>
              <w:top w:val="nil"/>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Chlorothalonil</w:t>
            </w:r>
          </w:p>
        </w:tc>
        <w:tc>
          <w:tcPr>
            <w:tcW w:w="2373" w:type="dxa"/>
            <w:gridSpan w:val="2"/>
            <w:tcBorders>
              <w:top w:val="nil"/>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Benzonitrile</w:t>
            </w:r>
          </w:p>
        </w:tc>
        <w:tc>
          <w:tcPr>
            <w:tcW w:w="1435" w:type="dxa"/>
            <w:tcBorders>
              <w:top w:val="nil"/>
              <w:left w:val="nil"/>
              <w:bottom w:val="single" w:sz="4" w:space="0" w:color="auto"/>
              <w:right w:val="nil"/>
            </w:tcBorders>
            <w:shd w:val="clear" w:color="auto" w:fill="auto"/>
            <w:vAlign w:val="center"/>
          </w:tcPr>
          <w:p w:rsidR="00067052" w:rsidRPr="00314322" w:rsidRDefault="00067052" w:rsidP="004C3C30">
            <w:pPr>
              <w:jc w:val="center"/>
              <w:rPr>
                <w:rFonts w:eastAsia="Calibri"/>
                <w:sz w:val="22"/>
                <w:szCs w:val="22"/>
              </w:rPr>
            </w:pPr>
            <w:r w:rsidRPr="00314322">
              <w:rPr>
                <w:rFonts w:eastAsia="Calibri"/>
                <w:sz w:val="22"/>
                <w:szCs w:val="22"/>
              </w:rPr>
              <w:t>8.05</w:t>
            </w:r>
          </w:p>
        </w:tc>
      </w:tr>
      <w:tr w:rsidR="00067052" w:rsidRPr="00314322" w:rsidTr="00ED1079">
        <w:trPr>
          <w:trHeight w:val="302"/>
          <w:jc w:val="center"/>
        </w:trPr>
        <w:tc>
          <w:tcPr>
            <w:tcW w:w="7979" w:type="dxa"/>
            <w:gridSpan w:val="5"/>
            <w:tcBorders>
              <w:left w:val="nil"/>
              <w:bottom w:val="nil"/>
              <w:right w:val="nil"/>
            </w:tcBorders>
            <w:shd w:val="clear" w:color="auto" w:fill="auto"/>
            <w:vAlign w:val="center"/>
          </w:tcPr>
          <w:p w:rsidR="00067052" w:rsidRPr="00314322" w:rsidRDefault="00067052" w:rsidP="004C3C30">
            <w:pPr>
              <w:rPr>
                <w:rFonts w:eastAsia="Calibri"/>
                <w:sz w:val="20"/>
                <w:szCs w:val="20"/>
              </w:rPr>
            </w:pPr>
            <w:r w:rsidRPr="00314322">
              <w:rPr>
                <w:rFonts w:eastAsia="Calibri"/>
                <w:sz w:val="20"/>
                <w:szCs w:val="20"/>
              </w:rPr>
              <w:t xml:space="preserve">† Applications were initiated on 17-MAY in 2011. Subsequent applications were made on 14-day intervals. </w:t>
            </w:r>
          </w:p>
        </w:tc>
      </w:tr>
      <w:tr w:rsidR="00067052" w:rsidRPr="00314322" w:rsidTr="00ED1079">
        <w:trPr>
          <w:trHeight w:val="302"/>
          <w:jc w:val="center"/>
        </w:trPr>
        <w:tc>
          <w:tcPr>
            <w:tcW w:w="7979" w:type="dxa"/>
            <w:gridSpan w:val="5"/>
            <w:tcBorders>
              <w:top w:val="nil"/>
              <w:left w:val="nil"/>
              <w:bottom w:val="nil"/>
              <w:right w:val="nil"/>
            </w:tcBorders>
            <w:shd w:val="clear" w:color="auto" w:fill="auto"/>
            <w:vAlign w:val="center"/>
          </w:tcPr>
          <w:p w:rsidR="00067052" w:rsidRPr="00314322" w:rsidRDefault="00067052" w:rsidP="004C3C30">
            <w:pPr>
              <w:rPr>
                <w:rFonts w:eastAsia="Calibri"/>
                <w:sz w:val="20"/>
                <w:szCs w:val="20"/>
              </w:rPr>
            </w:pPr>
            <w:r w:rsidRPr="00314322">
              <w:rPr>
                <w:rFonts w:eastAsia="Calibri"/>
                <w:sz w:val="20"/>
                <w:szCs w:val="20"/>
              </w:rPr>
              <w:t>‡ Fungicides were applied using two, flat-fan, nozzles calibrated to deliver a spray volume of 807 L per ha</w:t>
            </w:r>
            <w:r w:rsidRPr="00314322">
              <w:rPr>
                <w:rFonts w:eastAsia="Calibri"/>
                <w:sz w:val="20"/>
                <w:szCs w:val="20"/>
                <w:vertAlign w:val="superscript"/>
              </w:rPr>
              <w:t>-1</w:t>
            </w:r>
            <w:r w:rsidRPr="00314322">
              <w:rPr>
                <w:rFonts w:eastAsia="Calibri"/>
                <w:sz w:val="20"/>
                <w:szCs w:val="20"/>
              </w:rPr>
              <w:t xml:space="preserve">. </w:t>
            </w:r>
          </w:p>
        </w:tc>
      </w:tr>
      <w:tr w:rsidR="00067052" w:rsidRPr="00314322" w:rsidTr="00ED1079">
        <w:trPr>
          <w:trHeight w:val="302"/>
          <w:jc w:val="center"/>
        </w:trPr>
        <w:tc>
          <w:tcPr>
            <w:tcW w:w="7979" w:type="dxa"/>
            <w:gridSpan w:val="5"/>
            <w:tcBorders>
              <w:top w:val="nil"/>
              <w:left w:val="nil"/>
              <w:bottom w:val="nil"/>
              <w:right w:val="nil"/>
            </w:tcBorders>
            <w:shd w:val="clear" w:color="auto" w:fill="auto"/>
            <w:vAlign w:val="center"/>
          </w:tcPr>
          <w:p w:rsidR="00067052" w:rsidRPr="00314322" w:rsidRDefault="00067052" w:rsidP="004C3C30">
            <w:pPr>
              <w:rPr>
                <w:rFonts w:eastAsia="Calibri"/>
                <w:sz w:val="20"/>
                <w:szCs w:val="20"/>
              </w:rPr>
            </w:pPr>
            <w:r w:rsidRPr="00314322">
              <w:rPr>
                <w:rFonts w:eastAsia="Calibri"/>
                <w:sz w:val="20"/>
                <w:szCs w:val="20"/>
              </w:rPr>
              <w:t xml:space="preserve">§ Azoxystrobin, Pyraclostrobin, and Fluoxastrobin were applied at rates </w:t>
            </w:r>
            <w:r w:rsidRPr="00314322">
              <w:rPr>
                <w:rFonts w:eastAsia="Calibri"/>
                <w:color w:val="000033"/>
                <w:sz w:val="20"/>
                <w:szCs w:val="20"/>
              </w:rPr>
              <w:t>0.55, 0.61, and 0.55, kg ha</w:t>
            </w:r>
            <w:r w:rsidRPr="00314322">
              <w:rPr>
                <w:rFonts w:eastAsia="Calibri"/>
                <w:color w:val="000033"/>
                <w:sz w:val="20"/>
                <w:szCs w:val="20"/>
                <w:vertAlign w:val="superscript"/>
              </w:rPr>
              <w:t>-1</w:t>
            </w:r>
            <w:r w:rsidRPr="00314322">
              <w:rPr>
                <w:rFonts w:eastAsia="Calibri"/>
                <w:color w:val="000033"/>
                <w:sz w:val="20"/>
                <w:szCs w:val="20"/>
              </w:rPr>
              <w:t>, respectively, on the 2</w:t>
            </w:r>
            <w:r w:rsidRPr="00314322">
              <w:rPr>
                <w:rFonts w:eastAsia="Calibri"/>
                <w:color w:val="000033"/>
                <w:sz w:val="20"/>
                <w:szCs w:val="20"/>
                <w:vertAlign w:val="superscript"/>
              </w:rPr>
              <w:t>nd</w:t>
            </w:r>
            <w:r w:rsidRPr="00314322">
              <w:rPr>
                <w:rFonts w:eastAsia="Calibri"/>
                <w:color w:val="000033"/>
                <w:sz w:val="20"/>
                <w:szCs w:val="20"/>
              </w:rPr>
              <w:t xml:space="preserve"> and 5</w:t>
            </w:r>
            <w:r w:rsidRPr="00314322">
              <w:rPr>
                <w:rFonts w:eastAsia="Calibri"/>
                <w:color w:val="000033"/>
                <w:sz w:val="20"/>
                <w:szCs w:val="20"/>
                <w:vertAlign w:val="superscript"/>
              </w:rPr>
              <w:t>th</w:t>
            </w:r>
            <w:r w:rsidRPr="00314322">
              <w:rPr>
                <w:rFonts w:eastAsia="Calibri"/>
                <w:color w:val="000033"/>
                <w:sz w:val="20"/>
                <w:szCs w:val="20"/>
              </w:rPr>
              <w:t xml:space="preserve"> application interval. </w:t>
            </w:r>
          </w:p>
        </w:tc>
      </w:tr>
    </w:tbl>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Default="00067052" w:rsidP="00067052">
      <w:pPr>
        <w:spacing w:line="480" w:lineRule="auto"/>
        <w:rPr>
          <w:b/>
        </w:rPr>
      </w:pPr>
    </w:p>
    <w:p w:rsidR="00067052" w:rsidRDefault="00067052" w:rsidP="00067052">
      <w:pPr>
        <w:spacing w:line="480" w:lineRule="auto"/>
        <w:rPr>
          <w:b/>
        </w:rPr>
      </w:pPr>
      <w:r>
        <w:rPr>
          <w:b/>
          <w:noProof/>
        </w:rPr>
        <w:lastRenderedPageBreak/>
        <w:drawing>
          <wp:inline distT="0" distB="0" distL="0" distR="0">
            <wp:extent cx="5181600" cy="3886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lity.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81600" cy="3886200"/>
                    </a:xfrm>
                    <a:prstGeom prst="rect">
                      <a:avLst/>
                    </a:prstGeom>
                  </pic:spPr>
                </pic:pic>
              </a:graphicData>
            </a:graphic>
          </wp:inline>
        </w:drawing>
      </w:r>
    </w:p>
    <w:p w:rsidR="00067052" w:rsidRPr="00314322" w:rsidRDefault="00067052" w:rsidP="00067052">
      <w:pPr>
        <w:spacing w:line="480" w:lineRule="auto"/>
      </w:pPr>
      <w:r w:rsidRPr="00314322">
        <w:rPr>
          <w:b/>
        </w:rPr>
        <w:t>Figure 1.</w:t>
      </w:r>
      <w:r w:rsidRPr="00314322">
        <w:t xml:space="preserve">  Area </w:t>
      </w:r>
      <w:r w:rsidR="003A59F2">
        <w:t>under the v</w:t>
      </w:r>
      <w:r w:rsidRPr="00314322">
        <w:t>is</w:t>
      </w:r>
      <w:r w:rsidR="003A59F2">
        <w:t>ual q</w:t>
      </w:r>
      <w:r w:rsidRPr="00314322">
        <w:t xml:space="preserve">uality </w:t>
      </w:r>
      <w:r w:rsidR="003A59F2">
        <w:t>p</w:t>
      </w:r>
      <w:r w:rsidRPr="00314322">
        <w:t xml:space="preserve">rogress </w:t>
      </w:r>
      <w:r w:rsidR="003A59F2">
        <w:t>c</w:t>
      </w:r>
      <w:r w:rsidRPr="00314322">
        <w:t xml:space="preserve">urve values (AUVQPC) in response to strobilurin programs in Florence, SC. AUVQPC were calculated from visual turfgrass quality data collected for 13 rating dates. Bars followed by the same letter are not significantly different according to Fisher’s protected least significant difference. </w:t>
      </w:r>
    </w:p>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Default="00067052" w:rsidP="00067052"/>
    <w:p w:rsidR="0060478E" w:rsidRDefault="0060478E" w:rsidP="00067052"/>
    <w:p w:rsidR="0060478E" w:rsidRDefault="0060478E" w:rsidP="00067052"/>
    <w:p w:rsidR="0060478E" w:rsidRDefault="0060478E" w:rsidP="00067052"/>
    <w:p w:rsidR="0060478E" w:rsidRDefault="0060478E" w:rsidP="00067052"/>
    <w:p w:rsidR="0060478E" w:rsidRPr="00314322" w:rsidRDefault="0060478E" w:rsidP="00067052"/>
    <w:tbl>
      <w:tblPr>
        <w:tblpPr w:leftFromText="180" w:rightFromText="180" w:vertAnchor="text" w:horzAnchor="margin" w:tblpY="74"/>
        <w:tblW w:w="8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92"/>
        <w:gridCol w:w="982"/>
        <w:gridCol w:w="974"/>
        <w:gridCol w:w="939"/>
        <w:gridCol w:w="900"/>
        <w:gridCol w:w="987"/>
      </w:tblGrid>
      <w:tr w:rsidR="0025718E" w:rsidRPr="0025718E" w:rsidTr="0025718E">
        <w:trPr>
          <w:trHeight w:val="449"/>
        </w:trPr>
        <w:tc>
          <w:tcPr>
            <w:tcW w:w="8374" w:type="dxa"/>
            <w:gridSpan w:val="6"/>
            <w:tcBorders>
              <w:top w:val="nil"/>
              <w:left w:val="nil"/>
              <w:right w:val="nil"/>
            </w:tcBorders>
            <w:vAlign w:val="bottom"/>
          </w:tcPr>
          <w:p w:rsidR="0025718E" w:rsidRPr="0025718E" w:rsidRDefault="0025718E" w:rsidP="0025718E">
            <w:pPr>
              <w:rPr>
                <w:b/>
                <w:sz w:val="23"/>
                <w:szCs w:val="23"/>
              </w:rPr>
            </w:pPr>
            <w:r w:rsidRPr="0025718E">
              <w:rPr>
                <w:rFonts w:eastAsia="Calibri"/>
                <w:b/>
                <w:bCs/>
                <w:sz w:val="23"/>
                <w:szCs w:val="23"/>
              </w:rPr>
              <w:lastRenderedPageBreak/>
              <w:t xml:space="preserve">Table 2. </w:t>
            </w:r>
            <w:r w:rsidRPr="0025718E">
              <w:rPr>
                <w:b/>
                <w:sz w:val="23"/>
                <w:szCs w:val="23"/>
              </w:rPr>
              <w:t xml:space="preserve"> Spectral reflectance measurements for normalized difference vegetation index (NDVI) in response to strobilurin fungicide programs.</w:t>
            </w:r>
            <w:r w:rsidRPr="0025718E">
              <w:rPr>
                <w:rFonts w:eastAsia="Calibri"/>
                <w:b/>
                <w:bCs/>
                <w:sz w:val="23"/>
                <w:szCs w:val="23"/>
              </w:rPr>
              <w:t xml:space="preserve"> Fungicide programs were located in Florence, SC, on a ‘</w:t>
            </w:r>
            <w:r w:rsidRPr="0025718E">
              <w:rPr>
                <w:b/>
                <w:sz w:val="23"/>
                <w:szCs w:val="23"/>
              </w:rPr>
              <w:t>Penn A-1</w:t>
            </w:r>
            <w:r w:rsidRPr="0025718E">
              <w:rPr>
                <w:rFonts w:eastAsia="Calibri"/>
                <w:b/>
                <w:bCs/>
                <w:sz w:val="23"/>
                <w:szCs w:val="23"/>
              </w:rPr>
              <w:t>’ creeping bentgrass (</w:t>
            </w:r>
            <w:r w:rsidRPr="0025718E">
              <w:rPr>
                <w:rFonts w:eastAsia="Calibri"/>
                <w:b/>
                <w:bCs/>
                <w:i/>
                <w:sz w:val="23"/>
                <w:szCs w:val="23"/>
              </w:rPr>
              <w:t>Agrostis stolonifera</w:t>
            </w:r>
            <w:r w:rsidRPr="0025718E">
              <w:rPr>
                <w:rFonts w:eastAsia="Calibri"/>
                <w:b/>
                <w:bCs/>
                <w:sz w:val="23"/>
                <w:szCs w:val="23"/>
              </w:rPr>
              <w:t xml:space="preserve"> L.) putting green.</w:t>
            </w:r>
          </w:p>
        </w:tc>
      </w:tr>
      <w:tr w:rsidR="0025718E" w:rsidRPr="0025718E" w:rsidTr="0025718E">
        <w:trPr>
          <w:trHeight w:val="336"/>
        </w:trPr>
        <w:tc>
          <w:tcPr>
            <w:tcW w:w="3592" w:type="dxa"/>
            <w:vMerge w:val="restart"/>
            <w:tcBorders>
              <w:left w:val="nil"/>
              <w:right w:val="nil"/>
            </w:tcBorders>
            <w:vAlign w:val="center"/>
          </w:tcPr>
          <w:p w:rsidR="0025718E" w:rsidRPr="0025718E" w:rsidRDefault="0025718E" w:rsidP="0025718E">
            <w:pPr>
              <w:jc w:val="center"/>
              <w:rPr>
                <w:b/>
                <w:sz w:val="22"/>
                <w:szCs w:val="22"/>
              </w:rPr>
            </w:pPr>
            <w:r w:rsidRPr="0025718E">
              <w:rPr>
                <w:b/>
                <w:sz w:val="22"/>
                <w:szCs w:val="22"/>
              </w:rPr>
              <w:t>Fungicide Program</w:t>
            </w:r>
            <w:r w:rsidRPr="0025718E">
              <w:rPr>
                <w:rFonts w:eastAsia="Cambria"/>
                <w:sz w:val="22"/>
                <w:szCs w:val="22"/>
                <w:vertAlign w:val="superscript"/>
              </w:rPr>
              <w:t>†</w:t>
            </w:r>
          </w:p>
        </w:tc>
        <w:tc>
          <w:tcPr>
            <w:tcW w:w="4782" w:type="dxa"/>
            <w:gridSpan w:val="5"/>
            <w:tcBorders>
              <w:left w:val="nil"/>
              <w:right w:val="nil"/>
            </w:tcBorders>
            <w:vAlign w:val="center"/>
          </w:tcPr>
          <w:p w:rsidR="0025718E" w:rsidRPr="0025718E" w:rsidRDefault="0025718E" w:rsidP="0025718E">
            <w:pPr>
              <w:jc w:val="center"/>
              <w:rPr>
                <w:b/>
                <w:sz w:val="22"/>
                <w:szCs w:val="22"/>
              </w:rPr>
            </w:pPr>
            <w:r w:rsidRPr="0025718E">
              <w:rPr>
                <w:b/>
                <w:sz w:val="22"/>
                <w:szCs w:val="22"/>
              </w:rPr>
              <w:t>NDVI</w:t>
            </w:r>
          </w:p>
        </w:tc>
      </w:tr>
      <w:tr w:rsidR="0025718E" w:rsidRPr="0025718E" w:rsidTr="0025718E">
        <w:trPr>
          <w:trHeight w:val="336"/>
        </w:trPr>
        <w:tc>
          <w:tcPr>
            <w:tcW w:w="3592" w:type="dxa"/>
            <w:vMerge/>
            <w:tcBorders>
              <w:left w:val="nil"/>
              <w:right w:val="nil"/>
            </w:tcBorders>
            <w:vAlign w:val="center"/>
          </w:tcPr>
          <w:p w:rsidR="0025718E" w:rsidRPr="0025718E" w:rsidRDefault="0025718E" w:rsidP="0025718E">
            <w:pPr>
              <w:jc w:val="center"/>
              <w:rPr>
                <w:b/>
                <w:sz w:val="22"/>
                <w:szCs w:val="22"/>
              </w:rPr>
            </w:pPr>
          </w:p>
        </w:tc>
        <w:tc>
          <w:tcPr>
            <w:tcW w:w="4782" w:type="dxa"/>
            <w:gridSpan w:val="5"/>
            <w:tcBorders>
              <w:left w:val="nil"/>
              <w:bottom w:val="single" w:sz="4" w:space="0" w:color="000000"/>
              <w:right w:val="nil"/>
            </w:tcBorders>
            <w:vAlign w:val="center"/>
          </w:tcPr>
          <w:p w:rsidR="0025718E" w:rsidRPr="0025718E" w:rsidRDefault="0025718E" w:rsidP="0025718E">
            <w:pPr>
              <w:jc w:val="center"/>
              <w:rPr>
                <w:b/>
                <w:sz w:val="22"/>
                <w:szCs w:val="22"/>
              </w:rPr>
            </w:pPr>
            <w:r w:rsidRPr="0025718E">
              <w:rPr>
                <w:b/>
                <w:sz w:val="22"/>
                <w:szCs w:val="22"/>
              </w:rPr>
              <w:t>Days after initial treatment</w:t>
            </w:r>
          </w:p>
        </w:tc>
      </w:tr>
      <w:tr w:rsidR="0025718E" w:rsidRPr="0025718E" w:rsidTr="0025718E">
        <w:trPr>
          <w:trHeight w:val="336"/>
        </w:trPr>
        <w:tc>
          <w:tcPr>
            <w:tcW w:w="3592" w:type="dxa"/>
            <w:vMerge/>
            <w:tcBorders>
              <w:left w:val="nil"/>
              <w:bottom w:val="single" w:sz="4" w:space="0" w:color="000000"/>
              <w:right w:val="nil"/>
            </w:tcBorders>
            <w:vAlign w:val="center"/>
          </w:tcPr>
          <w:p w:rsidR="0025718E" w:rsidRPr="0025718E" w:rsidRDefault="0025718E" w:rsidP="0025718E">
            <w:pPr>
              <w:jc w:val="center"/>
              <w:rPr>
                <w:b/>
                <w:sz w:val="22"/>
                <w:szCs w:val="22"/>
              </w:rPr>
            </w:pPr>
          </w:p>
        </w:tc>
        <w:tc>
          <w:tcPr>
            <w:tcW w:w="982" w:type="dxa"/>
            <w:tcBorders>
              <w:left w:val="nil"/>
              <w:bottom w:val="single" w:sz="4" w:space="0" w:color="000000"/>
              <w:right w:val="nil"/>
            </w:tcBorders>
            <w:vAlign w:val="center"/>
          </w:tcPr>
          <w:p w:rsidR="0025718E" w:rsidRPr="0025718E" w:rsidRDefault="0025718E" w:rsidP="0025718E">
            <w:pPr>
              <w:jc w:val="center"/>
              <w:rPr>
                <w:b/>
                <w:sz w:val="22"/>
                <w:szCs w:val="22"/>
              </w:rPr>
            </w:pPr>
            <w:r w:rsidRPr="0025718E">
              <w:rPr>
                <w:b/>
                <w:sz w:val="22"/>
                <w:szCs w:val="22"/>
              </w:rPr>
              <w:t>56</w:t>
            </w:r>
          </w:p>
        </w:tc>
        <w:tc>
          <w:tcPr>
            <w:tcW w:w="974" w:type="dxa"/>
            <w:tcBorders>
              <w:left w:val="nil"/>
              <w:bottom w:val="single" w:sz="4" w:space="0" w:color="000000"/>
              <w:right w:val="nil"/>
            </w:tcBorders>
            <w:vAlign w:val="center"/>
          </w:tcPr>
          <w:p w:rsidR="0025718E" w:rsidRPr="0025718E" w:rsidRDefault="0025718E" w:rsidP="0025718E">
            <w:pPr>
              <w:jc w:val="center"/>
              <w:rPr>
                <w:b/>
                <w:sz w:val="22"/>
                <w:szCs w:val="22"/>
              </w:rPr>
            </w:pPr>
            <w:r w:rsidRPr="0025718E">
              <w:rPr>
                <w:b/>
                <w:sz w:val="22"/>
                <w:szCs w:val="22"/>
              </w:rPr>
              <w:t>63</w:t>
            </w:r>
          </w:p>
        </w:tc>
        <w:tc>
          <w:tcPr>
            <w:tcW w:w="939" w:type="dxa"/>
            <w:tcBorders>
              <w:left w:val="nil"/>
              <w:bottom w:val="single" w:sz="4" w:space="0" w:color="000000"/>
              <w:right w:val="nil"/>
            </w:tcBorders>
            <w:vAlign w:val="center"/>
          </w:tcPr>
          <w:p w:rsidR="0025718E" w:rsidRPr="0025718E" w:rsidRDefault="0025718E" w:rsidP="0025718E">
            <w:pPr>
              <w:jc w:val="center"/>
              <w:rPr>
                <w:b/>
                <w:sz w:val="22"/>
                <w:szCs w:val="22"/>
              </w:rPr>
            </w:pPr>
            <w:r w:rsidRPr="0025718E">
              <w:rPr>
                <w:b/>
                <w:sz w:val="22"/>
                <w:szCs w:val="22"/>
              </w:rPr>
              <w:t>71</w:t>
            </w:r>
          </w:p>
        </w:tc>
        <w:tc>
          <w:tcPr>
            <w:tcW w:w="900" w:type="dxa"/>
            <w:tcBorders>
              <w:left w:val="nil"/>
              <w:bottom w:val="single" w:sz="4" w:space="0" w:color="000000"/>
              <w:right w:val="nil"/>
            </w:tcBorders>
            <w:vAlign w:val="center"/>
          </w:tcPr>
          <w:p w:rsidR="0025718E" w:rsidRPr="0025718E" w:rsidRDefault="0025718E" w:rsidP="0025718E">
            <w:pPr>
              <w:jc w:val="center"/>
              <w:rPr>
                <w:b/>
                <w:sz w:val="22"/>
                <w:szCs w:val="22"/>
              </w:rPr>
            </w:pPr>
            <w:r w:rsidRPr="0025718E">
              <w:rPr>
                <w:b/>
                <w:sz w:val="22"/>
                <w:szCs w:val="22"/>
              </w:rPr>
              <w:t>79</w:t>
            </w:r>
          </w:p>
        </w:tc>
        <w:tc>
          <w:tcPr>
            <w:tcW w:w="987" w:type="dxa"/>
            <w:tcBorders>
              <w:left w:val="nil"/>
              <w:bottom w:val="single" w:sz="4" w:space="0" w:color="000000"/>
              <w:right w:val="nil"/>
            </w:tcBorders>
            <w:vAlign w:val="center"/>
          </w:tcPr>
          <w:p w:rsidR="0025718E" w:rsidRPr="0025718E" w:rsidRDefault="0025718E" w:rsidP="0025718E">
            <w:pPr>
              <w:jc w:val="center"/>
              <w:rPr>
                <w:b/>
                <w:sz w:val="22"/>
                <w:szCs w:val="22"/>
                <w:vertAlign w:val="superscript"/>
              </w:rPr>
            </w:pPr>
            <w:r w:rsidRPr="0025718E">
              <w:rPr>
                <w:b/>
                <w:sz w:val="22"/>
                <w:szCs w:val="22"/>
              </w:rPr>
              <w:t>84</w:t>
            </w:r>
          </w:p>
        </w:tc>
      </w:tr>
      <w:tr w:rsidR="0025718E" w:rsidRPr="0025718E" w:rsidTr="0025718E">
        <w:trPr>
          <w:trHeight w:val="392"/>
        </w:trPr>
        <w:tc>
          <w:tcPr>
            <w:tcW w:w="3592" w:type="dxa"/>
            <w:tcBorders>
              <w:top w:val="nil"/>
              <w:left w:val="nil"/>
              <w:bottom w:val="nil"/>
              <w:right w:val="nil"/>
            </w:tcBorders>
            <w:vAlign w:val="center"/>
          </w:tcPr>
          <w:p w:rsidR="0025718E" w:rsidRPr="0025718E" w:rsidRDefault="0025718E" w:rsidP="0025718E">
            <w:pPr>
              <w:tabs>
                <w:tab w:val="left" w:pos="1780"/>
              </w:tabs>
              <w:ind w:left="-50" w:right="-45"/>
              <w:jc w:val="center"/>
              <w:rPr>
                <w:rFonts w:eastAsia="Cambria"/>
                <w:color w:val="000000"/>
                <w:sz w:val="22"/>
                <w:szCs w:val="22"/>
              </w:rPr>
            </w:pPr>
            <w:r w:rsidRPr="0025718E">
              <w:rPr>
                <w:rFonts w:eastAsia="Cambria"/>
                <w:color w:val="000000"/>
                <w:sz w:val="22"/>
                <w:szCs w:val="22"/>
              </w:rPr>
              <w:t>Pyraclostrobin</w:t>
            </w:r>
            <w:r w:rsidRPr="0025718E">
              <w:rPr>
                <w:sz w:val="22"/>
                <w:szCs w:val="22"/>
                <w:vertAlign w:val="superscript"/>
              </w:rPr>
              <w:t>‡</w:t>
            </w:r>
          </w:p>
        </w:tc>
        <w:tc>
          <w:tcPr>
            <w:tcW w:w="982" w:type="dxa"/>
            <w:tcBorders>
              <w:top w:val="nil"/>
              <w:left w:val="nil"/>
              <w:bottom w:val="nil"/>
              <w:right w:val="nil"/>
            </w:tcBorders>
            <w:vAlign w:val="center"/>
          </w:tcPr>
          <w:p w:rsidR="0025718E" w:rsidRPr="0025718E" w:rsidRDefault="0025718E" w:rsidP="0025718E">
            <w:pPr>
              <w:jc w:val="center"/>
              <w:rPr>
                <w:sz w:val="22"/>
                <w:szCs w:val="22"/>
              </w:rPr>
            </w:pPr>
            <w:r w:rsidRPr="0025718E">
              <w:rPr>
                <w:sz w:val="22"/>
                <w:szCs w:val="22"/>
              </w:rPr>
              <w:t>.7520</w:t>
            </w:r>
          </w:p>
        </w:tc>
        <w:tc>
          <w:tcPr>
            <w:tcW w:w="974" w:type="dxa"/>
            <w:tcBorders>
              <w:top w:val="nil"/>
              <w:left w:val="nil"/>
              <w:bottom w:val="nil"/>
              <w:right w:val="nil"/>
            </w:tcBorders>
            <w:vAlign w:val="center"/>
          </w:tcPr>
          <w:p w:rsidR="0025718E" w:rsidRPr="0025718E" w:rsidRDefault="0025718E" w:rsidP="0025718E">
            <w:pPr>
              <w:ind w:left="-33"/>
              <w:jc w:val="center"/>
              <w:rPr>
                <w:sz w:val="22"/>
                <w:szCs w:val="22"/>
              </w:rPr>
            </w:pPr>
            <w:r w:rsidRPr="0025718E">
              <w:rPr>
                <w:sz w:val="22"/>
                <w:szCs w:val="22"/>
              </w:rPr>
              <w:t>.7560</w:t>
            </w:r>
          </w:p>
        </w:tc>
        <w:tc>
          <w:tcPr>
            <w:tcW w:w="939" w:type="dxa"/>
            <w:tcBorders>
              <w:top w:val="nil"/>
              <w:left w:val="nil"/>
              <w:bottom w:val="nil"/>
              <w:right w:val="nil"/>
            </w:tcBorders>
            <w:vAlign w:val="center"/>
          </w:tcPr>
          <w:p w:rsidR="0025718E" w:rsidRPr="0025718E" w:rsidRDefault="0025718E" w:rsidP="0025718E">
            <w:pPr>
              <w:jc w:val="center"/>
              <w:rPr>
                <w:sz w:val="22"/>
                <w:szCs w:val="22"/>
              </w:rPr>
            </w:pPr>
            <w:r w:rsidRPr="0025718E">
              <w:rPr>
                <w:sz w:val="22"/>
                <w:szCs w:val="22"/>
              </w:rPr>
              <w:t>.7865</w:t>
            </w:r>
          </w:p>
        </w:tc>
        <w:tc>
          <w:tcPr>
            <w:tcW w:w="900" w:type="dxa"/>
            <w:tcBorders>
              <w:top w:val="nil"/>
              <w:left w:val="nil"/>
              <w:bottom w:val="nil"/>
              <w:right w:val="nil"/>
            </w:tcBorders>
            <w:vAlign w:val="center"/>
          </w:tcPr>
          <w:p w:rsidR="0025718E" w:rsidRPr="0025718E" w:rsidRDefault="0025718E" w:rsidP="0025718E">
            <w:pPr>
              <w:ind w:left="-63"/>
              <w:jc w:val="center"/>
              <w:rPr>
                <w:sz w:val="22"/>
                <w:szCs w:val="22"/>
              </w:rPr>
            </w:pPr>
            <w:r w:rsidRPr="0025718E">
              <w:rPr>
                <w:sz w:val="22"/>
                <w:szCs w:val="22"/>
              </w:rPr>
              <w:t>.6985</w:t>
            </w:r>
          </w:p>
        </w:tc>
        <w:tc>
          <w:tcPr>
            <w:tcW w:w="987" w:type="dxa"/>
            <w:tcBorders>
              <w:top w:val="nil"/>
              <w:left w:val="nil"/>
              <w:bottom w:val="nil"/>
              <w:right w:val="nil"/>
            </w:tcBorders>
            <w:vAlign w:val="center"/>
          </w:tcPr>
          <w:p w:rsidR="0025718E" w:rsidRPr="0025718E" w:rsidRDefault="0025718E" w:rsidP="0025718E">
            <w:pPr>
              <w:ind w:left="-71"/>
              <w:jc w:val="center"/>
              <w:rPr>
                <w:sz w:val="22"/>
                <w:szCs w:val="22"/>
              </w:rPr>
            </w:pPr>
            <w:r w:rsidRPr="0025718E">
              <w:rPr>
                <w:sz w:val="22"/>
                <w:szCs w:val="22"/>
              </w:rPr>
              <w:t>.6985</w:t>
            </w:r>
          </w:p>
        </w:tc>
      </w:tr>
      <w:tr w:rsidR="0025718E" w:rsidRPr="0025718E" w:rsidTr="0025718E">
        <w:trPr>
          <w:trHeight w:val="392"/>
        </w:trPr>
        <w:tc>
          <w:tcPr>
            <w:tcW w:w="3592" w:type="dxa"/>
            <w:tcBorders>
              <w:top w:val="nil"/>
              <w:left w:val="nil"/>
              <w:bottom w:val="nil"/>
              <w:right w:val="nil"/>
            </w:tcBorders>
            <w:vAlign w:val="center"/>
          </w:tcPr>
          <w:p w:rsidR="0025718E" w:rsidRPr="0025718E" w:rsidRDefault="0025718E" w:rsidP="0025718E">
            <w:pPr>
              <w:tabs>
                <w:tab w:val="left" w:pos="1780"/>
              </w:tabs>
              <w:ind w:left="-50" w:right="-45"/>
              <w:jc w:val="center"/>
              <w:rPr>
                <w:rFonts w:eastAsia="Cambria"/>
                <w:color w:val="000000"/>
                <w:sz w:val="22"/>
                <w:szCs w:val="22"/>
              </w:rPr>
            </w:pPr>
            <w:r w:rsidRPr="0025718E">
              <w:rPr>
                <w:rFonts w:eastAsia="Cambria"/>
                <w:color w:val="000000"/>
                <w:sz w:val="22"/>
                <w:szCs w:val="22"/>
              </w:rPr>
              <w:t>Azoxystrobin</w:t>
            </w:r>
          </w:p>
        </w:tc>
        <w:tc>
          <w:tcPr>
            <w:tcW w:w="982" w:type="dxa"/>
            <w:tcBorders>
              <w:top w:val="nil"/>
              <w:left w:val="nil"/>
              <w:bottom w:val="nil"/>
              <w:right w:val="nil"/>
            </w:tcBorders>
            <w:vAlign w:val="center"/>
          </w:tcPr>
          <w:p w:rsidR="0025718E" w:rsidRPr="0025718E" w:rsidRDefault="0025718E" w:rsidP="0025718E">
            <w:pPr>
              <w:jc w:val="center"/>
              <w:rPr>
                <w:sz w:val="22"/>
                <w:szCs w:val="22"/>
              </w:rPr>
            </w:pPr>
            <w:r w:rsidRPr="0025718E">
              <w:rPr>
                <w:sz w:val="22"/>
                <w:szCs w:val="22"/>
              </w:rPr>
              <w:t>.7397</w:t>
            </w:r>
          </w:p>
        </w:tc>
        <w:tc>
          <w:tcPr>
            <w:tcW w:w="974" w:type="dxa"/>
            <w:tcBorders>
              <w:top w:val="nil"/>
              <w:left w:val="nil"/>
              <w:bottom w:val="nil"/>
              <w:right w:val="nil"/>
            </w:tcBorders>
            <w:vAlign w:val="center"/>
          </w:tcPr>
          <w:p w:rsidR="0025718E" w:rsidRPr="0025718E" w:rsidRDefault="0025718E" w:rsidP="0025718E">
            <w:pPr>
              <w:ind w:left="-33"/>
              <w:jc w:val="center"/>
              <w:rPr>
                <w:sz w:val="22"/>
                <w:szCs w:val="22"/>
              </w:rPr>
            </w:pPr>
            <w:r w:rsidRPr="0025718E">
              <w:rPr>
                <w:sz w:val="22"/>
                <w:szCs w:val="22"/>
              </w:rPr>
              <w:t>.7427</w:t>
            </w:r>
          </w:p>
        </w:tc>
        <w:tc>
          <w:tcPr>
            <w:tcW w:w="939" w:type="dxa"/>
            <w:tcBorders>
              <w:top w:val="nil"/>
              <w:left w:val="nil"/>
              <w:bottom w:val="nil"/>
              <w:right w:val="nil"/>
            </w:tcBorders>
            <w:vAlign w:val="center"/>
          </w:tcPr>
          <w:p w:rsidR="0025718E" w:rsidRPr="0025718E" w:rsidRDefault="0025718E" w:rsidP="0025718E">
            <w:pPr>
              <w:jc w:val="center"/>
              <w:rPr>
                <w:sz w:val="22"/>
                <w:szCs w:val="22"/>
              </w:rPr>
            </w:pPr>
            <w:r w:rsidRPr="0025718E">
              <w:rPr>
                <w:sz w:val="22"/>
                <w:szCs w:val="22"/>
              </w:rPr>
              <w:t>.7585</w:t>
            </w:r>
          </w:p>
        </w:tc>
        <w:tc>
          <w:tcPr>
            <w:tcW w:w="900" w:type="dxa"/>
            <w:tcBorders>
              <w:top w:val="nil"/>
              <w:left w:val="nil"/>
              <w:bottom w:val="nil"/>
              <w:right w:val="nil"/>
            </w:tcBorders>
            <w:vAlign w:val="center"/>
          </w:tcPr>
          <w:p w:rsidR="0025718E" w:rsidRPr="0025718E" w:rsidRDefault="0025718E" w:rsidP="0025718E">
            <w:pPr>
              <w:ind w:left="-63"/>
              <w:jc w:val="center"/>
              <w:rPr>
                <w:sz w:val="22"/>
                <w:szCs w:val="22"/>
              </w:rPr>
            </w:pPr>
            <w:r w:rsidRPr="0025718E">
              <w:rPr>
                <w:sz w:val="22"/>
                <w:szCs w:val="22"/>
              </w:rPr>
              <w:t>.6743</w:t>
            </w:r>
          </w:p>
        </w:tc>
        <w:tc>
          <w:tcPr>
            <w:tcW w:w="987" w:type="dxa"/>
            <w:tcBorders>
              <w:top w:val="nil"/>
              <w:left w:val="nil"/>
              <w:bottom w:val="nil"/>
              <w:right w:val="nil"/>
            </w:tcBorders>
            <w:vAlign w:val="center"/>
          </w:tcPr>
          <w:p w:rsidR="0025718E" w:rsidRPr="0025718E" w:rsidRDefault="0025718E" w:rsidP="0025718E">
            <w:pPr>
              <w:ind w:left="-71"/>
              <w:jc w:val="center"/>
              <w:rPr>
                <w:sz w:val="22"/>
                <w:szCs w:val="22"/>
              </w:rPr>
            </w:pPr>
            <w:r w:rsidRPr="0025718E">
              <w:rPr>
                <w:sz w:val="22"/>
                <w:szCs w:val="22"/>
              </w:rPr>
              <w:t>.6723</w:t>
            </w:r>
          </w:p>
        </w:tc>
      </w:tr>
      <w:tr w:rsidR="0025718E" w:rsidRPr="0025718E" w:rsidTr="0025718E">
        <w:trPr>
          <w:trHeight w:val="392"/>
        </w:trPr>
        <w:tc>
          <w:tcPr>
            <w:tcW w:w="3592" w:type="dxa"/>
            <w:tcBorders>
              <w:top w:val="nil"/>
              <w:left w:val="nil"/>
              <w:bottom w:val="nil"/>
              <w:right w:val="nil"/>
            </w:tcBorders>
            <w:vAlign w:val="center"/>
          </w:tcPr>
          <w:p w:rsidR="0025718E" w:rsidRPr="0025718E" w:rsidRDefault="0025718E" w:rsidP="0025718E">
            <w:pPr>
              <w:tabs>
                <w:tab w:val="left" w:pos="1780"/>
              </w:tabs>
              <w:ind w:left="-50" w:right="-45"/>
              <w:jc w:val="center"/>
              <w:rPr>
                <w:rFonts w:eastAsia="Cambria"/>
                <w:color w:val="000000"/>
                <w:sz w:val="22"/>
                <w:szCs w:val="22"/>
              </w:rPr>
            </w:pPr>
            <w:r w:rsidRPr="0025718E">
              <w:rPr>
                <w:rFonts w:eastAsia="Cambria"/>
                <w:color w:val="000000"/>
                <w:sz w:val="22"/>
                <w:szCs w:val="22"/>
              </w:rPr>
              <w:t>Fluoxastrobin</w:t>
            </w:r>
          </w:p>
        </w:tc>
        <w:tc>
          <w:tcPr>
            <w:tcW w:w="982" w:type="dxa"/>
            <w:tcBorders>
              <w:top w:val="nil"/>
              <w:left w:val="nil"/>
              <w:bottom w:val="nil"/>
              <w:right w:val="nil"/>
            </w:tcBorders>
            <w:vAlign w:val="center"/>
          </w:tcPr>
          <w:p w:rsidR="0025718E" w:rsidRPr="0025718E" w:rsidRDefault="0025718E" w:rsidP="0025718E">
            <w:pPr>
              <w:ind w:left="-18"/>
              <w:jc w:val="center"/>
              <w:rPr>
                <w:sz w:val="22"/>
                <w:szCs w:val="22"/>
              </w:rPr>
            </w:pPr>
            <w:r w:rsidRPr="0025718E">
              <w:rPr>
                <w:sz w:val="22"/>
                <w:szCs w:val="22"/>
              </w:rPr>
              <w:t>.7357</w:t>
            </w:r>
          </w:p>
        </w:tc>
        <w:tc>
          <w:tcPr>
            <w:tcW w:w="974" w:type="dxa"/>
            <w:tcBorders>
              <w:top w:val="nil"/>
              <w:left w:val="nil"/>
              <w:bottom w:val="nil"/>
              <w:right w:val="nil"/>
            </w:tcBorders>
            <w:vAlign w:val="center"/>
          </w:tcPr>
          <w:p w:rsidR="0025718E" w:rsidRPr="0025718E" w:rsidRDefault="0025718E" w:rsidP="0025718E">
            <w:pPr>
              <w:ind w:left="-33"/>
              <w:jc w:val="center"/>
              <w:rPr>
                <w:sz w:val="22"/>
                <w:szCs w:val="22"/>
              </w:rPr>
            </w:pPr>
            <w:r w:rsidRPr="0025718E">
              <w:rPr>
                <w:sz w:val="22"/>
                <w:szCs w:val="22"/>
              </w:rPr>
              <w:t>.7368</w:t>
            </w:r>
          </w:p>
        </w:tc>
        <w:tc>
          <w:tcPr>
            <w:tcW w:w="939" w:type="dxa"/>
            <w:tcBorders>
              <w:top w:val="nil"/>
              <w:left w:val="nil"/>
              <w:bottom w:val="nil"/>
              <w:right w:val="nil"/>
            </w:tcBorders>
            <w:vAlign w:val="center"/>
          </w:tcPr>
          <w:p w:rsidR="0025718E" w:rsidRPr="0025718E" w:rsidRDefault="0025718E" w:rsidP="0025718E">
            <w:pPr>
              <w:ind w:left="-33"/>
              <w:jc w:val="center"/>
              <w:rPr>
                <w:sz w:val="22"/>
                <w:szCs w:val="22"/>
              </w:rPr>
            </w:pPr>
            <w:r w:rsidRPr="0025718E">
              <w:rPr>
                <w:sz w:val="22"/>
                <w:szCs w:val="22"/>
              </w:rPr>
              <w:t>.7583</w:t>
            </w:r>
          </w:p>
        </w:tc>
        <w:tc>
          <w:tcPr>
            <w:tcW w:w="900" w:type="dxa"/>
            <w:tcBorders>
              <w:top w:val="nil"/>
              <w:left w:val="nil"/>
              <w:bottom w:val="nil"/>
              <w:right w:val="nil"/>
            </w:tcBorders>
            <w:vAlign w:val="center"/>
          </w:tcPr>
          <w:p w:rsidR="0025718E" w:rsidRPr="0025718E" w:rsidRDefault="0025718E" w:rsidP="0025718E">
            <w:pPr>
              <w:ind w:left="-63"/>
              <w:jc w:val="center"/>
              <w:rPr>
                <w:sz w:val="22"/>
                <w:szCs w:val="22"/>
              </w:rPr>
            </w:pPr>
            <w:r w:rsidRPr="0025718E">
              <w:rPr>
                <w:sz w:val="22"/>
                <w:szCs w:val="22"/>
              </w:rPr>
              <w:t>.6650</w:t>
            </w:r>
          </w:p>
        </w:tc>
        <w:tc>
          <w:tcPr>
            <w:tcW w:w="987" w:type="dxa"/>
            <w:tcBorders>
              <w:top w:val="nil"/>
              <w:left w:val="nil"/>
              <w:bottom w:val="nil"/>
              <w:right w:val="nil"/>
            </w:tcBorders>
            <w:vAlign w:val="center"/>
          </w:tcPr>
          <w:p w:rsidR="0025718E" w:rsidRPr="0025718E" w:rsidRDefault="0025718E" w:rsidP="0025718E">
            <w:pPr>
              <w:ind w:left="-71"/>
              <w:jc w:val="center"/>
              <w:rPr>
                <w:sz w:val="22"/>
                <w:szCs w:val="22"/>
              </w:rPr>
            </w:pPr>
            <w:r w:rsidRPr="0025718E">
              <w:rPr>
                <w:sz w:val="22"/>
                <w:szCs w:val="22"/>
              </w:rPr>
              <w:t>.6643</w:t>
            </w:r>
          </w:p>
        </w:tc>
      </w:tr>
      <w:tr w:rsidR="0025718E" w:rsidRPr="0025718E" w:rsidTr="0025718E">
        <w:trPr>
          <w:trHeight w:val="392"/>
        </w:trPr>
        <w:tc>
          <w:tcPr>
            <w:tcW w:w="3592" w:type="dxa"/>
            <w:tcBorders>
              <w:top w:val="nil"/>
              <w:left w:val="nil"/>
              <w:bottom w:val="nil"/>
              <w:right w:val="nil"/>
            </w:tcBorders>
            <w:vAlign w:val="center"/>
          </w:tcPr>
          <w:p w:rsidR="0025718E" w:rsidRPr="0025718E" w:rsidRDefault="0025718E" w:rsidP="0025718E">
            <w:pPr>
              <w:tabs>
                <w:tab w:val="left" w:pos="1780"/>
              </w:tabs>
              <w:ind w:left="-50" w:right="-45"/>
              <w:jc w:val="center"/>
              <w:rPr>
                <w:rFonts w:eastAsia="Cambria"/>
                <w:color w:val="000000"/>
                <w:sz w:val="22"/>
                <w:szCs w:val="22"/>
              </w:rPr>
            </w:pPr>
            <w:r w:rsidRPr="0025718E">
              <w:rPr>
                <w:rFonts w:eastAsia="Cambria"/>
                <w:color w:val="000000"/>
                <w:sz w:val="22"/>
                <w:szCs w:val="22"/>
              </w:rPr>
              <w:t>Non-treated</w:t>
            </w:r>
          </w:p>
        </w:tc>
        <w:tc>
          <w:tcPr>
            <w:tcW w:w="982" w:type="dxa"/>
            <w:tcBorders>
              <w:top w:val="nil"/>
              <w:left w:val="nil"/>
              <w:bottom w:val="nil"/>
              <w:right w:val="nil"/>
            </w:tcBorders>
            <w:vAlign w:val="center"/>
          </w:tcPr>
          <w:p w:rsidR="0025718E" w:rsidRPr="0025718E" w:rsidRDefault="0025718E" w:rsidP="0025718E">
            <w:pPr>
              <w:jc w:val="center"/>
              <w:rPr>
                <w:sz w:val="22"/>
                <w:szCs w:val="22"/>
              </w:rPr>
            </w:pPr>
            <w:r w:rsidRPr="0025718E">
              <w:rPr>
                <w:sz w:val="22"/>
                <w:szCs w:val="22"/>
              </w:rPr>
              <w:t>.7020</w:t>
            </w:r>
          </w:p>
        </w:tc>
        <w:tc>
          <w:tcPr>
            <w:tcW w:w="974" w:type="dxa"/>
            <w:tcBorders>
              <w:top w:val="nil"/>
              <w:left w:val="nil"/>
              <w:bottom w:val="nil"/>
              <w:right w:val="nil"/>
            </w:tcBorders>
            <w:vAlign w:val="center"/>
          </w:tcPr>
          <w:p w:rsidR="0025718E" w:rsidRPr="0025718E" w:rsidRDefault="0025718E" w:rsidP="0025718E">
            <w:pPr>
              <w:ind w:left="-33"/>
              <w:jc w:val="center"/>
              <w:rPr>
                <w:sz w:val="22"/>
                <w:szCs w:val="22"/>
              </w:rPr>
            </w:pPr>
            <w:r w:rsidRPr="0025718E">
              <w:rPr>
                <w:sz w:val="22"/>
                <w:szCs w:val="22"/>
              </w:rPr>
              <w:t>.7113</w:t>
            </w:r>
          </w:p>
        </w:tc>
        <w:tc>
          <w:tcPr>
            <w:tcW w:w="939" w:type="dxa"/>
            <w:tcBorders>
              <w:top w:val="nil"/>
              <w:left w:val="nil"/>
              <w:bottom w:val="nil"/>
              <w:right w:val="nil"/>
            </w:tcBorders>
            <w:vAlign w:val="center"/>
          </w:tcPr>
          <w:p w:rsidR="0025718E" w:rsidRPr="0025718E" w:rsidRDefault="0025718E" w:rsidP="0025718E">
            <w:pPr>
              <w:jc w:val="center"/>
              <w:rPr>
                <w:sz w:val="22"/>
                <w:szCs w:val="22"/>
              </w:rPr>
            </w:pPr>
            <w:r w:rsidRPr="0025718E">
              <w:rPr>
                <w:sz w:val="22"/>
                <w:szCs w:val="22"/>
              </w:rPr>
              <w:t>.7278</w:t>
            </w:r>
          </w:p>
        </w:tc>
        <w:tc>
          <w:tcPr>
            <w:tcW w:w="900" w:type="dxa"/>
            <w:tcBorders>
              <w:top w:val="nil"/>
              <w:left w:val="nil"/>
              <w:bottom w:val="nil"/>
              <w:right w:val="nil"/>
            </w:tcBorders>
            <w:vAlign w:val="center"/>
          </w:tcPr>
          <w:p w:rsidR="0025718E" w:rsidRPr="0025718E" w:rsidRDefault="0025718E" w:rsidP="0025718E">
            <w:pPr>
              <w:ind w:left="-63"/>
              <w:jc w:val="center"/>
              <w:rPr>
                <w:sz w:val="22"/>
                <w:szCs w:val="22"/>
              </w:rPr>
            </w:pPr>
            <w:r w:rsidRPr="0025718E">
              <w:rPr>
                <w:sz w:val="22"/>
                <w:szCs w:val="22"/>
              </w:rPr>
              <w:t>.6255</w:t>
            </w:r>
          </w:p>
        </w:tc>
        <w:tc>
          <w:tcPr>
            <w:tcW w:w="987" w:type="dxa"/>
            <w:tcBorders>
              <w:top w:val="nil"/>
              <w:left w:val="nil"/>
              <w:bottom w:val="nil"/>
              <w:right w:val="nil"/>
            </w:tcBorders>
            <w:vAlign w:val="center"/>
          </w:tcPr>
          <w:p w:rsidR="0025718E" w:rsidRPr="0025718E" w:rsidRDefault="0025718E" w:rsidP="0025718E">
            <w:pPr>
              <w:ind w:left="-71"/>
              <w:jc w:val="center"/>
              <w:rPr>
                <w:sz w:val="22"/>
                <w:szCs w:val="22"/>
              </w:rPr>
            </w:pPr>
            <w:r w:rsidRPr="0025718E">
              <w:rPr>
                <w:sz w:val="22"/>
                <w:szCs w:val="22"/>
              </w:rPr>
              <w:t>.6308</w:t>
            </w:r>
          </w:p>
        </w:tc>
      </w:tr>
      <w:tr w:rsidR="0025718E" w:rsidRPr="0025718E" w:rsidTr="0025718E">
        <w:trPr>
          <w:trHeight w:val="392"/>
        </w:trPr>
        <w:tc>
          <w:tcPr>
            <w:tcW w:w="3592" w:type="dxa"/>
            <w:tcBorders>
              <w:top w:val="nil"/>
              <w:left w:val="nil"/>
              <w:bottom w:val="single" w:sz="4" w:space="0" w:color="000000"/>
              <w:right w:val="nil"/>
            </w:tcBorders>
            <w:vAlign w:val="center"/>
          </w:tcPr>
          <w:p w:rsidR="0025718E" w:rsidRPr="0025718E" w:rsidRDefault="0025718E" w:rsidP="0025718E">
            <w:pPr>
              <w:jc w:val="center"/>
              <w:rPr>
                <w:sz w:val="22"/>
                <w:szCs w:val="22"/>
              </w:rPr>
            </w:pPr>
            <w:r w:rsidRPr="0025718E">
              <w:rPr>
                <w:sz w:val="22"/>
                <w:szCs w:val="22"/>
              </w:rPr>
              <w:t>LSD</w:t>
            </w:r>
            <w:r w:rsidRPr="0025718E">
              <w:rPr>
                <w:rFonts w:eastAsia="Cambria"/>
                <w:sz w:val="22"/>
                <w:szCs w:val="22"/>
                <w:vertAlign w:val="subscript"/>
              </w:rPr>
              <w:t>0.05</w:t>
            </w:r>
          </w:p>
        </w:tc>
        <w:tc>
          <w:tcPr>
            <w:tcW w:w="982" w:type="dxa"/>
            <w:tcBorders>
              <w:top w:val="nil"/>
              <w:left w:val="nil"/>
              <w:bottom w:val="single" w:sz="4" w:space="0" w:color="000000"/>
              <w:right w:val="nil"/>
            </w:tcBorders>
            <w:vAlign w:val="center"/>
          </w:tcPr>
          <w:p w:rsidR="0025718E" w:rsidRPr="0025718E" w:rsidRDefault="0025718E" w:rsidP="0025718E">
            <w:pPr>
              <w:jc w:val="center"/>
              <w:rPr>
                <w:sz w:val="22"/>
                <w:szCs w:val="22"/>
              </w:rPr>
            </w:pPr>
            <w:r w:rsidRPr="0025718E">
              <w:rPr>
                <w:sz w:val="22"/>
                <w:szCs w:val="22"/>
              </w:rPr>
              <w:t>.0121</w:t>
            </w:r>
          </w:p>
        </w:tc>
        <w:tc>
          <w:tcPr>
            <w:tcW w:w="974" w:type="dxa"/>
            <w:tcBorders>
              <w:top w:val="nil"/>
              <w:left w:val="nil"/>
              <w:bottom w:val="single" w:sz="4" w:space="0" w:color="000000"/>
              <w:right w:val="nil"/>
            </w:tcBorders>
            <w:vAlign w:val="center"/>
          </w:tcPr>
          <w:p w:rsidR="0025718E" w:rsidRPr="0025718E" w:rsidRDefault="0025718E" w:rsidP="0025718E">
            <w:pPr>
              <w:jc w:val="center"/>
              <w:rPr>
                <w:sz w:val="22"/>
                <w:szCs w:val="22"/>
              </w:rPr>
            </w:pPr>
            <w:r w:rsidRPr="0025718E">
              <w:rPr>
                <w:sz w:val="22"/>
                <w:szCs w:val="22"/>
              </w:rPr>
              <w:t>.0065</w:t>
            </w:r>
          </w:p>
        </w:tc>
        <w:tc>
          <w:tcPr>
            <w:tcW w:w="939" w:type="dxa"/>
            <w:tcBorders>
              <w:top w:val="nil"/>
              <w:left w:val="nil"/>
              <w:bottom w:val="single" w:sz="4" w:space="0" w:color="000000"/>
              <w:right w:val="nil"/>
            </w:tcBorders>
            <w:vAlign w:val="center"/>
          </w:tcPr>
          <w:p w:rsidR="0025718E" w:rsidRPr="0025718E" w:rsidRDefault="0025718E" w:rsidP="0025718E">
            <w:pPr>
              <w:jc w:val="center"/>
              <w:rPr>
                <w:sz w:val="22"/>
                <w:szCs w:val="22"/>
              </w:rPr>
            </w:pPr>
            <w:r w:rsidRPr="0025718E">
              <w:rPr>
                <w:sz w:val="22"/>
                <w:szCs w:val="22"/>
              </w:rPr>
              <w:t>.0124</w:t>
            </w:r>
          </w:p>
        </w:tc>
        <w:tc>
          <w:tcPr>
            <w:tcW w:w="900" w:type="dxa"/>
            <w:tcBorders>
              <w:top w:val="nil"/>
              <w:left w:val="nil"/>
              <w:bottom w:val="single" w:sz="4" w:space="0" w:color="000000"/>
              <w:right w:val="nil"/>
            </w:tcBorders>
            <w:vAlign w:val="center"/>
          </w:tcPr>
          <w:p w:rsidR="0025718E" w:rsidRPr="0025718E" w:rsidRDefault="0025718E" w:rsidP="0025718E">
            <w:pPr>
              <w:jc w:val="center"/>
              <w:rPr>
                <w:sz w:val="22"/>
                <w:szCs w:val="22"/>
              </w:rPr>
            </w:pPr>
            <w:r w:rsidRPr="0025718E">
              <w:rPr>
                <w:sz w:val="22"/>
                <w:szCs w:val="22"/>
              </w:rPr>
              <w:t>.0187</w:t>
            </w:r>
          </w:p>
        </w:tc>
        <w:tc>
          <w:tcPr>
            <w:tcW w:w="987" w:type="dxa"/>
            <w:tcBorders>
              <w:top w:val="nil"/>
              <w:left w:val="nil"/>
              <w:bottom w:val="single" w:sz="4" w:space="0" w:color="000000"/>
              <w:right w:val="nil"/>
            </w:tcBorders>
            <w:vAlign w:val="center"/>
          </w:tcPr>
          <w:p w:rsidR="0025718E" w:rsidRPr="0025718E" w:rsidRDefault="0025718E" w:rsidP="0025718E">
            <w:pPr>
              <w:jc w:val="center"/>
              <w:rPr>
                <w:sz w:val="22"/>
                <w:szCs w:val="22"/>
              </w:rPr>
            </w:pPr>
            <w:r w:rsidRPr="0025718E">
              <w:rPr>
                <w:sz w:val="22"/>
                <w:szCs w:val="22"/>
              </w:rPr>
              <w:t>.0175</w:t>
            </w:r>
          </w:p>
        </w:tc>
      </w:tr>
      <w:tr w:rsidR="0025718E" w:rsidRPr="006A3515" w:rsidTr="0025718E">
        <w:trPr>
          <w:trHeight w:val="142"/>
        </w:trPr>
        <w:tc>
          <w:tcPr>
            <w:tcW w:w="8374" w:type="dxa"/>
            <w:gridSpan w:val="6"/>
            <w:tcBorders>
              <w:left w:val="nil"/>
              <w:bottom w:val="nil"/>
              <w:right w:val="nil"/>
            </w:tcBorders>
          </w:tcPr>
          <w:p w:rsidR="0025718E" w:rsidRPr="006A3515" w:rsidRDefault="0025718E" w:rsidP="0025718E">
            <w:pPr>
              <w:rPr>
                <w:sz w:val="20"/>
                <w:szCs w:val="20"/>
              </w:rPr>
            </w:pPr>
            <w:r w:rsidRPr="009C319F">
              <w:rPr>
                <w:rFonts w:eastAsia="Cambria"/>
                <w:sz w:val="20"/>
                <w:szCs w:val="20"/>
                <w:vertAlign w:val="superscript"/>
              </w:rPr>
              <w:t>†</w:t>
            </w:r>
            <w:r w:rsidRPr="009C319F">
              <w:rPr>
                <w:sz w:val="20"/>
                <w:szCs w:val="20"/>
                <w:vertAlign w:val="superscript"/>
              </w:rPr>
              <w:t xml:space="preserve"> </w:t>
            </w:r>
            <w:r w:rsidRPr="00E5234E">
              <w:rPr>
                <w:rFonts w:eastAsia="Calibri"/>
                <w:sz w:val="20"/>
                <w:szCs w:val="20"/>
              </w:rPr>
              <w:t xml:space="preserve"> Applications were initiated </w:t>
            </w:r>
            <w:r>
              <w:rPr>
                <w:rFonts w:eastAsia="Calibri"/>
                <w:sz w:val="20"/>
                <w:szCs w:val="20"/>
              </w:rPr>
              <w:t xml:space="preserve">in </w:t>
            </w:r>
            <w:r w:rsidRPr="00E5234E">
              <w:rPr>
                <w:rFonts w:eastAsia="Calibri"/>
                <w:sz w:val="20"/>
                <w:szCs w:val="20"/>
              </w:rPr>
              <w:t xml:space="preserve">on </w:t>
            </w:r>
            <w:r>
              <w:rPr>
                <w:rFonts w:eastAsia="Calibri"/>
                <w:sz w:val="20"/>
                <w:szCs w:val="20"/>
              </w:rPr>
              <w:t>17</w:t>
            </w:r>
            <w:r w:rsidRPr="00E5234E">
              <w:rPr>
                <w:rFonts w:eastAsia="Calibri"/>
                <w:sz w:val="20"/>
                <w:szCs w:val="20"/>
              </w:rPr>
              <w:t>-</w:t>
            </w:r>
            <w:r>
              <w:rPr>
                <w:rFonts w:eastAsia="Calibri"/>
                <w:sz w:val="20"/>
                <w:szCs w:val="20"/>
              </w:rPr>
              <w:t>May</w:t>
            </w:r>
            <w:r w:rsidRPr="00E5234E">
              <w:rPr>
                <w:rFonts w:eastAsia="Calibri"/>
                <w:sz w:val="20"/>
                <w:szCs w:val="20"/>
              </w:rPr>
              <w:t xml:space="preserve"> in 2011</w:t>
            </w:r>
            <w:r>
              <w:rPr>
                <w:rFonts w:eastAsia="Calibri"/>
                <w:sz w:val="20"/>
                <w:szCs w:val="20"/>
              </w:rPr>
              <w:t>.</w:t>
            </w:r>
            <w:r w:rsidRPr="00E5234E">
              <w:rPr>
                <w:rFonts w:eastAsia="Calibri"/>
                <w:sz w:val="20"/>
                <w:szCs w:val="20"/>
              </w:rPr>
              <w:t xml:space="preserve"> Subse</w:t>
            </w:r>
            <w:r>
              <w:rPr>
                <w:rFonts w:eastAsia="Calibri"/>
                <w:sz w:val="20"/>
                <w:szCs w:val="20"/>
              </w:rPr>
              <w:t xml:space="preserve">quent applications were made on </w:t>
            </w:r>
            <w:r w:rsidRPr="00E5234E">
              <w:rPr>
                <w:rFonts w:eastAsia="Calibri"/>
                <w:sz w:val="20"/>
                <w:szCs w:val="20"/>
              </w:rPr>
              <w:t>14-day intervals.</w:t>
            </w:r>
          </w:p>
        </w:tc>
      </w:tr>
      <w:tr w:rsidR="0025718E" w:rsidRPr="006A3515" w:rsidTr="0025718E">
        <w:trPr>
          <w:trHeight w:val="142"/>
        </w:trPr>
        <w:tc>
          <w:tcPr>
            <w:tcW w:w="8374" w:type="dxa"/>
            <w:gridSpan w:val="6"/>
            <w:tcBorders>
              <w:top w:val="nil"/>
              <w:left w:val="nil"/>
              <w:bottom w:val="nil"/>
              <w:right w:val="nil"/>
            </w:tcBorders>
          </w:tcPr>
          <w:p w:rsidR="0025718E" w:rsidRPr="006A3515" w:rsidRDefault="0025718E" w:rsidP="0025718E">
            <w:pPr>
              <w:rPr>
                <w:rFonts w:eastAsia="Cambria"/>
                <w:sz w:val="20"/>
                <w:szCs w:val="20"/>
                <w:vertAlign w:val="superscript"/>
              </w:rPr>
            </w:pPr>
            <w:r w:rsidRPr="00277250">
              <w:rPr>
                <w:sz w:val="20"/>
                <w:szCs w:val="20"/>
              </w:rPr>
              <w:t>‡</w:t>
            </w:r>
            <w:r w:rsidRPr="006A3515">
              <w:rPr>
                <w:sz w:val="20"/>
                <w:szCs w:val="20"/>
                <w:vertAlign w:val="superscript"/>
              </w:rPr>
              <w:t xml:space="preserve"> </w:t>
            </w:r>
            <w:r w:rsidRPr="00E5234E">
              <w:rPr>
                <w:rFonts w:eastAsia="Calibri"/>
                <w:sz w:val="20"/>
                <w:szCs w:val="20"/>
              </w:rPr>
              <w:t xml:space="preserve"> </w:t>
            </w:r>
            <w:r>
              <w:rPr>
                <w:rFonts w:eastAsia="Calibri"/>
                <w:sz w:val="20"/>
                <w:szCs w:val="20"/>
              </w:rPr>
              <w:t>P</w:t>
            </w:r>
            <w:r w:rsidRPr="00E5234E">
              <w:rPr>
                <w:rFonts w:eastAsia="Calibri"/>
                <w:sz w:val="20"/>
                <w:szCs w:val="20"/>
              </w:rPr>
              <w:t xml:space="preserve">yraclostrobin, </w:t>
            </w:r>
            <w:r>
              <w:rPr>
                <w:rFonts w:eastAsia="Calibri"/>
                <w:sz w:val="20"/>
                <w:szCs w:val="20"/>
              </w:rPr>
              <w:t>azoxystrobin, and fluoxastrobin</w:t>
            </w:r>
            <w:r w:rsidRPr="00E5234E">
              <w:rPr>
                <w:rFonts w:eastAsia="Calibri"/>
                <w:sz w:val="20"/>
                <w:szCs w:val="20"/>
              </w:rPr>
              <w:t xml:space="preserve"> were applied at rates </w:t>
            </w:r>
            <w:r>
              <w:rPr>
                <w:rFonts w:eastAsia="Calibri"/>
                <w:sz w:val="20"/>
                <w:szCs w:val="20"/>
              </w:rPr>
              <w:t xml:space="preserve">0.61 </w:t>
            </w:r>
            <w:r>
              <w:rPr>
                <w:rFonts w:eastAsia="Calibri"/>
                <w:color w:val="000033"/>
                <w:sz w:val="20"/>
                <w:szCs w:val="20"/>
              </w:rPr>
              <w:t>0.55, and 0.55</w:t>
            </w:r>
            <w:r w:rsidRPr="00E5234E">
              <w:rPr>
                <w:rFonts w:eastAsia="Calibri"/>
                <w:color w:val="000033"/>
                <w:sz w:val="20"/>
                <w:szCs w:val="20"/>
              </w:rPr>
              <w:t xml:space="preserve"> kg ha</w:t>
            </w:r>
            <w:r w:rsidRPr="00E5234E">
              <w:rPr>
                <w:rFonts w:eastAsia="Calibri"/>
                <w:color w:val="000033"/>
                <w:sz w:val="20"/>
                <w:szCs w:val="20"/>
                <w:vertAlign w:val="superscript"/>
              </w:rPr>
              <w:t>-1</w:t>
            </w:r>
            <w:r w:rsidRPr="00E5234E">
              <w:rPr>
                <w:rFonts w:eastAsia="Calibri"/>
                <w:color w:val="000033"/>
                <w:sz w:val="20"/>
                <w:szCs w:val="20"/>
              </w:rPr>
              <w:t xml:space="preserve">, respectively, on </w:t>
            </w:r>
            <w:r>
              <w:rPr>
                <w:rFonts w:eastAsia="Calibri"/>
                <w:color w:val="000033"/>
                <w:sz w:val="20"/>
                <w:szCs w:val="20"/>
              </w:rPr>
              <w:t>14 and 56 days after initial treatment</w:t>
            </w:r>
            <w:r w:rsidRPr="00E5234E">
              <w:rPr>
                <w:rFonts w:eastAsia="Calibri"/>
                <w:color w:val="000033"/>
                <w:sz w:val="20"/>
                <w:szCs w:val="20"/>
              </w:rPr>
              <w:t>.</w:t>
            </w:r>
          </w:p>
        </w:tc>
      </w:tr>
      <w:tr w:rsidR="0025718E" w:rsidRPr="006A3515" w:rsidTr="0025718E">
        <w:trPr>
          <w:trHeight w:val="142"/>
        </w:trPr>
        <w:tc>
          <w:tcPr>
            <w:tcW w:w="8374" w:type="dxa"/>
            <w:gridSpan w:val="6"/>
            <w:tcBorders>
              <w:top w:val="nil"/>
              <w:left w:val="nil"/>
              <w:bottom w:val="nil"/>
              <w:right w:val="nil"/>
            </w:tcBorders>
          </w:tcPr>
          <w:p w:rsidR="0025718E" w:rsidRPr="00277250" w:rsidRDefault="0025718E" w:rsidP="0025718E">
            <w:pPr>
              <w:rPr>
                <w:sz w:val="20"/>
                <w:szCs w:val="20"/>
              </w:rPr>
            </w:pPr>
          </w:p>
        </w:tc>
      </w:tr>
    </w:tbl>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E52AB9" w:rsidRDefault="00E52AB9" w:rsidP="00067052">
      <w:pPr>
        <w:spacing w:line="480" w:lineRule="auto"/>
        <w:rPr>
          <w:b/>
        </w:rPr>
      </w:pPr>
    </w:p>
    <w:p w:rsidR="00067052" w:rsidRDefault="00067052"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25718E" w:rsidRDefault="0025718E" w:rsidP="00067052">
      <w:pPr>
        <w:rPr>
          <w:b/>
        </w:rPr>
      </w:pPr>
    </w:p>
    <w:p w:rsidR="00067052" w:rsidRPr="00F276FE" w:rsidRDefault="00F276FE" w:rsidP="00F276FE">
      <w:r>
        <w:rPr>
          <w:b/>
          <w:noProof/>
        </w:rPr>
        <w:lastRenderedPageBreak/>
        <w:drawing>
          <wp:inline distT="0" distB="0" distL="0" distR="0">
            <wp:extent cx="5099221" cy="3824416"/>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vi.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99221" cy="3824416"/>
                    </a:xfrm>
                    <a:prstGeom prst="rect">
                      <a:avLst/>
                    </a:prstGeom>
                  </pic:spPr>
                </pic:pic>
              </a:graphicData>
            </a:graphic>
          </wp:inline>
        </w:drawing>
      </w:r>
    </w:p>
    <w:p w:rsidR="00067052" w:rsidRPr="00314322" w:rsidRDefault="00067052" w:rsidP="00067052">
      <w:pPr>
        <w:spacing w:line="480" w:lineRule="auto"/>
      </w:pPr>
      <w:r w:rsidRPr="00314322">
        <w:rPr>
          <w:b/>
        </w:rPr>
        <w:t xml:space="preserve">Figure </w:t>
      </w:r>
      <w:r w:rsidR="00FA31D1">
        <w:rPr>
          <w:b/>
        </w:rPr>
        <w:t>2</w:t>
      </w:r>
      <w:r w:rsidRPr="00314322">
        <w:rPr>
          <w:b/>
        </w:rPr>
        <w:t>.</w:t>
      </w:r>
      <w:r w:rsidR="003A59F2">
        <w:t xml:space="preserve"> Area u</w:t>
      </w:r>
      <w:r w:rsidRPr="00314322">
        <w:t xml:space="preserve">nder the </w:t>
      </w:r>
      <w:r w:rsidR="003A59F2">
        <w:t>ratio v</w:t>
      </w:r>
      <w:r w:rsidRPr="00314322">
        <w:t xml:space="preserve">egetation </w:t>
      </w:r>
      <w:r w:rsidR="003A59F2">
        <w:t>i</w:t>
      </w:r>
      <w:r w:rsidRPr="00314322">
        <w:t xml:space="preserve">ndex </w:t>
      </w:r>
      <w:r w:rsidR="003A59F2">
        <w:t>progress c</w:t>
      </w:r>
      <w:r w:rsidRPr="00314322">
        <w:t>urve (AURVIPC) in response to strobilurin programs in Florence, SC. AURVIPC were calculated from 13 rating dates. Bars followed by the same letter are not significantly different according to Fisher’s protected least significant difference.</w:t>
      </w:r>
    </w:p>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 w:rsidR="00067052" w:rsidRPr="00314322" w:rsidRDefault="00067052" w:rsidP="00067052">
      <w:pPr>
        <w:rPr>
          <w:noProof/>
        </w:rPr>
      </w:pPr>
    </w:p>
    <w:p w:rsidR="00067052" w:rsidRPr="00314322" w:rsidRDefault="00067052" w:rsidP="00067052">
      <w:pPr>
        <w:rPr>
          <w:noProof/>
        </w:rPr>
      </w:pPr>
    </w:p>
    <w:p w:rsidR="00067052" w:rsidRPr="00314322" w:rsidRDefault="00067052" w:rsidP="00067052">
      <w:pPr>
        <w:spacing w:line="480" w:lineRule="auto"/>
        <w:rPr>
          <w:noProof/>
        </w:rPr>
      </w:pPr>
    </w:p>
    <w:p w:rsidR="00067052" w:rsidRDefault="00067052" w:rsidP="00067052">
      <w:pPr>
        <w:spacing w:line="480" w:lineRule="auto"/>
        <w:rPr>
          <w:b/>
        </w:rPr>
      </w:pPr>
    </w:p>
    <w:p w:rsidR="00067052" w:rsidRDefault="00067052" w:rsidP="00067052">
      <w:pPr>
        <w:spacing w:line="480" w:lineRule="auto"/>
        <w:rPr>
          <w:b/>
        </w:rPr>
      </w:pPr>
    </w:p>
    <w:p w:rsidR="00067052" w:rsidRDefault="00067052" w:rsidP="00067052">
      <w:pPr>
        <w:spacing w:line="480" w:lineRule="auto"/>
        <w:rPr>
          <w:b/>
        </w:rPr>
      </w:pPr>
      <w:r>
        <w:rPr>
          <w:b/>
          <w:noProof/>
        </w:rPr>
        <w:lastRenderedPageBreak/>
        <w:drawing>
          <wp:inline distT="0" distB="0" distL="0" distR="0">
            <wp:extent cx="5214552" cy="391091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vi.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14552" cy="3910914"/>
                    </a:xfrm>
                    <a:prstGeom prst="rect">
                      <a:avLst/>
                    </a:prstGeom>
                  </pic:spPr>
                </pic:pic>
              </a:graphicData>
            </a:graphic>
          </wp:inline>
        </w:drawing>
      </w:r>
    </w:p>
    <w:p w:rsidR="00067052" w:rsidRPr="00314322" w:rsidRDefault="00067052" w:rsidP="00067052">
      <w:pPr>
        <w:spacing w:line="480" w:lineRule="auto"/>
      </w:pPr>
      <w:r w:rsidRPr="00314322">
        <w:rPr>
          <w:b/>
        </w:rPr>
        <w:t xml:space="preserve">Figure </w:t>
      </w:r>
      <w:r w:rsidR="00FA31D1">
        <w:rPr>
          <w:b/>
        </w:rPr>
        <w:t>3</w:t>
      </w:r>
      <w:r w:rsidRPr="00314322">
        <w:rPr>
          <w:b/>
        </w:rPr>
        <w:t>.</w:t>
      </w:r>
      <w:r w:rsidR="003A59F2">
        <w:t xml:space="preserve"> Area under the normalized difference vegetation i</w:t>
      </w:r>
      <w:r w:rsidRPr="00314322">
        <w:t>ndex</w:t>
      </w:r>
      <w:r w:rsidR="003A59F2">
        <w:t xml:space="preserve"> progress c</w:t>
      </w:r>
      <w:r w:rsidRPr="00314322">
        <w:t>urve (AUNDVIPC) in response to strobilurin programs in Florence, SC. AUNDVIPC were calculated from 13 rating dates. Bars followed by the same letter are not significantly different according to Fisher’s protected least significant difference.</w:t>
      </w:r>
    </w:p>
    <w:p w:rsidR="00067052" w:rsidRPr="00314322" w:rsidRDefault="00067052" w:rsidP="00067052">
      <w:pPr>
        <w:spacing w:line="480" w:lineRule="auto"/>
      </w:pPr>
    </w:p>
    <w:p w:rsidR="00067052" w:rsidRPr="00314322" w:rsidRDefault="00067052" w:rsidP="00067052">
      <w:pPr>
        <w:spacing w:line="480" w:lineRule="auto"/>
      </w:pPr>
    </w:p>
    <w:p w:rsidR="00067052" w:rsidRPr="00314322" w:rsidRDefault="00067052" w:rsidP="00067052">
      <w:pPr>
        <w:spacing w:line="480" w:lineRule="auto"/>
      </w:pPr>
    </w:p>
    <w:p w:rsidR="00067052" w:rsidRPr="00314322" w:rsidRDefault="00067052" w:rsidP="00067052">
      <w:pPr>
        <w:spacing w:line="480" w:lineRule="auto"/>
      </w:pPr>
    </w:p>
    <w:p w:rsidR="00067052" w:rsidRDefault="00067052" w:rsidP="00067052">
      <w:pPr>
        <w:spacing w:line="480" w:lineRule="auto"/>
      </w:pPr>
    </w:p>
    <w:p w:rsidR="00067052" w:rsidRDefault="00067052" w:rsidP="00067052">
      <w:pPr>
        <w:spacing w:line="480" w:lineRule="auto"/>
      </w:pPr>
    </w:p>
    <w:p w:rsidR="00067052" w:rsidRPr="00314322" w:rsidRDefault="00067052" w:rsidP="00067052">
      <w:pPr>
        <w:spacing w:line="480" w:lineRule="auto"/>
      </w:pPr>
    </w:p>
    <w:p w:rsidR="00067052" w:rsidRDefault="00067052" w:rsidP="00067052">
      <w:pPr>
        <w:spacing w:line="480" w:lineRule="auto"/>
        <w:rPr>
          <w:b/>
          <w:noProof/>
        </w:rPr>
      </w:pPr>
    </w:p>
    <w:p w:rsidR="00F25FA0" w:rsidRDefault="00F25FA0" w:rsidP="00067052">
      <w:pPr>
        <w:spacing w:line="480" w:lineRule="auto"/>
        <w:rPr>
          <w:b/>
          <w:noProof/>
        </w:rPr>
      </w:pPr>
      <w:r>
        <w:rPr>
          <w:b/>
          <w:noProof/>
        </w:rPr>
        <w:drawing>
          <wp:inline distT="0" distB="0" distL="0" distR="0">
            <wp:extent cx="5372100" cy="402907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375071" cy="4031303"/>
                    </a:xfrm>
                    <a:prstGeom prst="rect">
                      <a:avLst/>
                    </a:prstGeom>
                    <a:noFill/>
                  </pic:spPr>
                </pic:pic>
              </a:graphicData>
            </a:graphic>
          </wp:inline>
        </w:drawing>
      </w:r>
    </w:p>
    <w:p w:rsidR="00F25FA0" w:rsidRDefault="00F25FA0" w:rsidP="00067052">
      <w:pPr>
        <w:spacing w:line="480" w:lineRule="auto"/>
        <w:rPr>
          <w:b/>
        </w:rPr>
      </w:pPr>
    </w:p>
    <w:p w:rsidR="00067052" w:rsidRPr="00314322" w:rsidRDefault="00067052" w:rsidP="00067052">
      <w:pPr>
        <w:spacing w:line="480" w:lineRule="auto"/>
      </w:pPr>
      <w:r w:rsidRPr="00314322">
        <w:rPr>
          <w:b/>
        </w:rPr>
        <w:t xml:space="preserve">Figure </w:t>
      </w:r>
      <w:r w:rsidR="00FA31D1">
        <w:rPr>
          <w:b/>
        </w:rPr>
        <w:t>4</w:t>
      </w:r>
      <w:r w:rsidRPr="00314322">
        <w:rPr>
          <w:b/>
        </w:rPr>
        <w:t>.</w:t>
      </w:r>
      <w:r w:rsidR="003A59F2">
        <w:t xml:space="preserve"> Area under the brown patch progress c</w:t>
      </w:r>
      <w:r w:rsidRPr="00314322">
        <w:t>urve (AUBPPC) in response to strobilurin fungicide programs in Florence, SC. AUBPPC values were calculated from disease severity data collected from 11 rating dates. Bars followed by the same letter are not significantly different according to Fisher’s protected least significant difference.</w:t>
      </w:r>
    </w:p>
    <w:p w:rsidR="00067052" w:rsidRPr="00314322" w:rsidRDefault="00067052" w:rsidP="00067052">
      <w:pPr>
        <w:spacing w:line="480" w:lineRule="auto"/>
      </w:pPr>
    </w:p>
    <w:p w:rsidR="00067052" w:rsidRPr="00314322" w:rsidRDefault="00067052" w:rsidP="00067052">
      <w:pPr>
        <w:spacing w:line="480" w:lineRule="auto"/>
      </w:pPr>
    </w:p>
    <w:p w:rsidR="00067052" w:rsidRPr="00314322" w:rsidRDefault="00067052" w:rsidP="00067052">
      <w:r>
        <w:rPr>
          <w:noProof/>
        </w:rPr>
        <w:lastRenderedPageBreak/>
        <w:drawing>
          <wp:inline distT="0" distB="0" distL="0" distR="0">
            <wp:extent cx="5722620" cy="4259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2620" cy="4259580"/>
                    </a:xfrm>
                    <a:prstGeom prst="rect">
                      <a:avLst/>
                    </a:prstGeom>
                    <a:noFill/>
                    <a:ln>
                      <a:noFill/>
                    </a:ln>
                  </pic:spPr>
                </pic:pic>
              </a:graphicData>
            </a:graphic>
          </wp:inline>
        </w:drawing>
      </w:r>
    </w:p>
    <w:p w:rsidR="00067052" w:rsidRPr="00314322" w:rsidRDefault="00067052" w:rsidP="00067052"/>
    <w:p w:rsidR="00067052" w:rsidRPr="00314322" w:rsidRDefault="00067052" w:rsidP="00067052"/>
    <w:p w:rsidR="00067052" w:rsidRPr="00314322" w:rsidRDefault="00067052" w:rsidP="00067052">
      <w:pPr>
        <w:spacing w:line="480" w:lineRule="auto"/>
      </w:pPr>
      <w:r w:rsidRPr="00314322">
        <w:rPr>
          <w:b/>
        </w:rPr>
        <w:t xml:space="preserve">Figure </w:t>
      </w:r>
      <w:r w:rsidR="00FA31D1">
        <w:rPr>
          <w:b/>
        </w:rPr>
        <w:t>5</w:t>
      </w:r>
      <w:r w:rsidRPr="00314322">
        <w:rPr>
          <w:b/>
        </w:rPr>
        <w:t>.</w:t>
      </w:r>
      <w:r w:rsidRPr="00314322">
        <w:t xml:space="preserve"> </w:t>
      </w:r>
      <w:r>
        <w:t>Linear regression analysis of the AUNDVIPC and the AUBPPC comparing the season-long effect of disease on the spectroscopic response of creeping bentgrass.</w:t>
      </w:r>
    </w:p>
    <w:p w:rsidR="00067052" w:rsidRDefault="00067052" w:rsidP="00067052">
      <w:pPr>
        <w:rPr>
          <w:rFonts w:ascii="Arial" w:hAnsi="Arial" w:cs="Arial"/>
        </w:rPr>
      </w:pPr>
    </w:p>
    <w:p w:rsidR="00067052" w:rsidRPr="009B2EE6" w:rsidRDefault="00067052" w:rsidP="00067052">
      <w:pPr>
        <w:jc w:val="center"/>
      </w:pPr>
      <w:r>
        <w:rPr>
          <w:rFonts w:ascii="Arial" w:hAnsi="Arial" w:cs="Arial"/>
        </w:rPr>
        <w:br w:type="page"/>
      </w:r>
      <w:r w:rsidRPr="009B2EE6">
        <w:rPr>
          <w:b/>
          <w:bCs/>
          <w:sz w:val="28"/>
          <w:szCs w:val="28"/>
        </w:rPr>
        <w:lastRenderedPageBreak/>
        <w:t>TABLE OF CONTENTS</w:t>
      </w:r>
    </w:p>
    <w:p w:rsidR="00067052" w:rsidRDefault="00067052" w:rsidP="0006705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067052" w:rsidRDefault="00067052" w:rsidP="00067052">
      <w:pPr>
        <w:numPr>
          <w:ilvl w:val="12"/>
          <w:numId w:val="0"/>
        </w:numPr>
        <w:jc w:val="center"/>
        <w:rPr>
          <w:rFonts w:ascii="Arial" w:hAnsi="Arial" w:cs="Arial"/>
          <w:b/>
          <w:bCs/>
          <w:sz w:val="28"/>
          <w:szCs w:val="28"/>
        </w:rPr>
      </w:pPr>
    </w:p>
    <w:p w:rsidR="00E73C81" w:rsidRDefault="00D00E0E" w:rsidP="0099781E">
      <w:pPr>
        <w:pStyle w:val="TOC1"/>
        <w:spacing w:line="480" w:lineRule="auto"/>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353892611" w:history="1">
        <w:r w:rsidR="00E73C81" w:rsidRPr="00B925DA">
          <w:rPr>
            <w:rStyle w:val="Hyperlink"/>
          </w:rPr>
          <w:t>CHAPTER I</w:t>
        </w:r>
        <w:r w:rsidR="0099781E">
          <w:rPr>
            <w:rStyle w:val="Hyperlink"/>
          </w:rPr>
          <w:t xml:space="preserve"> LITERATURE REVIEW</w:t>
        </w:r>
        <w:r w:rsidR="00E73C81">
          <w:rPr>
            <w:webHidden/>
          </w:rPr>
          <w:tab/>
        </w:r>
        <w:r w:rsidR="00E73C81">
          <w:rPr>
            <w:webHidden/>
          </w:rPr>
          <w:fldChar w:fldCharType="begin"/>
        </w:r>
        <w:r w:rsidR="00E73C81">
          <w:rPr>
            <w:webHidden/>
          </w:rPr>
          <w:instrText xml:space="preserve"> PAGEREF _Toc353892611 \h </w:instrText>
        </w:r>
        <w:r w:rsidR="00E73C81">
          <w:rPr>
            <w:webHidden/>
          </w:rPr>
        </w:r>
        <w:r w:rsidR="00E73C81">
          <w:rPr>
            <w:webHidden/>
          </w:rPr>
          <w:fldChar w:fldCharType="separate"/>
        </w:r>
        <w:r w:rsidR="00EB51BB">
          <w:rPr>
            <w:webHidden/>
          </w:rPr>
          <w:t>1</w:t>
        </w:r>
        <w:r w:rsidR="00E73C81">
          <w:rPr>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13" w:history="1">
        <w:r w:rsidRPr="00B925DA">
          <w:rPr>
            <w:rStyle w:val="Hyperlink"/>
            <w:rFonts w:eastAsia="Calibri"/>
            <w:noProof/>
          </w:rPr>
          <w:t>CREEPING BENTGRASS</w:t>
        </w:r>
        <w:r>
          <w:rPr>
            <w:noProof/>
            <w:webHidden/>
          </w:rPr>
          <w:tab/>
        </w:r>
        <w:r>
          <w:rPr>
            <w:noProof/>
            <w:webHidden/>
          </w:rPr>
          <w:fldChar w:fldCharType="begin"/>
        </w:r>
        <w:r>
          <w:rPr>
            <w:noProof/>
            <w:webHidden/>
          </w:rPr>
          <w:instrText xml:space="preserve"> PAGEREF _Toc353892613 \h </w:instrText>
        </w:r>
        <w:r>
          <w:rPr>
            <w:noProof/>
            <w:webHidden/>
          </w:rPr>
        </w:r>
        <w:r>
          <w:rPr>
            <w:noProof/>
            <w:webHidden/>
          </w:rPr>
          <w:fldChar w:fldCharType="separate"/>
        </w:r>
        <w:r w:rsidR="00EB51BB">
          <w:rPr>
            <w:noProof/>
            <w:webHidden/>
          </w:rPr>
          <w:t>2</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14" w:history="1">
        <w:r w:rsidRPr="00B925DA">
          <w:rPr>
            <w:rStyle w:val="Hyperlink"/>
            <w:rFonts w:eastAsia="Calibri"/>
            <w:noProof/>
          </w:rPr>
          <w:t>DISEASE MANAGEMENT FOR CREEPING BENTGRASS</w:t>
        </w:r>
        <w:r>
          <w:rPr>
            <w:noProof/>
            <w:webHidden/>
          </w:rPr>
          <w:tab/>
        </w:r>
        <w:r>
          <w:rPr>
            <w:noProof/>
            <w:webHidden/>
          </w:rPr>
          <w:fldChar w:fldCharType="begin"/>
        </w:r>
        <w:r>
          <w:rPr>
            <w:noProof/>
            <w:webHidden/>
          </w:rPr>
          <w:instrText xml:space="preserve"> PAGEREF _Toc353892614 \h </w:instrText>
        </w:r>
        <w:r>
          <w:rPr>
            <w:noProof/>
            <w:webHidden/>
          </w:rPr>
        </w:r>
        <w:r>
          <w:rPr>
            <w:noProof/>
            <w:webHidden/>
          </w:rPr>
          <w:fldChar w:fldCharType="separate"/>
        </w:r>
        <w:r w:rsidR="00EB51BB">
          <w:rPr>
            <w:noProof/>
            <w:webHidden/>
          </w:rPr>
          <w:t>3</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15" w:history="1">
        <w:r w:rsidRPr="00B925DA">
          <w:rPr>
            <w:rStyle w:val="Hyperlink"/>
            <w:rFonts w:eastAsia="Calibri"/>
            <w:noProof/>
          </w:rPr>
          <w:t>PHYSIOLOGICAL EFFECTS OF STROBILURIN FUNGICIDES</w:t>
        </w:r>
        <w:r>
          <w:rPr>
            <w:noProof/>
            <w:webHidden/>
          </w:rPr>
          <w:tab/>
        </w:r>
        <w:r>
          <w:rPr>
            <w:noProof/>
            <w:webHidden/>
          </w:rPr>
          <w:fldChar w:fldCharType="begin"/>
        </w:r>
        <w:r>
          <w:rPr>
            <w:noProof/>
            <w:webHidden/>
          </w:rPr>
          <w:instrText xml:space="preserve"> PAGEREF _Toc353892615 \h </w:instrText>
        </w:r>
        <w:r>
          <w:rPr>
            <w:noProof/>
            <w:webHidden/>
          </w:rPr>
        </w:r>
        <w:r>
          <w:rPr>
            <w:noProof/>
            <w:webHidden/>
          </w:rPr>
          <w:fldChar w:fldCharType="separate"/>
        </w:r>
        <w:r w:rsidR="00EB51BB">
          <w:rPr>
            <w:noProof/>
            <w:webHidden/>
          </w:rPr>
          <w:t>7</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16" w:history="1">
        <w:r w:rsidRPr="00B925DA">
          <w:rPr>
            <w:rStyle w:val="Hyperlink"/>
            <w:rFonts w:eastAsia="Calibri"/>
            <w:noProof/>
          </w:rPr>
          <w:t>MEASURING PHYSIOLOGICAL EFFECTS</w:t>
        </w:r>
        <w:r>
          <w:rPr>
            <w:noProof/>
            <w:webHidden/>
          </w:rPr>
          <w:tab/>
        </w:r>
        <w:r>
          <w:rPr>
            <w:noProof/>
            <w:webHidden/>
          </w:rPr>
          <w:fldChar w:fldCharType="begin"/>
        </w:r>
        <w:r>
          <w:rPr>
            <w:noProof/>
            <w:webHidden/>
          </w:rPr>
          <w:instrText xml:space="preserve"> PAGEREF _Toc353892616 \h </w:instrText>
        </w:r>
        <w:r>
          <w:rPr>
            <w:noProof/>
            <w:webHidden/>
          </w:rPr>
        </w:r>
        <w:r>
          <w:rPr>
            <w:noProof/>
            <w:webHidden/>
          </w:rPr>
          <w:fldChar w:fldCharType="separate"/>
        </w:r>
        <w:r w:rsidR="00EB51BB">
          <w:rPr>
            <w:noProof/>
            <w:webHidden/>
          </w:rPr>
          <w:t>10</w:t>
        </w:r>
        <w:r>
          <w:rPr>
            <w:noProof/>
            <w:webHidden/>
          </w:rPr>
          <w:fldChar w:fldCharType="end"/>
        </w:r>
      </w:hyperlink>
    </w:p>
    <w:p w:rsidR="00E73C81" w:rsidRDefault="00E73C81" w:rsidP="0099781E">
      <w:pPr>
        <w:pStyle w:val="TOC3"/>
        <w:tabs>
          <w:tab w:val="right" w:leader="dot" w:pos="8630"/>
        </w:tabs>
        <w:spacing w:line="480" w:lineRule="auto"/>
        <w:rPr>
          <w:rFonts w:asciiTheme="minorHAnsi" w:eastAsiaTheme="minorEastAsia" w:hAnsiTheme="minorHAnsi" w:cstheme="minorBidi"/>
          <w:noProof/>
          <w:sz w:val="22"/>
          <w:szCs w:val="22"/>
        </w:rPr>
      </w:pPr>
      <w:hyperlink w:anchor="_Toc353892617" w:history="1">
        <w:r w:rsidRPr="00B925DA">
          <w:rPr>
            <w:rStyle w:val="Hyperlink"/>
            <w:rFonts w:eastAsia="Calibri"/>
            <w:noProof/>
          </w:rPr>
          <w:t>VISUAL TURFGRASS QUALITY</w:t>
        </w:r>
        <w:r>
          <w:rPr>
            <w:noProof/>
            <w:webHidden/>
          </w:rPr>
          <w:tab/>
        </w:r>
        <w:r>
          <w:rPr>
            <w:noProof/>
            <w:webHidden/>
          </w:rPr>
          <w:fldChar w:fldCharType="begin"/>
        </w:r>
        <w:r>
          <w:rPr>
            <w:noProof/>
            <w:webHidden/>
          </w:rPr>
          <w:instrText xml:space="preserve"> PAGEREF _Toc353892617 \h </w:instrText>
        </w:r>
        <w:r>
          <w:rPr>
            <w:noProof/>
            <w:webHidden/>
          </w:rPr>
        </w:r>
        <w:r>
          <w:rPr>
            <w:noProof/>
            <w:webHidden/>
          </w:rPr>
          <w:fldChar w:fldCharType="separate"/>
        </w:r>
        <w:r w:rsidR="00EB51BB">
          <w:rPr>
            <w:noProof/>
            <w:webHidden/>
          </w:rPr>
          <w:t>10</w:t>
        </w:r>
        <w:r>
          <w:rPr>
            <w:noProof/>
            <w:webHidden/>
          </w:rPr>
          <w:fldChar w:fldCharType="end"/>
        </w:r>
      </w:hyperlink>
    </w:p>
    <w:p w:rsidR="00E73C81" w:rsidRDefault="00E73C81" w:rsidP="0099781E">
      <w:pPr>
        <w:pStyle w:val="TOC3"/>
        <w:tabs>
          <w:tab w:val="right" w:leader="dot" w:pos="8630"/>
        </w:tabs>
        <w:spacing w:line="480" w:lineRule="auto"/>
        <w:rPr>
          <w:rFonts w:asciiTheme="minorHAnsi" w:eastAsiaTheme="minorEastAsia" w:hAnsiTheme="minorHAnsi" w:cstheme="minorBidi"/>
          <w:noProof/>
          <w:sz w:val="22"/>
          <w:szCs w:val="22"/>
        </w:rPr>
      </w:pPr>
      <w:hyperlink w:anchor="_Toc353892618" w:history="1">
        <w:r w:rsidRPr="00B925DA">
          <w:rPr>
            <w:rStyle w:val="Hyperlink"/>
            <w:rFonts w:eastAsia="Calibri"/>
            <w:noProof/>
          </w:rPr>
          <w:t>NORMALIZED DIFFERENCE VEGETATION INDEX</w:t>
        </w:r>
        <w:r>
          <w:rPr>
            <w:noProof/>
            <w:webHidden/>
          </w:rPr>
          <w:tab/>
        </w:r>
        <w:r>
          <w:rPr>
            <w:noProof/>
            <w:webHidden/>
          </w:rPr>
          <w:fldChar w:fldCharType="begin"/>
        </w:r>
        <w:r>
          <w:rPr>
            <w:noProof/>
            <w:webHidden/>
          </w:rPr>
          <w:instrText xml:space="preserve"> PAGEREF _Toc353892618 \h </w:instrText>
        </w:r>
        <w:r>
          <w:rPr>
            <w:noProof/>
            <w:webHidden/>
          </w:rPr>
        </w:r>
        <w:r>
          <w:rPr>
            <w:noProof/>
            <w:webHidden/>
          </w:rPr>
          <w:fldChar w:fldCharType="separate"/>
        </w:r>
        <w:r w:rsidR="00EB51BB">
          <w:rPr>
            <w:noProof/>
            <w:webHidden/>
          </w:rPr>
          <w:t>11</w:t>
        </w:r>
        <w:r>
          <w:rPr>
            <w:noProof/>
            <w:webHidden/>
          </w:rPr>
          <w:fldChar w:fldCharType="end"/>
        </w:r>
      </w:hyperlink>
    </w:p>
    <w:p w:rsidR="00E73C81" w:rsidRDefault="00E73C81" w:rsidP="0099781E">
      <w:pPr>
        <w:pStyle w:val="TOC3"/>
        <w:tabs>
          <w:tab w:val="right" w:leader="dot" w:pos="8630"/>
        </w:tabs>
        <w:spacing w:line="480" w:lineRule="auto"/>
        <w:rPr>
          <w:rFonts w:asciiTheme="minorHAnsi" w:eastAsiaTheme="minorEastAsia" w:hAnsiTheme="minorHAnsi" w:cstheme="minorBidi"/>
          <w:noProof/>
          <w:sz w:val="22"/>
          <w:szCs w:val="22"/>
        </w:rPr>
      </w:pPr>
      <w:hyperlink w:anchor="_Toc353892619" w:history="1">
        <w:r w:rsidRPr="00B925DA">
          <w:rPr>
            <w:rStyle w:val="Hyperlink"/>
            <w:rFonts w:eastAsia="Calibri"/>
            <w:noProof/>
          </w:rPr>
          <w:t>DIGITAL IMAGE ANALYSIS</w:t>
        </w:r>
        <w:r>
          <w:rPr>
            <w:noProof/>
            <w:webHidden/>
          </w:rPr>
          <w:tab/>
        </w:r>
        <w:r>
          <w:rPr>
            <w:noProof/>
            <w:webHidden/>
          </w:rPr>
          <w:fldChar w:fldCharType="begin"/>
        </w:r>
        <w:r>
          <w:rPr>
            <w:noProof/>
            <w:webHidden/>
          </w:rPr>
          <w:instrText xml:space="preserve"> PAGEREF _Toc353892619 \h </w:instrText>
        </w:r>
        <w:r>
          <w:rPr>
            <w:noProof/>
            <w:webHidden/>
          </w:rPr>
        </w:r>
        <w:r>
          <w:rPr>
            <w:noProof/>
            <w:webHidden/>
          </w:rPr>
          <w:fldChar w:fldCharType="separate"/>
        </w:r>
        <w:r w:rsidR="00EB51BB">
          <w:rPr>
            <w:noProof/>
            <w:webHidden/>
          </w:rPr>
          <w:t>13</w:t>
        </w:r>
        <w:r>
          <w:rPr>
            <w:noProof/>
            <w:webHidden/>
          </w:rPr>
          <w:fldChar w:fldCharType="end"/>
        </w:r>
      </w:hyperlink>
    </w:p>
    <w:p w:rsidR="00E73C81" w:rsidRDefault="00E73C81" w:rsidP="0099781E">
      <w:pPr>
        <w:pStyle w:val="TOC3"/>
        <w:tabs>
          <w:tab w:val="right" w:leader="dot" w:pos="8630"/>
        </w:tabs>
        <w:spacing w:line="480" w:lineRule="auto"/>
        <w:rPr>
          <w:rFonts w:asciiTheme="minorHAnsi" w:eastAsiaTheme="minorEastAsia" w:hAnsiTheme="minorHAnsi" w:cstheme="minorBidi"/>
          <w:noProof/>
          <w:sz w:val="22"/>
          <w:szCs w:val="22"/>
        </w:rPr>
      </w:pPr>
      <w:hyperlink w:anchor="_Toc353892620" w:history="1">
        <w:r w:rsidRPr="00B925DA">
          <w:rPr>
            <w:rStyle w:val="Hyperlink"/>
            <w:rFonts w:eastAsia="Calibri"/>
            <w:noProof/>
          </w:rPr>
          <w:t>ROOTING ANALYSIS</w:t>
        </w:r>
        <w:r>
          <w:rPr>
            <w:noProof/>
            <w:webHidden/>
          </w:rPr>
          <w:tab/>
        </w:r>
        <w:r>
          <w:rPr>
            <w:noProof/>
            <w:webHidden/>
          </w:rPr>
          <w:fldChar w:fldCharType="begin"/>
        </w:r>
        <w:r>
          <w:rPr>
            <w:noProof/>
            <w:webHidden/>
          </w:rPr>
          <w:instrText xml:space="preserve"> PAGEREF _Toc353892620 \h </w:instrText>
        </w:r>
        <w:r>
          <w:rPr>
            <w:noProof/>
            <w:webHidden/>
          </w:rPr>
        </w:r>
        <w:r>
          <w:rPr>
            <w:noProof/>
            <w:webHidden/>
          </w:rPr>
          <w:fldChar w:fldCharType="separate"/>
        </w:r>
        <w:r w:rsidR="00EB51BB">
          <w:rPr>
            <w:noProof/>
            <w:webHidden/>
          </w:rPr>
          <w:t>14</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21" w:history="1">
        <w:r w:rsidRPr="00B925DA">
          <w:rPr>
            <w:rStyle w:val="Hyperlink"/>
            <w:rFonts w:eastAsia="Calibri"/>
            <w:noProof/>
          </w:rPr>
          <w:t>LITERATURE CITED</w:t>
        </w:r>
        <w:r>
          <w:rPr>
            <w:noProof/>
            <w:webHidden/>
          </w:rPr>
          <w:tab/>
        </w:r>
        <w:r>
          <w:rPr>
            <w:noProof/>
            <w:webHidden/>
          </w:rPr>
          <w:fldChar w:fldCharType="begin"/>
        </w:r>
        <w:r>
          <w:rPr>
            <w:noProof/>
            <w:webHidden/>
          </w:rPr>
          <w:instrText xml:space="preserve"> PAGEREF _Toc353892621 \h </w:instrText>
        </w:r>
        <w:r>
          <w:rPr>
            <w:noProof/>
            <w:webHidden/>
          </w:rPr>
        </w:r>
        <w:r>
          <w:rPr>
            <w:noProof/>
            <w:webHidden/>
          </w:rPr>
          <w:fldChar w:fldCharType="separate"/>
        </w:r>
        <w:r w:rsidR="00EB51BB">
          <w:rPr>
            <w:noProof/>
            <w:webHidden/>
          </w:rPr>
          <w:t>16</w:t>
        </w:r>
        <w:r>
          <w:rPr>
            <w:noProof/>
            <w:webHidden/>
          </w:rPr>
          <w:fldChar w:fldCharType="end"/>
        </w:r>
      </w:hyperlink>
    </w:p>
    <w:p w:rsidR="00E73C81" w:rsidRDefault="00E73C81" w:rsidP="0099781E">
      <w:pPr>
        <w:pStyle w:val="TOC1"/>
        <w:rPr>
          <w:rStyle w:val="Hyperlink"/>
        </w:rPr>
      </w:pPr>
      <w:hyperlink w:anchor="_Toc353892622" w:history="1">
        <w:r w:rsidRPr="00B925DA">
          <w:rPr>
            <w:rStyle w:val="Hyperlink"/>
          </w:rPr>
          <w:t>CHAPTER II</w:t>
        </w:r>
        <w:r w:rsidR="0099781E">
          <w:rPr>
            <w:rStyle w:val="Hyperlink"/>
          </w:rPr>
          <w:t xml:space="preserve"> PHYSIOLOGICAL EFFECTS OF STROBILURIN FUNGICIDE APPLICATIONS INCORPORATED WITHIN A PROGRAMMATIC FUNGICIDE APPROACH ON CREEPING BENTGRASS</w:t>
        </w:r>
        <w:r>
          <w:rPr>
            <w:webHidden/>
          </w:rPr>
          <w:tab/>
        </w:r>
        <w:r>
          <w:rPr>
            <w:webHidden/>
          </w:rPr>
          <w:fldChar w:fldCharType="begin"/>
        </w:r>
        <w:r>
          <w:rPr>
            <w:webHidden/>
          </w:rPr>
          <w:instrText xml:space="preserve"> PAGEREF _Toc353892622 \h </w:instrText>
        </w:r>
        <w:r>
          <w:rPr>
            <w:webHidden/>
          </w:rPr>
        </w:r>
        <w:r>
          <w:rPr>
            <w:webHidden/>
          </w:rPr>
          <w:fldChar w:fldCharType="separate"/>
        </w:r>
        <w:r w:rsidR="00EB51BB">
          <w:rPr>
            <w:webHidden/>
          </w:rPr>
          <w:t>28</w:t>
        </w:r>
        <w:r>
          <w:rPr>
            <w:webHidden/>
          </w:rPr>
          <w:fldChar w:fldCharType="end"/>
        </w:r>
      </w:hyperlink>
    </w:p>
    <w:p w:rsidR="0099781E" w:rsidRPr="0099781E" w:rsidRDefault="0099781E" w:rsidP="0099781E">
      <w:pPr>
        <w:rPr>
          <w:rFonts w:eastAsiaTheme="minorEastAsia"/>
          <w:noProof/>
        </w:rPr>
      </w:pPr>
    </w:p>
    <w:p w:rsidR="00E73C81" w:rsidRDefault="00E73C81" w:rsidP="0099781E">
      <w:pPr>
        <w:pStyle w:val="TOC2"/>
        <w:rPr>
          <w:rFonts w:asciiTheme="minorHAnsi" w:eastAsiaTheme="minorEastAsia" w:hAnsiTheme="minorHAnsi" w:cstheme="minorBidi"/>
          <w:noProof/>
          <w:sz w:val="22"/>
          <w:szCs w:val="22"/>
        </w:rPr>
      </w:pPr>
      <w:hyperlink w:anchor="_Toc353892627" w:history="1">
        <w:r w:rsidRPr="00B925DA">
          <w:rPr>
            <w:rStyle w:val="Hyperlink"/>
            <w:noProof/>
          </w:rPr>
          <w:t>ABSTRACT</w:t>
        </w:r>
        <w:r>
          <w:rPr>
            <w:noProof/>
            <w:webHidden/>
          </w:rPr>
          <w:tab/>
        </w:r>
        <w:r>
          <w:rPr>
            <w:noProof/>
            <w:webHidden/>
          </w:rPr>
          <w:fldChar w:fldCharType="begin"/>
        </w:r>
        <w:r>
          <w:rPr>
            <w:noProof/>
            <w:webHidden/>
          </w:rPr>
          <w:instrText xml:space="preserve"> PAGEREF _Toc353892627 \h </w:instrText>
        </w:r>
        <w:r>
          <w:rPr>
            <w:noProof/>
            <w:webHidden/>
          </w:rPr>
        </w:r>
        <w:r>
          <w:rPr>
            <w:noProof/>
            <w:webHidden/>
          </w:rPr>
          <w:fldChar w:fldCharType="separate"/>
        </w:r>
        <w:r w:rsidR="00EB51BB">
          <w:rPr>
            <w:noProof/>
            <w:webHidden/>
          </w:rPr>
          <w:t>29</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28" w:history="1">
        <w:r w:rsidRPr="00B925DA">
          <w:rPr>
            <w:rStyle w:val="Hyperlink"/>
            <w:noProof/>
          </w:rPr>
          <w:t>INTRODUCTION</w:t>
        </w:r>
        <w:r>
          <w:rPr>
            <w:noProof/>
            <w:webHidden/>
          </w:rPr>
          <w:tab/>
        </w:r>
        <w:r>
          <w:rPr>
            <w:noProof/>
            <w:webHidden/>
          </w:rPr>
          <w:fldChar w:fldCharType="begin"/>
        </w:r>
        <w:r>
          <w:rPr>
            <w:noProof/>
            <w:webHidden/>
          </w:rPr>
          <w:instrText xml:space="preserve"> PAGEREF _Toc353892628 \h </w:instrText>
        </w:r>
        <w:r>
          <w:rPr>
            <w:noProof/>
            <w:webHidden/>
          </w:rPr>
        </w:r>
        <w:r>
          <w:rPr>
            <w:noProof/>
            <w:webHidden/>
          </w:rPr>
          <w:fldChar w:fldCharType="separate"/>
        </w:r>
        <w:r w:rsidR="00EB51BB">
          <w:rPr>
            <w:noProof/>
            <w:webHidden/>
          </w:rPr>
          <w:t>31</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29" w:history="1">
        <w:r w:rsidRPr="00B925DA">
          <w:rPr>
            <w:rStyle w:val="Hyperlink"/>
            <w:noProof/>
          </w:rPr>
          <w:t>MATERIALS AND METHODS</w:t>
        </w:r>
        <w:r>
          <w:rPr>
            <w:noProof/>
            <w:webHidden/>
          </w:rPr>
          <w:tab/>
        </w:r>
        <w:r>
          <w:rPr>
            <w:noProof/>
            <w:webHidden/>
          </w:rPr>
          <w:fldChar w:fldCharType="begin"/>
        </w:r>
        <w:r>
          <w:rPr>
            <w:noProof/>
            <w:webHidden/>
          </w:rPr>
          <w:instrText xml:space="preserve"> PAGEREF _Toc353892629 \h </w:instrText>
        </w:r>
        <w:r>
          <w:rPr>
            <w:noProof/>
            <w:webHidden/>
          </w:rPr>
        </w:r>
        <w:r>
          <w:rPr>
            <w:noProof/>
            <w:webHidden/>
          </w:rPr>
          <w:fldChar w:fldCharType="separate"/>
        </w:r>
        <w:r w:rsidR="00EB51BB">
          <w:rPr>
            <w:noProof/>
            <w:webHidden/>
          </w:rPr>
          <w:t>34</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30" w:history="1">
        <w:r w:rsidRPr="00B925DA">
          <w:rPr>
            <w:rStyle w:val="Hyperlink"/>
            <w:noProof/>
          </w:rPr>
          <w:t>RESULTS</w:t>
        </w:r>
        <w:r>
          <w:rPr>
            <w:noProof/>
            <w:webHidden/>
          </w:rPr>
          <w:tab/>
        </w:r>
        <w:r>
          <w:rPr>
            <w:noProof/>
            <w:webHidden/>
          </w:rPr>
          <w:fldChar w:fldCharType="begin"/>
        </w:r>
        <w:r>
          <w:rPr>
            <w:noProof/>
            <w:webHidden/>
          </w:rPr>
          <w:instrText xml:space="preserve"> PAGEREF _Toc353892630 \h </w:instrText>
        </w:r>
        <w:r>
          <w:rPr>
            <w:noProof/>
            <w:webHidden/>
          </w:rPr>
        </w:r>
        <w:r>
          <w:rPr>
            <w:noProof/>
            <w:webHidden/>
          </w:rPr>
          <w:fldChar w:fldCharType="separate"/>
        </w:r>
        <w:r w:rsidR="00EB51BB">
          <w:rPr>
            <w:noProof/>
            <w:webHidden/>
          </w:rPr>
          <w:t>38</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31" w:history="1">
        <w:r w:rsidRPr="00B925DA">
          <w:rPr>
            <w:rStyle w:val="Hyperlink"/>
            <w:noProof/>
          </w:rPr>
          <w:t>CONCLUSION</w:t>
        </w:r>
        <w:r>
          <w:rPr>
            <w:noProof/>
            <w:webHidden/>
          </w:rPr>
          <w:tab/>
        </w:r>
        <w:r>
          <w:rPr>
            <w:noProof/>
            <w:webHidden/>
          </w:rPr>
          <w:fldChar w:fldCharType="begin"/>
        </w:r>
        <w:r>
          <w:rPr>
            <w:noProof/>
            <w:webHidden/>
          </w:rPr>
          <w:instrText xml:space="preserve"> PAGEREF _Toc353892631 \h </w:instrText>
        </w:r>
        <w:r>
          <w:rPr>
            <w:noProof/>
            <w:webHidden/>
          </w:rPr>
        </w:r>
        <w:r>
          <w:rPr>
            <w:noProof/>
            <w:webHidden/>
          </w:rPr>
          <w:fldChar w:fldCharType="separate"/>
        </w:r>
        <w:r w:rsidR="00EB51BB">
          <w:rPr>
            <w:noProof/>
            <w:webHidden/>
          </w:rPr>
          <w:t>41</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32" w:history="1">
        <w:r w:rsidRPr="00B925DA">
          <w:rPr>
            <w:rStyle w:val="Hyperlink"/>
            <w:noProof/>
          </w:rPr>
          <w:t>LITERATURE CITED</w:t>
        </w:r>
        <w:r>
          <w:rPr>
            <w:noProof/>
            <w:webHidden/>
          </w:rPr>
          <w:tab/>
        </w:r>
        <w:r>
          <w:rPr>
            <w:noProof/>
            <w:webHidden/>
          </w:rPr>
          <w:fldChar w:fldCharType="begin"/>
        </w:r>
        <w:r>
          <w:rPr>
            <w:noProof/>
            <w:webHidden/>
          </w:rPr>
          <w:instrText xml:space="preserve"> PAGEREF _Toc353892632 \h </w:instrText>
        </w:r>
        <w:r>
          <w:rPr>
            <w:noProof/>
            <w:webHidden/>
          </w:rPr>
        </w:r>
        <w:r>
          <w:rPr>
            <w:noProof/>
            <w:webHidden/>
          </w:rPr>
          <w:fldChar w:fldCharType="separate"/>
        </w:r>
        <w:r w:rsidR="00EB51BB">
          <w:rPr>
            <w:noProof/>
            <w:webHidden/>
          </w:rPr>
          <w:t>44</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33" w:history="1">
        <w:r w:rsidRPr="00B925DA">
          <w:rPr>
            <w:rStyle w:val="Hyperlink"/>
            <w:noProof/>
          </w:rPr>
          <w:t>APPENDIX</w:t>
        </w:r>
        <w:r>
          <w:rPr>
            <w:noProof/>
            <w:webHidden/>
          </w:rPr>
          <w:tab/>
        </w:r>
        <w:r>
          <w:rPr>
            <w:noProof/>
            <w:webHidden/>
          </w:rPr>
          <w:fldChar w:fldCharType="begin"/>
        </w:r>
        <w:r>
          <w:rPr>
            <w:noProof/>
            <w:webHidden/>
          </w:rPr>
          <w:instrText xml:space="preserve"> PAGEREF _Toc353892633 \h </w:instrText>
        </w:r>
        <w:r>
          <w:rPr>
            <w:noProof/>
            <w:webHidden/>
          </w:rPr>
        </w:r>
        <w:r>
          <w:rPr>
            <w:noProof/>
            <w:webHidden/>
          </w:rPr>
          <w:fldChar w:fldCharType="separate"/>
        </w:r>
        <w:r w:rsidR="00EB51BB">
          <w:rPr>
            <w:noProof/>
            <w:webHidden/>
          </w:rPr>
          <w:t>49</w:t>
        </w:r>
        <w:r>
          <w:rPr>
            <w:noProof/>
            <w:webHidden/>
          </w:rPr>
          <w:fldChar w:fldCharType="end"/>
        </w:r>
      </w:hyperlink>
    </w:p>
    <w:p w:rsidR="00E73C81" w:rsidRDefault="00E73C81" w:rsidP="0099781E">
      <w:pPr>
        <w:pStyle w:val="TOC2"/>
        <w:rPr>
          <w:rStyle w:val="Hyperlink"/>
          <w:noProof/>
        </w:rPr>
      </w:pPr>
      <w:hyperlink w:anchor="_Toc353892634" w:history="1">
        <w:r w:rsidRPr="00B925DA">
          <w:rPr>
            <w:rStyle w:val="Hyperlink"/>
            <w:noProof/>
          </w:rPr>
          <w:t>TABLES AND FIGURES</w:t>
        </w:r>
        <w:r>
          <w:rPr>
            <w:noProof/>
            <w:webHidden/>
          </w:rPr>
          <w:tab/>
        </w:r>
        <w:r>
          <w:rPr>
            <w:noProof/>
            <w:webHidden/>
          </w:rPr>
          <w:fldChar w:fldCharType="begin"/>
        </w:r>
        <w:r>
          <w:rPr>
            <w:noProof/>
            <w:webHidden/>
          </w:rPr>
          <w:instrText xml:space="preserve"> PAGEREF _Toc353892634 \h </w:instrText>
        </w:r>
        <w:r>
          <w:rPr>
            <w:noProof/>
            <w:webHidden/>
          </w:rPr>
        </w:r>
        <w:r>
          <w:rPr>
            <w:noProof/>
            <w:webHidden/>
          </w:rPr>
          <w:fldChar w:fldCharType="separate"/>
        </w:r>
        <w:r w:rsidR="00EB51BB">
          <w:rPr>
            <w:noProof/>
            <w:webHidden/>
          </w:rPr>
          <w:t>49</w:t>
        </w:r>
        <w:r>
          <w:rPr>
            <w:noProof/>
            <w:webHidden/>
          </w:rPr>
          <w:fldChar w:fldCharType="end"/>
        </w:r>
      </w:hyperlink>
    </w:p>
    <w:p w:rsidR="0099781E" w:rsidRPr="0099781E" w:rsidRDefault="0099781E" w:rsidP="0099781E">
      <w:pPr>
        <w:rPr>
          <w:rFonts w:eastAsiaTheme="minorEastAsia"/>
          <w:noProof/>
        </w:rPr>
      </w:pPr>
    </w:p>
    <w:p w:rsidR="00E73C81" w:rsidRDefault="00E73C81" w:rsidP="0099781E">
      <w:pPr>
        <w:pStyle w:val="TOC1"/>
        <w:rPr>
          <w:rStyle w:val="Hyperlink"/>
        </w:rPr>
      </w:pPr>
      <w:hyperlink w:anchor="_Toc353892642" w:history="1">
        <w:r w:rsidRPr="00B925DA">
          <w:rPr>
            <w:rStyle w:val="Hyperlink"/>
          </w:rPr>
          <w:t>CHAPTER III</w:t>
        </w:r>
        <w:r w:rsidR="0099781E">
          <w:rPr>
            <w:rStyle w:val="Hyperlink"/>
          </w:rPr>
          <w:t xml:space="preserve"> PHYSIOLOGICAL EFFECTS OF CREEPING BENTGRASS PUTTING GREENS IN RESPONSE TO REPEATED STROBILURIN FUNGICIDE APPLICATIONS IN THE FIELD</w:t>
        </w:r>
        <w:r>
          <w:rPr>
            <w:webHidden/>
          </w:rPr>
          <w:tab/>
        </w:r>
        <w:r>
          <w:rPr>
            <w:webHidden/>
          </w:rPr>
          <w:fldChar w:fldCharType="begin"/>
        </w:r>
        <w:r>
          <w:rPr>
            <w:webHidden/>
          </w:rPr>
          <w:instrText xml:space="preserve"> PAGEREF _Toc353892642 \h </w:instrText>
        </w:r>
        <w:r>
          <w:rPr>
            <w:webHidden/>
          </w:rPr>
        </w:r>
        <w:r>
          <w:rPr>
            <w:webHidden/>
          </w:rPr>
          <w:fldChar w:fldCharType="separate"/>
        </w:r>
        <w:r w:rsidR="00EB51BB">
          <w:rPr>
            <w:webHidden/>
          </w:rPr>
          <w:t>57</w:t>
        </w:r>
        <w:r>
          <w:rPr>
            <w:webHidden/>
          </w:rPr>
          <w:fldChar w:fldCharType="end"/>
        </w:r>
      </w:hyperlink>
    </w:p>
    <w:p w:rsidR="0099781E" w:rsidRPr="0099781E" w:rsidRDefault="0099781E" w:rsidP="0099781E">
      <w:pPr>
        <w:rPr>
          <w:rFonts w:eastAsiaTheme="minorEastAsia"/>
          <w:noProof/>
        </w:rPr>
      </w:pPr>
    </w:p>
    <w:p w:rsidR="00E73C81" w:rsidRDefault="00E73C81" w:rsidP="0099781E">
      <w:pPr>
        <w:pStyle w:val="TOC2"/>
        <w:rPr>
          <w:rFonts w:asciiTheme="minorHAnsi" w:eastAsiaTheme="minorEastAsia" w:hAnsiTheme="minorHAnsi" w:cstheme="minorBidi"/>
          <w:noProof/>
          <w:sz w:val="22"/>
          <w:szCs w:val="22"/>
        </w:rPr>
      </w:pPr>
      <w:hyperlink w:anchor="_Toc353892647" w:history="1">
        <w:r w:rsidRPr="00B925DA">
          <w:rPr>
            <w:rStyle w:val="Hyperlink"/>
            <w:noProof/>
          </w:rPr>
          <w:t>ABSTRACT</w:t>
        </w:r>
        <w:r>
          <w:rPr>
            <w:noProof/>
            <w:webHidden/>
          </w:rPr>
          <w:tab/>
        </w:r>
        <w:r>
          <w:rPr>
            <w:noProof/>
            <w:webHidden/>
          </w:rPr>
          <w:fldChar w:fldCharType="begin"/>
        </w:r>
        <w:r>
          <w:rPr>
            <w:noProof/>
            <w:webHidden/>
          </w:rPr>
          <w:instrText xml:space="preserve"> PAGEREF _Toc353892647 \h </w:instrText>
        </w:r>
        <w:r>
          <w:rPr>
            <w:noProof/>
            <w:webHidden/>
          </w:rPr>
        </w:r>
        <w:r>
          <w:rPr>
            <w:noProof/>
            <w:webHidden/>
          </w:rPr>
          <w:fldChar w:fldCharType="separate"/>
        </w:r>
        <w:r w:rsidR="00EB51BB">
          <w:rPr>
            <w:noProof/>
            <w:webHidden/>
          </w:rPr>
          <w:t>58</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48" w:history="1">
        <w:r w:rsidRPr="00B925DA">
          <w:rPr>
            <w:rStyle w:val="Hyperlink"/>
            <w:noProof/>
          </w:rPr>
          <w:t>INTRODUCTION</w:t>
        </w:r>
        <w:r>
          <w:rPr>
            <w:noProof/>
            <w:webHidden/>
          </w:rPr>
          <w:tab/>
        </w:r>
        <w:r>
          <w:rPr>
            <w:noProof/>
            <w:webHidden/>
          </w:rPr>
          <w:fldChar w:fldCharType="begin"/>
        </w:r>
        <w:r>
          <w:rPr>
            <w:noProof/>
            <w:webHidden/>
          </w:rPr>
          <w:instrText xml:space="preserve"> PAGEREF _Toc353892648 \h </w:instrText>
        </w:r>
        <w:r>
          <w:rPr>
            <w:noProof/>
            <w:webHidden/>
          </w:rPr>
        </w:r>
        <w:r>
          <w:rPr>
            <w:noProof/>
            <w:webHidden/>
          </w:rPr>
          <w:fldChar w:fldCharType="separate"/>
        </w:r>
        <w:r w:rsidR="00EB51BB">
          <w:rPr>
            <w:noProof/>
            <w:webHidden/>
          </w:rPr>
          <w:t>60</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50" w:history="1">
        <w:r w:rsidRPr="00B925DA">
          <w:rPr>
            <w:rStyle w:val="Hyperlink"/>
            <w:noProof/>
          </w:rPr>
          <w:t>MATERIALS AND METHODS</w:t>
        </w:r>
        <w:r>
          <w:rPr>
            <w:noProof/>
            <w:webHidden/>
          </w:rPr>
          <w:tab/>
        </w:r>
        <w:r>
          <w:rPr>
            <w:noProof/>
            <w:webHidden/>
          </w:rPr>
          <w:fldChar w:fldCharType="begin"/>
        </w:r>
        <w:r>
          <w:rPr>
            <w:noProof/>
            <w:webHidden/>
          </w:rPr>
          <w:instrText xml:space="preserve"> PAGEREF _Toc353892650 \h </w:instrText>
        </w:r>
        <w:r>
          <w:rPr>
            <w:noProof/>
            <w:webHidden/>
          </w:rPr>
        </w:r>
        <w:r>
          <w:rPr>
            <w:noProof/>
            <w:webHidden/>
          </w:rPr>
          <w:fldChar w:fldCharType="separate"/>
        </w:r>
        <w:r w:rsidR="00EB51BB">
          <w:rPr>
            <w:noProof/>
            <w:webHidden/>
          </w:rPr>
          <w:t>63</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51" w:history="1">
        <w:r w:rsidRPr="00B925DA">
          <w:rPr>
            <w:rStyle w:val="Hyperlink"/>
            <w:noProof/>
          </w:rPr>
          <w:t>RESULTS</w:t>
        </w:r>
        <w:r>
          <w:rPr>
            <w:noProof/>
            <w:webHidden/>
          </w:rPr>
          <w:tab/>
        </w:r>
        <w:r>
          <w:rPr>
            <w:noProof/>
            <w:webHidden/>
          </w:rPr>
          <w:fldChar w:fldCharType="begin"/>
        </w:r>
        <w:r>
          <w:rPr>
            <w:noProof/>
            <w:webHidden/>
          </w:rPr>
          <w:instrText xml:space="preserve"> PAGEREF _Toc353892651 \h </w:instrText>
        </w:r>
        <w:r>
          <w:rPr>
            <w:noProof/>
            <w:webHidden/>
          </w:rPr>
        </w:r>
        <w:r>
          <w:rPr>
            <w:noProof/>
            <w:webHidden/>
          </w:rPr>
          <w:fldChar w:fldCharType="separate"/>
        </w:r>
        <w:r w:rsidR="00EB51BB">
          <w:rPr>
            <w:noProof/>
            <w:webHidden/>
          </w:rPr>
          <w:t>66</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52" w:history="1">
        <w:r w:rsidRPr="00B925DA">
          <w:rPr>
            <w:rStyle w:val="Hyperlink"/>
            <w:noProof/>
          </w:rPr>
          <w:t>CONCLUSION</w:t>
        </w:r>
        <w:r>
          <w:rPr>
            <w:noProof/>
            <w:webHidden/>
          </w:rPr>
          <w:tab/>
        </w:r>
        <w:r>
          <w:rPr>
            <w:noProof/>
            <w:webHidden/>
          </w:rPr>
          <w:fldChar w:fldCharType="begin"/>
        </w:r>
        <w:r>
          <w:rPr>
            <w:noProof/>
            <w:webHidden/>
          </w:rPr>
          <w:instrText xml:space="preserve"> PAGEREF _Toc353892652 \h </w:instrText>
        </w:r>
        <w:r>
          <w:rPr>
            <w:noProof/>
            <w:webHidden/>
          </w:rPr>
        </w:r>
        <w:r>
          <w:rPr>
            <w:noProof/>
            <w:webHidden/>
          </w:rPr>
          <w:fldChar w:fldCharType="separate"/>
        </w:r>
        <w:r w:rsidR="00EB51BB">
          <w:rPr>
            <w:noProof/>
            <w:webHidden/>
          </w:rPr>
          <w:t>70</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53" w:history="1">
        <w:r w:rsidRPr="00B925DA">
          <w:rPr>
            <w:rStyle w:val="Hyperlink"/>
            <w:noProof/>
          </w:rPr>
          <w:t>LITERATURE CITED</w:t>
        </w:r>
        <w:r>
          <w:rPr>
            <w:noProof/>
            <w:webHidden/>
          </w:rPr>
          <w:tab/>
        </w:r>
        <w:r>
          <w:rPr>
            <w:noProof/>
            <w:webHidden/>
          </w:rPr>
          <w:fldChar w:fldCharType="begin"/>
        </w:r>
        <w:r>
          <w:rPr>
            <w:noProof/>
            <w:webHidden/>
          </w:rPr>
          <w:instrText xml:space="preserve"> PAGEREF _Toc353892653 \h </w:instrText>
        </w:r>
        <w:r>
          <w:rPr>
            <w:noProof/>
            <w:webHidden/>
          </w:rPr>
        </w:r>
        <w:r>
          <w:rPr>
            <w:noProof/>
            <w:webHidden/>
          </w:rPr>
          <w:fldChar w:fldCharType="separate"/>
        </w:r>
        <w:r w:rsidR="00EB51BB">
          <w:rPr>
            <w:noProof/>
            <w:webHidden/>
          </w:rPr>
          <w:t>73</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54" w:history="1">
        <w:r w:rsidRPr="00B925DA">
          <w:rPr>
            <w:rStyle w:val="Hyperlink"/>
            <w:noProof/>
          </w:rPr>
          <w:t>APPENDIX</w:t>
        </w:r>
        <w:r>
          <w:rPr>
            <w:noProof/>
            <w:webHidden/>
          </w:rPr>
          <w:tab/>
        </w:r>
        <w:r>
          <w:rPr>
            <w:noProof/>
            <w:webHidden/>
          </w:rPr>
          <w:fldChar w:fldCharType="begin"/>
        </w:r>
        <w:r>
          <w:rPr>
            <w:noProof/>
            <w:webHidden/>
          </w:rPr>
          <w:instrText xml:space="preserve"> PAGEREF _Toc353892654 \h </w:instrText>
        </w:r>
        <w:r>
          <w:rPr>
            <w:noProof/>
            <w:webHidden/>
          </w:rPr>
        </w:r>
        <w:r>
          <w:rPr>
            <w:noProof/>
            <w:webHidden/>
          </w:rPr>
          <w:fldChar w:fldCharType="separate"/>
        </w:r>
        <w:r w:rsidR="00EB51BB">
          <w:rPr>
            <w:noProof/>
            <w:webHidden/>
          </w:rPr>
          <w:t>78</w:t>
        </w:r>
        <w:r>
          <w:rPr>
            <w:noProof/>
            <w:webHidden/>
          </w:rPr>
          <w:fldChar w:fldCharType="end"/>
        </w:r>
      </w:hyperlink>
    </w:p>
    <w:p w:rsidR="00E73C81" w:rsidRDefault="00E73C81" w:rsidP="0099781E">
      <w:pPr>
        <w:pStyle w:val="TOC2"/>
        <w:rPr>
          <w:rFonts w:asciiTheme="minorHAnsi" w:eastAsiaTheme="minorEastAsia" w:hAnsiTheme="minorHAnsi" w:cstheme="minorBidi"/>
          <w:noProof/>
          <w:sz w:val="22"/>
          <w:szCs w:val="22"/>
        </w:rPr>
      </w:pPr>
      <w:hyperlink w:anchor="_Toc353892655" w:history="1">
        <w:r w:rsidRPr="00B925DA">
          <w:rPr>
            <w:rStyle w:val="Hyperlink"/>
            <w:noProof/>
          </w:rPr>
          <w:t>TABLES AND FIGURES</w:t>
        </w:r>
        <w:r>
          <w:rPr>
            <w:noProof/>
            <w:webHidden/>
          </w:rPr>
          <w:tab/>
        </w:r>
        <w:r>
          <w:rPr>
            <w:noProof/>
            <w:webHidden/>
          </w:rPr>
          <w:fldChar w:fldCharType="begin"/>
        </w:r>
        <w:r>
          <w:rPr>
            <w:noProof/>
            <w:webHidden/>
          </w:rPr>
          <w:instrText xml:space="preserve"> PAGEREF _Toc353892655 \h </w:instrText>
        </w:r>
        <w:r>
          <w:rPr>
            <w:noProof/>
            <w:webHidden/>
          </w:rPr>
        </w:r>
        <w:r>
          <w:rPr>
            <w:noProof/>
            <w:webHidden/>
          </w:rPr>
          <w:fldChar w:fldCharType="separate"/>
        </w:r>
        <w:r w:rsidR="00EB51BB">
          <w:rPr>
            <w:noProof/>
            <w:webHidden/>
          </w:rPr>
          <w:t>78</w:t>
        </w:r>
        <w:r>
          <w:rPr>
            <w:noProof/>
            <w:webHidden/>
          </w:rPr>
          <w:fldChar w:fldCharType="end"/>
        </w:r>
      </w:hyperlink>
    </w:p>
    <w:p w:rsidR="0099781E" w:rsidRPr="0099781E" w:rsidRDefault="00E73C81" w:rsidP="0099781E">
      <w:pPr>
        <w:pStyle w:val="TOC1"/>
        <w:spacing w:line="480" w:lineRule="auto"/>
        <w:rPr>
          <w:color w:val="0000FF"/>
          <w:u w:val="single"/>
        </w:rPr>
      </w:pPr>
      <w:hyperlink w:anchor="_Toc353892664" w:history="1">
        <w:r w:rsidRPr="00B925DA">
          <w:rPr>
            <w:rStyle w:val="Hyperlink"/>
          </w:rPr>
          <w:t>CONCLUSIONS</w:t>
        </w:r>
        <w:r>
          <w:rPr>
            <w:webHidden/>
          </w:rPr>
          <w:tab/>
        </w:r>
        <w:r>
          <w:rPr>
            <w:webHidden/>
          </w:rPr>
          <w:fldChar w:fldCharType="begin"/>
        </w:r>
        <w:r>
          <w:rPr>
            <w:webHidden/>
          </w:rPr>
          <w:instrText xml:space="preserve"> PAGEREF _Toc353892664 \h </w:instrText>
        </w:r>
        <w:r>
          <w:rPr>
            <w:webHidden/>
          </w:rPr>
        </w:r>
        <w:r>
          <w:rPr>
            <w:webHidden/>
          </w:rPr>
          <w:fldChar w:fldCharType="separate"/>
        </w:r>
        <w:r w:rsidR="00EB51BB">
          <w:rPr>
            <w:webHidden/>
          </w:rPr>
          <w:t>87</w:t>
        </w:r>
        <w:r>
          <w:rPr>
            <w:webHidden/>
          </w:rPr>
          <w:fldChar w:fldCharType="end"/>
        </w:r>
      </w:hyperlink>
    </w:p>
    <w:p w:rsidR="00E73C81" w:rsidRDefault="00E73C81" w:rsidP="0099781E">
      <w:pPr>
        <w:pStyle w:val="TOC1"/>
        <w:spacing w:line="480" w:lineRule="auto"/>
        <w:rPr>
          <w:rFonts w:asciiTheme="minorHAnsi" w:eastAsiaTheme="minorEastAsia" w:hAnsiTheme="minorHAnsi" w:cstheme="minorBidi"/>
          <w:sz w:val="22"/>
          <w:szCs w:val="22"/>
        </w:rPr>
      </w:pPr>
      <w:hyperlink w:anchor="_Toc353892665" w:history="1">
        <w:r w:rsidRPr="00B925DA">
          <w:rPr>
            <w:rStyle w:val="Hyperlink"/>
          </w:rPr>
          <w:t>VITA</w:t>
        </w:r>
        <w:r>
          <w:rPr>
            <w:webHidden/>
          </w:rPr>
          <w:tab/>
        </w:r>
        <w:r>
          <w:rPr>
            <w:webHidden/>
          </w:rPr>
          <w:fldChar w:fldCharType="begin"/>
        </w:r>
        <w:r>
          <w:rPr>
            <w:webHidden/>
          </w:rPr>
          <w:instrText xml:space="preserve"> PAGEREF _Toc353892665 \h </w:instrText>
        </w:r>
        <w:r>
          <w:rPr>
            <w:webHidden/>
          </w:rPr>
        </w:r>
        <w:r>
          <w:rPr>
            <w:webHidden/>
          </w:rPr>
          <w:fldChar w:fldCharType="separate"/>
        </w:r>
        <w:r w:rsidR="00EB51BB">
          <w:rPr>
            <w:webHidden/>
          </w:rPr>
          <w:t>90</w:t>
        </w:r>
        <w:r>
          <w:rPr>
            <w:webHidden/>
          </w:rPr>
          <w:fldChar w:fldCharType="end"/>
        </w:r>
      </w:hyperlink>
    </w:p>
    <w:p w:rsidR="004411FF" w:rsidRDefault="00D00E0E" w:rsidP="003F5A59">
      <w:pPr>
        <w:numPr>
          <w:ilvl w:val="12"/>
          <w:numId w:val="0"/>
        </w:numPr>
        <w:jc w:val="center"/>
        <w:rPr>
          <w:rFonts w:ascii="Arial" w:hAnsi="Arial" w:cs="Arial"/>
          <w:b/>
          <w:bCs/>
          <w:sz w:val="28"/>
          <w:szCs w:val="28"/>
        </w:rPr>
      </w:pPr>
      <w:r>
        <w:fldChar w:fldCharType="end"/>
      </w:r>
      <w:r>
        <w:rPr>
          <w:rFonts w:ascii="Arial" w:hAnsi="Arial" w:cs="Arial"/>
          <w:b/>
          <w:bCs/>
          <w:sz w:val="28"/>
          <w:szCs w:val="28"/>
        </w:rPr>
        <w:t xml:space="preserve"> </w:t>
      </w: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3F5A59" w:rsidRDefault="003F5A59" w:rsidP="003F5A59">
      <w:pPr>
        <w:numPr>
          <w:ilvl w:val="12"/>
          <w:numId w:val="0"/>
        </w:numPr>
        <w:jc w:val="center"/>
        <w:rPr>
          <w:rFonts w:ascii="Arial" w:hAnsi="Arial" w:cs="Arial"/>
          <w:b/>
          <w:bCs/>
          <w:sz w:val="28"/>
          <w:szCs w:val="28"/>
        </w:rPr>
      </w:pPr>
    </w:p>
    <w:p w:rsidR="0099781E" w:rsidRDefault="0099781E" w:rsidP="0099781E">
      <w:pPr>
        <w:numPr>
          <w:ilvl w:val="12"/>
          <w:numId w:val="0"/>
        </w:numPr>
        <w:rPr>
          <w:rFonts w:ascii="Arial" w:hAnsi="Arial" w:cs="Arial"/>
          <w:b/>
          <w:bCs/>
          <w:sz w:val="28"/>
          <w:szCs w:val="28"/>
        </w:rPr>
      </w:pPr>
    </w:p>
    <w:p w:rsidR="0099781E" w:rsidRDefault="0099781E" w:rsidP="003F5A59">
      <w:pPr>
        <w:numPr>
          <w:ilvl w:val="12"/>
          <w:numId w:val="0"/>
        </w:numPr>
        <w:jc w:val="center"/>
        <w:rPr>
          <w:rFonts w:ascii="Arial" w:hAnsi="Arial" w:cs="Arial"/>
          <w:b/>
          <w:bCs/>
          <w:sz w:val="28"/>
          <w:szCs w:val="28"/>
        </w:rPr>
      </w:pPr>
    </w:p>
    <w:p w:rsidR="0099781E" w:rsidRDefault="0099781E" w:rsidP="003F5A59">
      <w:pPr>
        <w:numPr>
          <w:ilvl w:val="12"/>
          <w:numId w:val="0"/>
        </w:numPr>
        <w:jc w:val="center"/>
        <w:rPr>
          <w:rFonts w:ascii="Arial" w:hAnsi="Arial" w:cs="Arial"/>
          <w:b/>
          <w:bCs/>
          <w:sz w:val="28"/>
          <w:szCs w:val="28"/>
        </w:rPr>
      </w:pPr>
    </w:p>
    <w:p w:rsidR="004411FF" w:rsidRDefault="004411FF" w:rsidP="00D00E0E">
      <w:pPr>
        <w:numPr>
          <w:ilvl w:val="12"/>
          <w:numId w:val="0"/>
        </w:numPr>
        <w:jc w:val="center"/>
        <w:rPr>
          <w:rFonts w:ascii="Arial" w:hAnsi="Arial" w:cs="Arial"/>
          <w:b/>
          <w:bCs/>
          <w:sz w:val="28"/>
          <w:szCs w:val="28"/>
        </w:rPr>
      </w:pPr>
    </w:p>
    <w:p w:rsidR="00787461" w:rsidRPr="005F21E6" w:rsidRDefault="00787461" w:rsidP="00787461">
      <w:pPr>
        <w:numPr>
          <w:ilvl w:val="12"/>
          <w:numId w:val="0"/>
        </w:numPr>
        <w:jc w:val="center"/>
      </w:pPr>
      <w:r w:rsidRPr="005F21E6">
        <w:rPr>
          <w:b/>
          <w:bCs/>
          <w:sz w:val="28"/>
          <w:szCs w:val="28"/>
        </w:rPr>
        <w:t>LIST OF TABLES</w:t>
      </w:r>
    </w:p>
    <w:p w:rsidR="003F5A59" w:rsidRDefault="003F5A59" w:rsidP="003F5A5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051556" w:rsidRDefault="003F5A59" w:rsidP="0099781E">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p>
    <w:p w:rsidR="00051556" w:rsidRDefault="00051556" w:rsidP="00787461">
      <w:pPr>
        <w:pStyle w:val="TOC2"/>
        <w:spacing w:line="240" w:lineRule="auto"/>
        <w:ind w:left="0"/>
        <w:rPr>
          <w:rStyle w:val="Hyperlink"/>
          <w:noProof/>
        </w:rPr>
      </w:pPr>
      <w:hyperlink w:anchor="_Toc353890894" w:history="1">
        <w:r w:rsidRPr="00787461">
          <w:rPr>
            <w:rStyle w:val="Hyperlink"/>
            <w:rFonts w:eastAsia="Calibri"/>
            <w:b/>
            <w:noProof/>
          </w:rPr>
          <w:t>Table 2.1.</w:t>
        </w:r>
        <w:r w:rsidRPr="005F641C">
          <w:rPr>
            <w:rStyle w:val="Hyperlink"/>
            <w:rFonts w:eastAsia="Calibri"/>
            <w:noProof/>
          </w:rPr>
          <w:t xml:space="preserve"> Summer fungicide program integrated with strobilurin f</w:t>
        </w:r>
        <w:r w:rsidRPr="005F641C">
          <w:rPr>
            <w:rStyle w:val="Hyperlink"/>
            <w:rFonts w:eastAsia="Calibri"/>
            <w:noProof/>
          </w:rPr>
          <w:t>u</w:t>
        </w:r>
        <w:r w:rsidRPr="005F641C">
          <w:rPr>
            <w:rStyle w:val="Hyperlink"/>
            <w:rFonts w:eastAsia="Calibri"/>
            <w:noProof/>
          </w:rPr>
          <w:t>ngicides.</w:t>
        </w:r>
        <w:r>
          <w:rPr>
            <w:noProof/>
            <w:webHidden/>
          </w:rPr>
          <w:tab/>
        </w:r>
        <w:r>
          <w:rPr>
            <w:noProof/>
            <w:webHidden/>
          </w:rPr>
          <w:fldChar w:fldCharType="begin"/>
        </w:r>
        <w:r>
          <w:rPr>
            <w:noProof/>
            <w:webHidden/>
          </w:rPr>
          <w:instrText xml:space="preserve"> PAGEREF _Toc353890894 \h </w:instrText>
        </w:r>
        <w:r>
          <w:rPr>
            <w:noProof/>
            <w:webHidden/>
          </w:rPr>
        </w:r>
        <w:r>
          <w:rPr>
            <w:noProof/>
            <w:webHidden/>
          </w:rPr>
          <w:fldChar w:fldCharType="separate"/>
        </w:r>
        <w:r w:rsidR="00EB51BB">
          <w:rPr>
            <w:noProof/>
            <w:webHidden/>
          </w:rPr>
          <w:t>50</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895" w:history="1">
        <w:r w:rsidRPr="00787461">
          <w:rPr>
            <w:rStyle w:val="Hyperlink"/>
            <w:rFonts w:eastAsia="Cambria"/>
            <w:b/>
            <w:noProof/>
          </w:rPr>
          <w:t>Table 2.2</w:t>
        </w:r>
        <w:r w:rsidR="00787461" w:rsidRPr="00787461">
          <w:rPr>
            <w:rStyle w:val="Hyperlink"/>
            <w:rFonts w:eastAsia="Cambria"/>
            <w:b/>
            <w:noProof/>
          </w:rPr>
          <w:t>.</w:t>
        </w:r>
        <w:r w:rsidRPr="005F641C">
          <w:rPr>
            <w:rStyle w:val="Hyperlink"/>
            <w:rFonts w:eastAsia="Cambria"/>
            <w:noProof/>
          </w:rPr>
          <w:t xml:space="preserve"> Analysis of variance for turfgrass quality, turfgrass cover, normalized difference vegetation index (NDVI), and ratio vegetation index (RVI) on a ‘Dominant Southern’ creeping bentgrass (</w:t>
        </w:r>
        <w:r w:rsidRPr="005F641C">
          <w:rPr>
            <w:rStyle w:val="Hyperlink"/>
            <w:rFonts w:eastAsia="Cambria"/>
            <w:i/>
            <w:noProof/>
          </w:rPr>
          <w:t>Agrostis stolonifera</w:t>
        </w:r>
        <w:r w:rsidRPr="005F641C">
          <w:rPr>
            <w:rStyle w:val="Hyperlink"/>
            <w:rFonts w:eastAsia="Cambria"/>
            <w:noProof/>
          </w:rPr>
          <w:t xml:space="preserve"> L.) putting green subjected to various strobilurin fungicide programs in 2011 in Strawberry Plains, TN.</w:t>
        </w:r>
        <w:r>
          <w:rPr>
            <w:noProof/>
            <w:webHidden/>
          </w:rPr>
          <w:tab/>
        </w:r>
        <w:r>
          <w:rPr>
            <w:noProof/>
            <w:webHidden/>
          </w:rPr>
          <w:fldChar w:fldCharType="begin"/>
        </w:r>
        <w:r>
          <w:rPr>
            <w:noProof/>
            <w:webHidden/>
          </w:rPr>
          <w:instrText xml:space="preserve"> PAGEREF _Toc353890895 \h </w:instrText>
        </w:r>
        <w:r>
          <w:rPr>
            <w:noProof/>
            <w:webHidden/>
          </w:rPr>
        </w:r>
        <w:r>
          <w:rPr>
            <w:noProof/>
            <w:webHidden/>
          </w:rPr>
          <w:fldChar w:fldCharType="separate"/>
        </w:r>
        <w:r w:rsidR="00EB51BB">
          <w:rPr>
            <w:noProof/>
            <w:webHidden/>
          </w:rPr>
          <w:t>51</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896" w:history="1">
        <w:r w:rsidRPr="00787461">
          <w:rPr>
            <w:rStyle w:val="Hyperlink"/>
            <w:rFonts w:eastAsia="Calibri"/>
            <w:b/>
            <w:noProof/>
          </w:rPr>
          <w:t>Table 2.3.</w:t>
        </w:r>
        <w:r w:rsidRPr="005F641C">
          <w:rPr>
            <w:rStyle w:val="Hyperlink"/>
            <w:rFonts w:eastAsia="Calibri"/>
            <w:noProof/>
          </w:rPr>
          <w:t xml:space="preserve"> Analysis of area under the (X) progress curve for visual turfgrass quality, normalized difference vegetation index (NDVI), and ratio vegetation index (RVI), and percent turfgrass cover following applications of various strobilurin fungicide programs in 2011 and 2012 in Strawberry Plains, TN, on a ‘Dominant Southern’ creeping bentgrass (</w:t>
        </w:r>
        <w:r w:rsidRPr="005F641C">
          <w:rPr>
            <w:rStyle w:val="Hyperlink"/>
            <w:rFonts w:eastAsia="Calibri"/>
            <w:i/>
            <w:noProof/>
          </w:rPr>
          <w:t>Agrostis stolonifera</w:t>
        </w:r>
        <w:r w:rsidRPr="005F641C">
          <w:rPr>
            <w:rStyle w:val="Hyperlink"/>
            <w:rFonts w:eastAsia="Calibri"/>
            <w:noProof/>
          </w:rPr>
          <w:t xml:space="preserve"> L.) putting green.</w:t>
        </w:r>
        <w:r>
          <w:rPr>
            <w:noProof/>
            <w:webHidden/>
          </w:rPr>
          <w:tab/>
        </w:r>
        <w:r>
          <w:rPr>
            <w:noProof/>
            <w:webHidden/>
          </w:rPr>
          <w:fldChar w:fldCharType="begin"/>
        </w:r>
        <w:r>
          <w:rPr>
            <w:noProof/>
            <w:webHidden/>
          </w:rPr>
          <w:instrText xml:space="preserve"> PAGEREF _Toc353890896 \h </w:instrText>
        </w:r>
        <w:r>
          <w:rPr>
            <w:noProof/>
            <w:webHidden/>
          </w:rPr>
        </w:r>
        <w:r>
          <w:rPr>
            <w:noProof/>
            <w:webHidden/>
          </w:rPr>
          <w:fldChar w:fldCharType="separate"/>
        </w:r>
        <w:r w:rsidR="00EB51BB">
          <w:rPr>
            <w:noProof/>
            <w:webHidden/>
          </w:rPr>
          <w:t>52</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897" w:history="1">
        <w:r w:rsidRPr="00787461">
          <w:rPr>
            <w:rStyle w:val="Hyperlink"/>
            <w:rFonts w:eastAsia="Cambria"/>
            <w:b/>
            <w:noProof/>
          </w:rPr>
          <w:t>Table 2.4.</w:t>
        </w:r>
        <w:r w:rsidRPr="005F641C">
          <w:rPr>
            <w:rStyle w:val="Hyperlink"/>
            <w:rFonts w:eastAsia="Cambria"/>
            <w:noProof/>
          </w:rPr>
          <w:t xml:space="preserve"> </w:t>
        </w:r>
        <w:r w:rsidRPr="005F641C">
          <w:rPr>
            <w:rStyle w:val="Hyperlink"/>
            <w:rFonts w:eastAsia="Calibri"/>
            <w:noProof/>
          </w:rPr>
          <w:t xml:space="preserve"> Analysis of</w:t>
        </w:r>
        <w:r w:rsidRPr="005F641C">
          <w:rPr>
            <w:rStyle w:val="Hyperlink"/>
            <w:rFonts w:eastAsia="Cambria"/>
            <w:noProof/>
          </w:rPr>
          <w:t xml:space="preserve"> variance for turfgrass quality, turfgrass cover, normalized difference vegetation index (NDVI), and ratio vegetation index (RVI) </w:t>
        </w:r>
        <w:r w:rsidRPr="005F641C">
          <w:rPr>
            <w:rStyle w:val="Hyperlink"/>
            <w:rFonts w:eastAsia="Calibri"/>
            <w:noProof/>
          </w:rPr>
          <w:t>following applications of various strobilurin fungicide programs in 2012 in Strawberry Plains, TN, on a ‘Dominant Southern’ creeping bentgrass (</w:t>
        </w:r>
        <w:r w:rsidRPr="005F641C">
          <w:rPr>
            <w:rStyle w:val="Hyperlink"/>
            <w:rFonts w:eastAsia="Calibri"/>
            <w:i/>
            <w:noProof/>
          </w:rPr>
          <w:t>Agrostis stolonifera</w:t>
        </w:r>
        <w:r w:rsidRPr="005F641C">
          <w:rPr>
            <w:rStyle w:val="Hyperlink"/>
            <w:rFonts w:eastAsia="Calibri"/>
            <w:noProof/>
          </w:rPr>
          <w:t xml:space="preserve"> L.) putting green subjected to various strobilurin fungicide programs in 2012.</w:t>
        </w:r>
        <w:r>
          <w:rPr>
            <w:noProof/>
            <w:webHidden/>
          </w:rPr>
          <w:tab/>
        </w:r>
        <w:r>
          <w:rPr>
            <w:noProof/>
            <w:webHidden/>
          </w:rPr>
          <w:fldChar w:fldCharType="begin"/>
        </w:r>
        <w:r>
          <w:rPr>
            <w:noProof/>
            <w:webHidden/>
          </w:rPr>
          <w:instrText xml:space="preserve"> PAGEREF _Toc353890897 \h </w:instrText>
        </w:r>
        <w:r>
          <w:rPr>
            <w:noProof/>
            <w:webHidden/>
          </w:rPr>
        </w:r>
        <w:r>
          <w:rPr>
            <w:noProof/>
            <w:webHidden/>
          </w:rPr>
          <w:fldChar w:fldCharType="separate"/>
        </w:r>
        <w:r w:rsidR="00EB51BB">
          <w:rPr>
            <w:noProof/>
            <w:webHidden/>
          </w:rPr>
          <w:t>53</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898" w:history="1">
        <w:r w:rsidRPr="00787461">
          <w:rPr>
            <w:rStyle w:val="Hyperlink"/>
            <w:rFonts w:eastAsia="Calibri"/>
            <w:b/>
            <w:noProof/>
          </w:rPr>
          <w:t>Table 2.5.</w:t>
        </w:r>
        <w:r w:rsidRPr="005F641C">
          <w:rPr>
            <w:rStyle w:val="Hyperlink"/>
            <w:rFonts w:eastAsia="Calibri"/>
            <w:noProof/>
          </w:rPr>
          <w:t xml:space="preserve"> Visual measurements of turfgrass quality under various strobilurin fungicide programs in 2012. Fungicide programs were located in Strawberry Plains, TN, on a ‘Dominant Southern’ creeping bentgrass (</w:t>
        </w:r>
        <w:r w:rsidRPr="005F641C">
          <w:rPr>
            <w:rStyle w:val="Hyperlink"/>
            <w:rFonts w:eastAsia="Calibri"/>
            <w:i/>
            <w:noProof/>
          </w:rPr>
          <w:t>Agrostis stolonifera</w:t>
        </w:r>
        <w:r w:rsidRPr="005F641C">
          <w:rPr>
            <w:rStyle w:val="Hyperlink"/>
            <w:rFonts w:eastAsia="Calibri"/>
            <w:noProof/>
          </w:rPr>
          <w:t xml:space="preserve"> L.) putting green.</w:t>
        </w:r>
        <w:r>
          <w:rPr>
            <w:noProof/>
            <w:webHidden/>
          </w:rPr>
          <w:tab/>
        </w:r>
        <w:r>
          <w:rPr>
            <w:noProof/>
            <w:webHidden/>
          </w:rPr>
          <w:fldChar w:fldCharType="begin"/>
        </w:r>
        <w:r>
          <w:rPr>
            <w:noProof/>
            <w:webHidden/>
          </w:rPr>
          <w:instrText xml:space="preserve"> PAGEREF _Toc353890898 \h </w:instrText>
        </w:r>
        <w:r>
          <w:rPr>
            <w:noProof/>
            <w:webHidden/>
          </w:rPr>
        </w:r>
        <w:r>
          <w:rPr>
            <w:noProof/>
            <w:webHidden/>
          </w:rPr>
          <w:fldChar w:fldCharType="separate"/>
        </w:r>
        <w:r w:rsidR="00EB51BB">
          <w:rPr>
            <w:noProof/>
            <w:webHidden/>
          </w:rPr>
          <w:t>54</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899" w:history="1">
        <w:r w:rsidRPr="00787461">
          <w:rPr>
            <w:rStyle w:val="Hyperlink"/>
            <w:rFonts w:eastAsia="Calibri"/>
            <w:b/>
            <w:noProof/>
          </w:rPr>
          <w:t>Table 2.6.</w:t>
        </w:r>
        <w:r w:rsidRPr="005F641C">
          <w:rPr>
            <w:rStyle w:val="Hyperlink"/>
            <w:rFonts w:eastAsia="Calibri"/>
            <w:noProof/>
          </w:rPr>
          <w:t xml:space="preserve"> Total root length, root surface area, root length density, root volume, and root biomass of a ‘Dominant Southern’ creeping bentgrass </w:t>
        </w:r>
        <w:r w:rsidRPr="005F641C">
          <w:rPr>
            <w:rStyle w:val="Hyperlink"/>
            <w:rFonts w:eastAsia="Cambria"/>
            <w:noProof/>
          </w:rPr>
          <w:t>(</w:t>
        </w:r>
        <w:r w:rsidRPr="005F641C">
          <w:rPr>
            <w:rStyle w:val="Hyperlink"/>
            <w:rFonts w:eastAsia="Cambria"/>
            <w:i/>
            <w:noProof/>
          </w:rPr>
          <w:t>Agrostis stolonifera</w:t>
        </w:r>
        <w:r w:rsidRPr="005F641C">
          <w:rPr>
            <w:rStyle w:val="Hyperlink"/>
            <w:rFonts w:eastAsia="Cambria"/>
            <w:noProof/>
          </w:rPr>
          <w:t xml:space="preserve"> L.) putting green</w:t>
        </w:r>
        <w:r w:rsidRPr="005F641C">
          <w:rPr>
            <w:rStyle w:val="Hyperlink"/>
            <w:rFonts w:eastAsia="Calibri"/>
            <w:noProof/>
          </w:rPr>
          <w:t xml:space="preserve"> treated with various strobilurin fungicide programs in 2011 in Strawberry Plains, TN.</w:t>
        </w:r>
        <w:r>
          <w:rPr>
            <w:noProof/>
            <w:webHidden/>
          </w:rPr>
          <w:tab/>
        </w:r>
        <w:r>
          <w:rPr>
            <w:noProof/>
            <w:webHidden/>
          </w:rPr>
          <w:fldChar w:fldCharType="begin"/>
        </w:r>
        <w:r>
          <w:rPr>
            <w:noProof/>
            <w:webHidden/>
          </w:rPr>
          <w:instrText xml:space="preserve"> PAGEREF _Toc353890899 \h </w:instrText>
        </w:r>
        <w:r>
          <w:rPr>
            <w:noProof/>
            <w:webHidden/>
          </w:rPr>
        </w:r>
        <w:r>
          <w:rPr>
            <w:noProof/>
            <w:webHidden/>
          </w:rPr>
          <w:fldChar w:fldCharType="separate"/>
        </w:r>
        <w:r w:rsidR="00EB51BB">
          <w:rPr>
            <w:noProof/>
            <w:webHidden/>
          </w:rPr>
          <w:t>55</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900" w:history="1">
        <w:r w:rsidRPr="00787461">
          <w:rPr>
            <w:rStyle w:val="Hyperlink"/>
            <w:rFonts w:eastAsia="Cambria"/>
            <w:b/>
            <w:noProof/>
          </w:rPr>
          <w:t>Table 2.7.</w:t>
        </w:r>
        <w:r w:rsidRPr="005F641C">
          <w:rPr>
            <w:rStyle w:val="Hyperlink"/>
            <w:rFonts w:eastAsia="Cambria"/>
            <w:noProof/>
          </w:rPr>
          <w:t xml:space="preserve"> Analysis of variance for percent brown patch for individual dates and the area under the brown patch progress curve (AUBPPC) on ‘Dominant Southern’ creeping bentgrass (</w:t>
        </w:r>
        <w:r w:rsidRPr="005F641C">
          <w:rPr>
            <w:rStyle w:val="Hyperlink"/>
            <w:rFonts w:eastAsia="Cambria"/>
            <w:i/>
            <w:noProof/>
          </w:rPr>
          <w:t>Agrostis stolonifera</w:t>
        </w:r>
        <w:r w:rsidRPr="005F641C">
          <w:rPr>
            <w:rStyle w:val="Hyperlink"/>
            <w:rFonts w:eastAsia="Cambria"/>
            <w:noProof/>
          </w:rPr>
          <w:t xml:space="preserve"> L.) putting green subjected to various strobilurin fungicide programs in 2011 and 2012 in Strawberry Plains, TN.</w:t>
        </w:r>
        <w:r>
          <w:rPr>
            <w:noProof/>
            <w:webHidden/>
          </w:rPr>
          <w:tab/>
        </w:r>
        <w:r>
          <w:rPr>
            <w:noProof/>
            <w:webHidden/>
          </w:rPr>
          <w:fldChar w:fldCharType="begin"/>
        </w:r>
        <w:r>
          <w:rPr>
            <w:noProof/>
            <w:webHidden/>
          </w:rPr>
          <w:instrText xml:space="preserve"> PAGEREF _Toc353890900 \h </w:instrText>
        </w:r>
        <w:r>
          <w:rPr>
            <w:noProof/>
            <w:webHidden/>
          </w:rPr>
        </w:r>
        <w:r>
          <w:rPr>
            <w:noProof/>
            <w:webHidden/>
          </w:rPr>
          <w:fldChar w:fldCharType="separate"/>
        </w:r>
        <w:r w:rsidR="00EB51BB">
          <w:rPr>
            <w:noProof/>
            <w:webHidden/>
          </w:rPr>
          <w:t>56</w:t>
        </w:r>
        <w:r>
          <w:rPr>
            <w:noProof/>
            <w:webHidden/>
          </w:rPr>
          <w:fldChar w:fldCharType="end"/>
        </w:r>
      </w:hyperlink>
    </w:p>
    <w:p w:rsidR="00787461" w:rsidRPr="00787461" w:rsidRDefault="00787461" w:rsidP="00787461">
      <w:pPr>
        <w:rPr>
          <w:rFonts w:eastAsiaTheme="minorEastAsia"/>
          <w:noProof/>
        </w:rPr>
      </w:pPr>
    </w:p>
    <w:p w:rsidR="00787461" w:rsidRPr="00787461" w:rsidRDefault="00051556" w:rsidP="00787461">
      <w:pPr>
        <w:pStyle w:val="TOC2"/>
        <w:spacing w:line="240" w:lineRule="auto"/>
        <w:ind w:left="0"/>
        <w:rPr>
          <w:noProof/>
          <w:color w:val="0000FF"/>
          <w:u w:val="single"/>
        </w:rPr>
      </w:pPr>
      <w:hyperlink w:anchor="_Toc353890915" w:history="1">
        <w:r w:rsidRPr="00787461">
          <w:rPr>
            <w:rStyle w:val="Hyperlink"/>
            <w:rFonts w:eastAsia="Calibri"/>
            <w:b/>
            <w:noProof/>
          </w:rPr>
          <w:t>Table 3.1.</w:t>
        </w:r>
        <w:r w:rsidRPr="005F641C">
          <w:rPr>
            <w:rStyle w:val="Hyperlink"/>
            <w:rFonts w:eastAsia="Calibri"/>
            <w:noProof/>
          </w:rPr>
          <w:t xml:space="preserve"> Visual measurements of turfgrass quality (Pooled across two experimental runs) on a ‘Dominant Southern’ creeping bentgrass (</w:t>
        </w:r>
        <w:r w:rsidRPr="005F641C">
          <w:rPr>
            <w:rStyle w:val="Hyperlink"/>
            <w:rFonts w:eastAsia="Calibri"/>
            <w:i/>
            <w:noProof/>
          </w:rPr>
          <w:t>Agrostis stolonifera</w:t>
        </w:r>
        <w:r w:rsidRPr="005F641C">
          <w:rPr>
            <w:rStyle w:val="Hyperlink"/>
            <w:rFonts w:eastAsia="Calibri"/>
            <w:noProof/>
          </w:rPr>
          <w:t xml:space="preserve"> L.) putting green located in Knoxville, TN, under untreated (UNT) or oversprayed (OS) whole plots with various strobilurin fungicides in 2011 and 2012.</w:t>
        </w:r>
        <w:r>
          <w:rPr>
            <w:noProof/>
            <w:webHidden/>
          </w:rPr>
          <w:tab/>
        </w:r>
        <w:r>
          <w:rPr>
            <w:noProof/>
            <w:webHidden/>
          </w:rPr>
          <w:fldChar w:fldCharType="begin"/>
        </w:r>
        <w:r>
          <w:rPr>
            <w:noProof/>
            <w:webHidden/>
          </w:rPr>
          <w:instrText xml:space="preserve"> PAGEREF _Toc353890915 \h </w:instrText>
        </w:r>
        <w:r>
          <w:rPr>
            <w:noProof/>
            <w:webHidden/>
          </w:rPr>
        </w:r>
        <w:r>
          <w:rPr>
            <w:noProof/>
            <w:webHidden/>
          </w:rPr>
          <w:fldChar w:fldCharType="separate"/>
        </w:r>
        <w:r w:rsidR="00EB51BB">
          <w:rPr>
            <w:noProof/>
            <w:webHidden/>
          </w:rPr>
          <w:t>79</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916" w:history="1">
        <w:r w:rsidRPr="00787461">
          <w:rPr>
            <w:rStyle w:val="Hyperlink"/>
            <w:rFonts w:eastAsia="Cambria"/>
            <w:b/>
            <w:noProof/>
          </w:rPr>
          <w:t>Table 3.2.</w:t>
        </w:r>
        <w:r w:rsidRPr="005F641C">
          <w:rPr>
            <w:rStyle w:val="Hyperlink"/>
            <w:rFonts w:eastAsia="Cambria"/>
            <w:noProof/>
          </w:rPr>
          <w:t xml:space="preserve"> Analysis of variance (Pooled across two experimental runs) for turfgrass quality and turfgrass cover data collected on a ‘Dominant Southern’ creeping bentgrass </w:t>
        </w:r>
        <w:r w:rsidRPr="005F641C">
          <w:rPr>
            <w:rStyle w:val="Hyperlink"/>
            <w:rFonts w:eastAsia="Cambria"/>
            <w:noProof/>
          </w:rPr>
          <w:lastRenderedPageBreak/>
          <w:t>(</w:t>
        </w:r>
        <w:r w:rsidRPr="005F641C">
          <w:rPr>
            <w:rStyle w:val="Hyperlink"/>
            <w:rFonts w:eastAsia="Cambria"/>
            <w:i/>
            <w:noProof/>
          </w:rPr>
          <w:t>Agrostis stolonifera</w:t>
        </w:r>
        <w:r w:rsidRPr="005F641C">
          <w:rPr>
            <w:rStyle w:val="Hyperlink"/>
            <w:rFonts w:eastAsia="Cambria"/>
            <w:noProof/>
          </w:rPr>
          <w:t xml:space="preserve"> L.) putting green subjected to various strobilurin fungicide treatments and overspray combinations in 2011 and 2012.</w:t>
        </w:r>
        <w:r>
          <w:rPr>
            <w:noProof/>
            <w:webHidden/>
          </w:rPr>
          <w:tab/>
        </w:r>
        <w:r>
          <w:rPr>
            <w:noProof/>
            <w:webHidden/>
          </w:rPr>
          <w:fldChar w:fldCharType="begin"/>
        </w:r>
        <w:r>
          <w:rPr>
            <w:noProof/>
            <w:webHidden/>
          </w:rPr>
          <w:instrText xml:space="preserve"> PAGEREF _Toc353890916 \h </w:instrText>
        </w:r>
        <w:r>
          <w:rPr>
            <w:noProof/>
            <w:webHidden/>
          </w:rPr>
        </w:r>
        <w:r>
          <w:rPr>
            <w:noProof/>
            <w:webHidden/>
          </w:rPr>
          <w:fldChar w:fldCharType="separate"/>
        </w:r>
        <w:r w:rsidR="00EB51BB">
          <w:rPr>
            <w:noProof/>
            <w:webHidden/>
          </w:rPr>
          <w:t>80</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917" w:history="1">
        <w:r w:rsidRPr="00787461">
          <w:rPr>
            <w:rStyle w:val="Hyperlink"/>
            <w:rFonts w:eastAsia="Calibri"/>
            <w:b/>
            <w:noProof/>
          </w:rPr>
          <w:t>Table 3.3.</w:t>
        </w:r>
        <w:r w:rsidRPr="005F641C">
          <w:rPr>
            <w:rStyle w:val="Hyperlink"/>
            <w:rFonts w:eastAsia="Calibri"/>
            <w:noProof/>
          </w:rPr>
          <w:t xml:space="preserve"> Analysis of area under the (x) progress curve </w:t>
        </w:r>
        <w:r w:rsidRPr="005F641C">
          <w:rPr>
            <w:rStyle w:val="Hyperlink"/>
            <w:rFonts w:eastAsia="Cambria"/>
            <w:noProof/>
          </w:rPr>
          <w:t>(Pooled across two experimental runs)</w:t>
        </w:r>
        <w:r w:rsidRPr="005F641C">
          <w:rPr>
            <w:rStyle w:val="Hyperlink"/>
            <w:rFonts w:eastAsia="Calibri"/>
            <w:noProof/>
          </w:rPr>
          <w:t xml:space="preserve"> for turfgrass quality, normalized difference vegetation index (NDVI), ratio vegetation index (RVI), and percent turfgrass cover under untreated (UNT) or oversprayed (OS) whole plots with various strobilurin fungicides in 2011 and 2012 . Treatments were located in Knoxville, TN, on a ‘Dominant Southern’ creeping bentgrass (</w:t>
        </w:r>
        <w:r w:rsidRPr="005F641C">
          <w:rPr>
            <w:rStyle w:val="Hyperlink"/>
            <w:rFonts w:eastAsia="Cambria"/>
            <w:i/>
            <w:noProof/>
          </w:rPr>
          <w:t>Agrostis stolonifera</w:t>
        </w:r>
        <w:r w:rsidRPr="005F641C">
          <w:rPr>
            <w:rStyle w:val="Hyperlink"/>
            <w:rFonts w:eastAsia="Cambria"/>
            <w:noProof/>
          </w:rPr>
          <w:t xml:space="preserve"> L.) putting green.</w:t>
        </w:r>
        <w:r>
          <w:rPr>
            <w:noProof/>
            <w:webHidden/>
          </w:rPr>
          <w:tab/>
        </w:r>
        <w:r>
          <w:rPr>
            <w:noProof/>
            <w:webHidden/>
          </w:rPr>
          <w:fldChar w:fldCharType="begin"/>
        </w:r>
        <w:r>
          <w:rPr>
            <w:noProof/>
            <w:webHidden/>
          </w:rPr>
          <w:instrText xml:space="preserve"> PAGEREF _Toc353890917 \h </w:instrText>
        </w:r>
        <w:r>
          <w:rPr>
            <w:noProof/>
            <w:webHidden/>
          </w:rPr>
        </w:r>
        <w:r>
          <w:rPr>
            <w:noProof/>
            <w:webHidden/>
          </w:rPr>
          <w:fldChar w:fldCharType="separate"/>
        </w:r>
        <w:r w:rsidR="00EB51BB">
          <w:rPr>
            <w:noProof/>
            <w:webHidden/>
          </w:rPr>
          <w:t>81</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918" w:history="1">
        <w:r w:rsidRPr="00787461">
          <w:rPr>
            <w:rStyle w:val="Hyperlink"/>
            <w:rFonts w:eastAsia="Cambria"/>
            <w:b/>
            <w:noProof/>
          </w:rPr>
          <w:t>Table 3.4.</w:t>
        </w:r>
        <w:r w:rsidRPr="005F641C">
          <w:rPr>
            <w:rStyle w:val="Hyperlink"/>
            <w:rFonts w:eastAsia="Cambria"/>
            <w:noProof/>
          </w:rPr>
          <w:t xml:space="preserve"> Analysis of variance (Pooled across two experimental runs) for dollar spot, brown patch, and cyanobacteria on a ‘Dominant Southern’ creeping bentgrass (</w:t>
        </w:r>
        <w:r w:rsidRPr="005F641C">
          <w:rPr>
            <w:rStyle w:val="Hyperlink"/>
            <w:rFonts w:eastAsia="Cambria"/>
            <w:i/>
            <w:noProof/>
          </w:rPr>
          <w:t>Agrostis stolonifera</w:t>
        </w:r>
        <w:r w:rsidRPr="005F641C">
          <w:rPr>
            <w:rStyle w:val="Hyperlink"/>
            <w:rFonts w:eastAsia="Cambria"/>
            <w:noProof/>
          </w:rPr>
          <w:t xml:space="preserve"> L.) putting green subjected to various strobilurin fungicide treatments and overspray combinations in 2011 and 2012.</w:t>
        </w:r>
        <w:r>
          <w:rPr>
            <w:noProof/>
            <w:webHidden/>
          </w:rPr>
          <w:tab/>
        </w:r>
        <w:r>
          <w:rPr>
            <w:noProof/>
            <w:webHidden/>
          </w:rPr>
          <w:fldChar w:fldCharType="begin"/>
        </w:r>
        <w:r>
          <w:rPr>
            <w:noProof/>
            <w:webHidden/>
          </w:rPr>
          <w:instrText xml:space="preserve"> PAGEREF _Toc353890918 \h </w:instrText>
        </w:r>
        <w:r>
          <w:rPr>
            <w:noProof/>
            <w:webHidden/>
          </w:rPr>
        </w:r>
        <w:r>
          <w:rPr>
            <w:noProof/>
            <w:webHidden/>
          </w:rPr>
          <w:fldChar w:fldCharType="separate"/>
        </w:r>
        <w:r w:rsidR="00EB51BB">
          <w:rPr>
            <w:noProof/>
            <w:webHidden/>
          </w:rPr>
          <w:t>82</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919" w:history="1">
        <w:r w:rsidRPr="00787461">
          <w:rPr>
            <w:rStyle w:val="Hyperlink"/>
            <w:rFonts w:eastAsia="Calibri"/>
            <w:b/>
            <w:noProof/>
          </w:rPr>
          <w:t>Table 3.5.</w:t>
        </w:r>
        <w:r w:rsidRPr="005F641C">
          <w:rPr>
            <w:rStyle w:val="Hyperlink"/>
            <w:rFonts w:eastAsia="Calibri"/>
            <w:noProof/>
          </w:rPr>
          <w:t xml:space="preserve"> Spectral reflectance measurements for normalized difference vegetation index (NDVI) (Pooled across two experimental runs) on a ‘Dominant Southern’ creeping bentgrass (</w:t>
        </w:r>
        <w:r w:rsidRPr="005F641C">
          <w:rPr>
            <w:rStyle w:val="Hyperlink"/>
            <w:rFonts w:eastAsia="Calibri"/>
            <w:i/>
            <w:noProof/>
          </w:rPr>
          <w:t>Agrostis stolonifera</w:t>
        </w:r>
        <w:r w:rsidRPr="005F641C">
          <w:rPr>
            <w:rStyle w:val="Hyperlink"/>
            <w:rFonts w:eastAsia="Calibri"/>
            <w:noProof/>
          </w:rPr>
          <w:t xml:space="preserve"> L.) putting green located in Knoxville,TN, under untreated (UNT) or oversprayed (OS) whole plots with various strobilurin fungicides  in 2011 and 2012.</w:t>
        </w:r>
        <w:r>
          <w:rPr>
            <w:noProof/>
            <w:webHidden/>
          </w:rPr>
          <w:tab/>
        </w:r>
        <w:r>
          <w:rPr>
            <w:noProof/>
            <w:webHidden/>
          </w:rPr>
          <w:fldChar w:fldCharType="begin"/>
        </w:r>
        <w:r>
          <w:rPr>
            <w:noProof/>
            <w:webHidden/>
          </w:rPr>
          <w:instrText xml:space="preserve"> PAGEREF _Toc353890919 \h </w:instrText>
        </w:r>
        <w:r>
          <w:rPr>
            <w:noProof/>
            <w:webHidden/>
          </w:rPr>
        </w:r>
        <w:r>
          <w:rPr>
            <w:noProof/>
            <w:webHidden/>
          </w:rPr>
          <w:fldChar w:fldCharType="separate"/>
        </w:r>
        <w:r w:rsidR="00EB51BB">
          <w:rPr>
            <w:noProof/>
            <w:webHidden/>
          </w:rPr>
          <w:t>83</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920" w:history="1">
        <w:r w:rsidRPr="00787461">
          <w:rPr>
            <w:rStyle w:val="Hyperlink"/>
            <w:rFonts w:eastAsia="Cambria"/>
            <w:b/>
            <w:noProof/>
          </w:rPr>
          <w:t xml:space="preserve">Table 3.6. </w:t>
        </w:r>
        <w:r w:rsidRPr="005F641C">
          <w:rPr>
            <w:rStyle w:val="Hyperlink"/>
            <w:rFonts w:eastAsia="Cambria"/>
            <w:noProof/>
          </w:rPr>
          <w:t>Analysis of variance (Pooled across two experimental runs) for normalized difference vegetation index (NDVI) and ratio vegetation index (RVI) on a ‘Dominant Southern’ creeping bentgrass (</w:t>
        </w:r>
        <w:r w:rsidRPr="005F641C">
          <w:rPr>
            <w:rStyle w:val="Hyperlink"/>
            <w:rFonts w:eastAsia="Cambria"/>
            <w:i/>
            <w:noProof/>
          </w:rPr>
          <w:t>Agrostis stolonifera L.</w:t>
        </w:r>
        <w:r w:rsidRPr="005F641C">
          <w:rPr>
            <w:rStyle w:val="Hyperlink"/>
            <w:rFonts w:eastAsia="Cambria"/>
            <w:noProof/>
          </w:rPr>
          <w:t>) putting green subjected to various strobilurin fungicide treatments and overspray combinations in 2011 and 2012.</w:t>
        </w:r>
        <w:r>
          <w:rPr>
            <w:noProof/>
            <w:webHidden/>
          </w:rPr>
          <w:tab/>
        </w:r>
        <w:r>
          <w:rPr>
            <w:noProof/>
            <w:webHidden/>
          </w:rPr>
          <w:fldChar w:fldCharType="begin"/>
        </w:r>
        <w:r>
          <w:rPr>
            <w:noProof/>
            <w:webHidden/>
          </w:rPr>
          <w:instrText xml:space="preserve"> PAGEREF _Toc353890920 \h </w:instrText>
        </w:r>
        <w:r>
          <w:rPr>
            <w:noProof/>
            <w:webHidden/>
          </w:rPr>
        </w:r>
        <w:r>
          <w:rPr>
            <w:noProof/>
            <w:webHidden/>
          </w:rPr>
          <w:fldChar w:fldCharType="separate"/>
        </w:r>
        <w:r w:rsidR="00EB51BB">
          <w:rPr>
            <w:noProof/>
            <w:webHidden/>
          </w:rPr>
          <w:t>84</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Style w:val="Hyperlink"/>
          <w:noProof/>
        </w:rPr>
      </w:pPr>
      <w:hyperlink w:anchor="_Toc353890921" w:history="1">
        <w:r w:rsidRPr="00787461">
          <w:rPr>
            <w:rStyle w:val="Hyperlink"/>
            <w:rFonts w:eastAsia="Calibri"/>
            <w:b/>
            <w:noProof/>
          </w:rPr>
          <w:t>Table 3.7.</w:t>
        </w:r>
        <w:r w:rsidRPr="005F641C">
          <w:rPr>
            <w:rStyle w:val="Hyperlink"/>
            <w:rFonts w:eastAsia="Calibri"/>
            <w:noProof/>
          </w:rPr>
          <w:t xml:space="preserve"> Analysis of visual root length </w:t>
        </w:r>
        <w:r w:rsidRPr="005F641C">
          <w:rPr>
            <w:rStyle w:val="Hyperlink"/>
            <w:rFonts w:eastAsia="Cambria"/>
            <w:noProof/>
          </w:rPr>
          <w:t>(Pooled across two experimental runs) on a “Dominant Southern’ creeping bentgrass (</w:t>
        </w:r>
        <w:r w:rsidRPr="005F641C">
          <w:rPr>
            <w:rStyle w:val="Hyperlink"/>
            <w:rFonts w:eastAsia="Cambria"/>
            <w:i/>
            <w:noProof/>
          </w:rPr>
          <w:t>Agrostis stolonifera</w:t>
        </w:r>
        <w:r w:rsidRPr="005F641C">
          <w:rPr>
            <w:rStyle w:val="Hyperlink"/>
            <w:rFonts w:eastAsia="Cambria"/>
            <w:noProof/>
          </w:rPr>
          <w:t xml:space="preserve"> L.) putting green located in Knoxville, TN,</w:t>
        </w:r>
        <w:r w:rsidRPr="005F641C">
          <w:rPr>
            <w:rStyle w:val="Hyperlink"/>
            <w:rFonts w:eastAsia="Calibri"/>
            <w:noProof/>
          </w:rPr>
          <w:t xml:space="preserve"> under untreated (UNT) or oversprayed (OS) whole plots with various strobilurin fungicides in 2011 and 2012.</w:t>
        </w:r>
        <w:r>
          <w:rPr>
            <w:noProof/>
            <w:webHidden/>
          </w:rPr>
          <w:tab/>
        </w:r>
        <w:r>
          <w:rPr>
            <w:noProof/>
            <w:webHidden/>
          </w:rPr>
          <w:fldChar w:fldCharType="begin"/>
        </w:r>
        <w:r>
          <w:rPr>
            <w:noProof/>
            <w:webHidden/>
          </w:rPr>
          <w:instrText xml:space="preserve"> PAGEREF _Toc353890921 \h </w:instrText>
        </w:r>
        <w:r>
          <w:rPr>
            <w:noProof/>
            <w:webHidden/>
          </w:rPr>
        </w:r>
        <w:r>
          <w:rPr>
            <w:noProof/>
            <w:webHidden/>
          </w:rPr>
          <w:fldChar w:fldCharType="separate"/>
        </w:r>
        <w:r w:rsidR="00EB51BB">
          <w:rPr>
            <w:noProof/>
            <w:webHidden/>
          </w:rPr>
          <w:t>85</w:t>
        </w:r>
        <w:r>
          <w:rPr>
            <w:noProof/>
            <w:webHidden/>
          </w:rPr>
          <w:fldChar w:fldCharType="end"/>
        </w:r>
      </w:hyperlink>
    </w:p>
    <w:p w:rsidR="00787461" w:rsidRPr="00787461" w:rsidRDefault="00787461" w:rsidP="00787461">
      <w:pPr>
        <w:rPr>
          <w:rFonts w:eastAsiaTheme="minorEastAsia"/>
          <w:noProof/>
        </w:rPr>
      </w:pPr>
    </w:p>
    <w:p w:rsidR="00051556" w:rsidRDefault="00051556" w:rsidP="00787461">
      <w:pPr>
        <w:pStyle w:val="TOC2"/>
        <w:spacing w:line="240" w:lineRule="auto"/>
        <w:ind w:left="0"/>
        <w:rPr>
          <w:rFonts w:asciiTheme="minorHAnsi" w:eastAsiaTheme="minorEastAsia" w:hAnsiTheme="minorHAnsi" w:cstheme="minorBidi"/>
          <w:noProof/>
          <w:sz w:val="22"/>
          <w:szCs w:val="22"/>
        </w:rPr>
      </w:pPr>
      <w:hyperlink w:anchor="_Toc353890922" w:history="1">
        <w:r w:rsidRPr="00787461">
          <w:rPr>
            <w:rStyle w:val="Hyperlink"/>
            <w:rFonts w:eastAsia="Calibri"/>
            <w:b/>
            <w:noProof/>
          </w:rPr>
          <w:t>Table 3.8.</w:t>
        </w:r>
        <w:r w:rsidRPr="005F641C">
          <w:rPr>
            <w:rStyle w:val="Hyperlink"/>
            <w:rFonts w:eastAsia="Calibri"/>
            <w:noProof/>
          </w:rPr>
          <w:t xml:space="preserve"> Analysis of area under the (x) progress curve (Pooled across two experimental runs) for turfgrass quality, normalized difference vegetation Index (NDVI), ratio vegetation index (RVI), turfgrass cover, dollar spot, and cyanobacteria under untreated or over sprayed whole plots in 2011 and 2012. Treatments were located in Knoxville, TN, on a ‘Dominant Southern’ creeping bentgrass (</w:t>
        </w:r>
        <w:r w:rsidRPr="005F641C">
          <w:rPr>
            <w:rStyle w:val="Hyperlink"/>
            <w:rFonts w:eastAsia="Calibri"/>
            <w:i/>
            <w:noProof/>
          </w:rPr>
          <w:t>Agrostis stolonifera</w:t>
        </w:r>
        <w:r w:rsidRPr="005F641C">
          <w:rPr>
            <w:rStyle w:val="Hyperlink"/>
            <w:rFonts w:eastAsia="Calibri"/>
            <w:noProof/>
          </w:rPr>
          <w:t xml:space="preserve"> L.) putting green.</w:t>
        </w:r>
        <w:r>
          <w:rPr>
            <w:noProof/>
            <w:webHidden/>
          </w:rPr>
          <w:tab/>
        </w:r>
        <w:r>
          <w:rPr>
            <w:noProof/>
            <w:webHidden/>
          </w:rPr>
          <w:fldChar w:fldCharType="begin"/>
        </w:r>
        <w:r>
          <w:rPr>
            <w:noProof/>
            <w:webHidden/>
          </w:rPr>
          <w:instrText xml:space="preserve"> PAGEREF _Toc353890922 \h </w:instrText>
        </w:r>
        <w:r>
          <w:rPr>
            <w:noProof/>
            <w:webHidden/>
          </w:rPr>
        </w:r>
        <w:r>
          <w:rPr>
            <w:noProof/>
            <w:webHidden/>
          </w:rPr>
          <w:fldChar w:fldCharType="separate"/>
        </w:r>
        <w:r w:rsidR="00EB51BB">
          <w:rPr>
            <w:noProof/>
            <w:webHidden/>
          </w:rPr>
          <w:t>86</w:t>
        </w:r>
        <w:r>
          <w:rPr>
            <w:noProof/>
            <w:webHidden/>
          </w:rPr>
          <w:fldChar w:fldCharType="end"/>
        </w:r>
      </w:hyperlink>
    </w:p>
    <w:p w:rsidR="004411FF" w:rsidRDefault="003F5A59" w:rsidP="003F5A59">
      <w:pPr>
        <w:numPr>
          <w:ilvl w:val="12"/>
          <w:numId w:val="0"/>
        </w:numPr>
        <w:jc w:val="center"/>
        <w:rPr>
          <w:rFonts w:ascii="Arial" w:hAnsi="Arial" w:cs="Arial"/>
          <w:b/>
          <w:bCs/>
          <w:sz w:val="28"/>
          <w:szCs w:val="28"/>
        </w:rPr>
      </w:pPr>
      <w:r>
        <w:fldChar w:fldCharType="end"/>
      </w:r>
    </w:p>
    <w:p w:rsidR="004411FF" w:rsidRDefault="004411FF" w:rsidP="00D00E0E">
      <w:pPr>
        <w:numPr>
          <w:ilvl w:val="12"/>
          <w:numId w:val="0"/>
        </w:numPr>
        <w:jc w:val="center"/>
        <w:rPr>
          <w:rFonts w:ascii="Arial" w:hAnsi="Arial" w:cs="Arial"/>
          <w:b/>
          <w:bCs/>
          <w:sz w:val="28"/>
          <w:szCs w:val="28"/>
        </w:rPr>
      </w:pPr>
    </w:p>
    <w:p w:rsidR="004411FF" w:rsidRDefault="004411FF" w:rsidP="00D00E0E">
      <w:pPr>
        <w:numPr>
          <w:ilvl w:val="12"/>
          <w:numId w:val="0"/>
        </w:numPr>
        <w:jc w:val="center"/>
        <w:rPr>
          <w:rFonts w:ascii="Arial" w:hAnsi="Arial" w:cs="Arial"/>
          <w:b/>
          <w:bCs/>
          <w:sz w:val="28"/>
          <w:szCs w:val="28"/>
        </w:rPr>
      </w:pPr>
    </w:p>
    <w:p w:rsidR="00067052" w:rsidRDefault="00067052" w:rsidP="00067052">
      <w:pPr>
        <w:numPr>
          <w:ilvl w:val="12"/>
          <w:numId w:val="0"/>
        </w:numPr>
        <w:rPr>
          <w:rFonts w:ascii="Arial" w:hAnsi="Arial" w:cs="Arial"/>
          <w:b/>
          <w:bCs/>
          <w:sz w:val="28"/>
          <w:szCs w:val="28"/>
        </w:rPr>
      </w:pPr>
    </w:p>
    <w:p w:rsidR="00787461" w:rsidRDefault="00787461" w:rsidP="00067052">
      <w:pPr>
        <w:numPr>
          <w:ilvl w:val="12"/>
          <w:numId w:val="0"/>
        </w:numPr>
        <w:rPr>
          <w:rFonts w:ascii="Arial" w:hAnsi="Arial" w:cs="Arial"/>
          <w:b/>
          <w:bCs/>
          <w:sz w:val="28"/>
          <w:szCs w:val="28"/>
        </w:rPr>
      </w:pPr>
    </w:p>
    <w:p w:rsidR="00787461" w:rsidRDefault="00787461" w:rsidP="00067052">
      <w:pPr>
        <w:numPr>
          <w:ilvl w:val="12"/>
          <w:numId w:val="0"/>
        </w:numPr>
        <w:rPr>
          <w:rFonts w:ascii="Arial" w:hAnsi="Arial" w:cs="Arial"/>
        </w:rPr>
        <w:sectPr w:rsidR="00787461" w:rsidSect="00A95827">
          <w:headerReference w:type="even" r:id="rId14"/>
          <w:headerReference w:type="default" r:id="rId15"/>
          <w:footerReference w:type="default" r:id="rId16"/>
          <w:pgSz w:w="12240" w:h="15840" w:code="1"/>
          <w:pgMar w:top="1440" w:right="1800" w:bottom="1872" w:left="1800" w:header="720" w:footer="1440" w:gutter="0"/>
          <w:pgNumType w:fmt="lowerRoman" w:start="1"/>
          <w:cols w:space="720"/>
          <w:noEndnote/>
          <w:titlePg/>
          <w:docGrid w:linePitch="326"/>
        </w:sectPr>
      </w:pPr>
    </w:p>
    <w:p w:rsidR="00067052" w:rsidRDefault="00067052" w:rsidP="00067052">
      <w:pPr>
        <w:numPr>
          <w:ilvl w:val="12"/>
          <w:numId w:val="0"/>
        </w:numPr>
        <w:jc w:val="center"/>
        <w:rPr>
          <w:b/>
          <w:sz w:val="28"/>
          <w:szCs w:val="28"/>
        </w:rPr>
      </w:pPr>
      <w:bookmarkStart w:id="0" w:name="_Toc286145903"/>
      <w:r w:rsidRPr="00B96BD4">
        <w:rPr>
          <w:b/>
          <w:sz w:val="28"/>
          <w:szCs w:val="28"/>
        </w:rPr>
        <w:lastRenderedPageBreak/>
        <w:br/>
      </w:r>
      <w:bookmarkEnd w:id="0"/>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787461" w:rsidRDefault="00787461"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jc w:val="center"/>
        <w:rPr>
          <w:b/>
          <w:sz w:val="28"/>
          <w:szCs w:val="28"/>
        </w:rPr>
      </w:pPr>
    </w:p>
    <w:p w:rsidR="00067052" w:rsidRDefault="00067052" w:rsidP="00067052">
      <w:pPr>
        <w:numPr>
          <w:ilvl w:val="12"/>
          <w:numId w:val="0"/>
        </w:numPr>
        <w:rPr>
          <w:b/>
          <w:sz w:val="28"/>
          <w:szCs w:val="28"/>
        </w:rPr>
      </w:pPr>
    </w:p>
    <w:p w:rsidR="00067052" w:rsidRPr="00866DB2" w:rsidRDefault="00067052" w:rsidP="00866DB2">
      <w:pPr>
        <w:pStyle w:val="Heading1"/>
      </w:pPr>
      <w:bookmarkStart w:id="1" w:name="_Toc353873519"/>
      <w:bookmarkStart w:id="2" w:name="_Toc353890870"/>
      <w:bookmarkStart w:id="3" w:name="_Toc353892611"/>
      <w:r w:rsidRPr="00866DB2">
        <w:t>CHAPTER I</w:t>
      </w:r>
      <w:bookmarkEnd w:id="1"/>
      <w:bookmarkEnd w:id="2"/>
      <w:bookmarkEnd w:id="3"/>
    </w:p>
    <w:p w:rsidR="00067052" w:rsidRPr="00866DB2" w:rsidRDefault="00067052" w:rsidP="00866DB2">
      <w:pPr>
        <w:pStyle w:val="Heading1"/>
      </w:pPr>
      <w:bookmarkStart w:id="4" w:name="_Toc353873520"/>
      <w:bookmarkStart w:id="5" w:name="_Toc353875000"/>
      <w:bookmarkStart w:id="6" w:name="_Toc353890871"/>
      <w:bookmarkStart w:id="7" w:name="_Toc353892612"/>
      <w:r w:rsidRPr="00866DB2">
        <w:t>LITERATURE REVIEW</w:t>
      </w:r>
      <w:bookmarkEnd w:id="4"/>
      <w:bookmarkEnd w:id="5"/>
      <w:bookmarkEnd w:id="6"/>
      <w:bookmarkEnd w:id="7"/>
    </w:p>
    <w:p w:rsidR="00067052" w:rsidRDefault="00067052" w:rsidP="00067052">
      <w:pPr>
        <w:numPr>
          <w:ilvl w:val="12"/>
          <w:numId w:val="0"/>
        </w:numPr>
        <w:jc w:val="center"/>
        <w:rPr>
          <w:rFonts w:ascii="Arial" w:hAnsi="Arial" w:cs="Arial"/>
          <w:sz w:val="32"/>
          <w:szCs w:val="32"/>
        </w:rPr>
      </w:pPr>
    </w:p>
    <w:p w:rsidR="00067052" w:rsidRDefault="00067052" w:rsidP="000670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067052" w:rsidRDefault="00067052" w:rsidP="00067052">
      <w:pPr>
        <w:pStyle w:val="Caption"/>
        <w:jc w:val="center"/>
        <w:rPr>
          <w:rFonts w:ascii="Arial" w:hAnsi="Arial" w:cs="Arial"/>
          <w:sz w:val="24"/>
        </w:rPr>
      </w:pPr>
    </w:p>
    <w:p w:rsidR="00067052" w:rsidRDefault="00067052" w:rsidP="006F4EE7">
      <w:pPr>
        <w:pStyle w:val="Heading2"/>
        <w:rPr>
          <w:rFonts w:eastAsia="Calibri" w:cs="Times New Roman"/>
        </w:rPr>
      </w:pPr>
      <w:r>
        <w:br w:type="page"/>
      </w:r>
      <w:bookmarkStart w:id="8" w:name="_Toc353873521"/>
      <w:bookmarkStart w:id="9" w:name="_Toc353890872"/>
      <w:bookmarkStart w:id="10" w:name="_Toc353892613"/>
      <w:r w:rsidRPr="006F4EE7">
        <w:rPr>
          <w:rFonts w:eastAsia="Calibri" w:cs="Times New Roman"/>
        </w:rPr>
        <w:lastRenderedPageBreak/>
        <w:t>CREEPING BENTGRASS</w:t>
      </w:r>
      <w:bookmarkEnd w:id="8"/>
      <w:bookmarkEnd w:id="9"/>
      <w:bookmarkEnd w:id="10"/>
    </w:p>
    <w:p w:rsidR="00866DB2" w:rsidRPr="00866DB2" w:rsidRDefault="00866DB2" w:rsidP="00866DB2">
      <w:pPr>
        <w:rPr>
          <w:rFonts w:eastAsia="Calibri"/>
        </w:rPr>
      </w:pPr>
    </w:p>
    <w:p w:rsidR="00067052" w:rsidRDefault="00067052" w:rsidP="00067052">
      <w:pPr>
        <w:spacing w:line="480" w:lineRule="auto"/>
        <w:ind w:firstLine="720"/>
        <w:rPr>
          <w:rFonts w:eastAsia="Calibri"/>
        </w:rPr>
      </w:pPr>
      <w:r w:rsidRPr="00BA3E06">
        <w:rPr>
          <w:rFonts w:eastAsia="Calibri"/>
        </w:rPr>
        <w:t>Creeping bentgrass (</w:t>
      </w:r>
      <w:r w:rsidRPr="00BA3E06">
        <w:rPr>
          <w:rFonts w:eastAsia="Calibri"/>
          <w:i/>
        </w:rPr>
        <w:t xml:space="preserve">Agrostis stolonifera </w:t>
      </w:r>
      <w:r w:rsidRPr="00BA3E06">
        <w:rPr>
          <w:rFonts w:eastAsia="Calibri"/>
        </w:rPr>
        <w:t>L.) is a perennial C</w:t>
      </w:r>
      <w:r w:rsidRPr="00BA3E06">
        <w:rPr>
          <w:rFonts w:eastAsia="Calibri"/>
          <w:vertAlign w:val="subscript"/>
        </w:rPr>
        <w:t xml:space="preserve">3 </w:t>
      </w:r>
      <w:r w:rsidRPr="00BA3E06">
        <w:rPr>
          <w:rFonts w:eastAsia="Calibri"/>
        </w:rPr>
        <w:t>grass belonging to Family Poaceae, Subfamily Pooideae, and Tribe Avenae</w:t>
      </w:r>
      <w:r>
        <w:rPr>
          <w:rFonts w:eastAsia="Calibri"/>
        </w:rPr>
        <w:t xml:space="preserve"> (Beard,</w:t>
      </w:r>
      <w:r w:rsidRPr="00F13F97">
        <w:rPr>
          <w:rFonts w:eastAsia="Calibri"/>
        </w:rPr>
        <w:t xml:space="preserve"> 2002</w:t>
      </w:r>
      <w:r>
        <w:rPr>
          <w:rFonts w:eastAsia="Calibri"/>
        </w:rPr>
        <w:t>)</w:t>
      </w:r>
      <w:r w:rsidRPr="00BA3E06">
        <w:rPr>
          <w:rFonts w:eastAsia="Calibri"/>
        </w:rPr>
        <w:t>. This species is predominantly established in turfgrass systems through seed and spreads laterally across the soil sur</w:t>
      </w:r>
      <w:r>
        <w:rPr>
          <w:rFonts w:eastAsia="Calibri"/>
        </w:rPr>
        <w:t>face through stoloniferous growt</w:t>
      </w:r>
      <w:r w:rsidRPr="00BA3E06">
        <w:rPr>
          <w:rFonts w:eastAsia="Calibri"/>
        </w:rPr>
        <w:t>h</w:t>
      </w:r>
      <w:r>
        <w:rPr>
          <w:rFonts w:eastAsia="Calibri"/>
        </w:rPr>
        <w:t xml:space="preserve"> (</w:t>
      </w:r>
      <w:r w:rsidRPr="00F13F97">
        <w:rPr>
          <w:rFonts w:eastAsia="Calibri"/>
        </w:rPr>
        <w:t>Beard, 2002</w:t>
      </w:r>
      <w:r>
        <w:rPr>
          <w:rFonts w:eastAsia="Calibri"/>
        </w:rPr>
        <w:t>)</w:t>
      </w:r>
      <w:r w:rsidRPr="00BA3E06">
        <w:rPr>
          <w:rFonts w:eastAsia="Calibri"/>
        </w:rPr>
        <w:t>.  The primary use of creeping bentgrass in the United States is for golf course surfaces due to its fine texture, dense growth habit, and tolerance to frequent close mowing (</w:t>
      </w:r>
      <w:r w:rsidRPr="00F13F97">
        <w:rPr>
          <w:rFonts w:eastAsia="Calibri"/>
        </w:rPr>
        <w:t>Turgeon, 1999</w:t>
      </w:r>
      <w:r w:rsidRPr="00BA3E06">
        <w:rPr>
          <w:rFonts w:eastAsia="Calibri"/>
        </w:rPr>
        <w:t>). This adaptability to tolerate mowing heights at less than 3 mm is the predominant reason creeping bentgrass is the most seeded turfgrass for golf course putting greens throughout the temperate regions of the United States (</w:t>
      </w:r>
      <w:r w:rsidRPr="00D11DF4">
        <w:rPr>
          <w:rFonts w:eastAsia="Calibri"/>
        </w:rPr>
        <w:t>Lyman et al., 2007</w:t>
      </w:r>
      <w:r w:rsidRPr="00BA3E06">
        <w:rPr>
          <w:rFonts w:eastAsia="Calibri"/>
        </w:rPr>
        <w:t>).</w:t>
      </w:r>
    </w:p>
    <w:p w:rsidR="00067052" w:rsidRPr="00BA3E06" w:rsidRDefault="00067052" w:rsidP="00067052">
      <w:pPr>
        <w:spacing w:after="200" w:line="480" w:lineRule="auto"/>
        <w:ind w:firstLine="720"/>
        <w:rPr>
          <w:rFonts w:eastAsia="Calibri"/>
        </w:rPr>
      </w:pPr>
      <w:r w:rsidRPr="00BA3E06">
        <w:rPr>
          <w:rFonts w:eastAsia="Calibri"/>
        </w:rPr>
        <w:t>As a cool season turfgrass, creeping bentgrass is seldom used in the southern most states due to its poor tolerance to prolonged heat. In these regions, hybrid bermudagrass</w:t>
      </w:r>
      <w:r>
        <w:rPr>
          <w:rFonts w:eastAsia="Calibri"/>
        </w:rPr>
        <w:t xml:space="preserve"> (</w:t>
      </w:r>
      <w:r>
        <w:rPr>
          <w:rStyle w:val="Emphasis"/>
        </w:rPr>
        <w:t>Cynodon dactylon</w:t>
      </w:r>
      <w:r>
        <w:t xml:space="preserve"> L. × </w:t>
      </w:r>
      <w:r>
        <w:rPr>
          <w:rStyle w:val="Emphasis"/>
        </w:rPr>
        <w:t>C. transvaalensis</w:t>
      </w:r>
      <w:r>
        <w:t xml:space="preserve"> Burtt-Davy</w:t>
      </w:r>
      <w:r>
        <w:rPr>
          <w:rStyle w:val="st"/>
        </w:rPr>
        <w:t>)</w:t>
      </w:r>
      <w:r w:rsidRPr="00BA3E06">
        <w:rPr>
          <w:rFonts w:eastAsia="Calibri"/>
        </w:rPr>
        <w:t xml:space="preserve"> greens </w:t>
      </w:r>
      <w:r>
        <w:rPr>
          <w:rFonts w:eastAsia="Calibri"/>
        </w:rPr>
        <w:t xml:space="preserve">are more commonly established </w:t>
      </w:r>
      <w:r w:rsidRPr="00BA3E06">
        <w:rPr>
          <w:rFonts w:eastAsia="Calibri"/>
        </w:rPr>
        <w:t>(</w:t>
      </w:r>
      <w:r w:rsidRPr="00D11DF4">
        <w:rPr>
          <w:rFonts w:eastAsia="Calibri"/>
        </w:rPr>
        <w:t>Lyman et al., 2007</w:t>
      </w:r>
      <w:r>
        <w:rPr>
          <w:rFonts w:eastAsia="Calibri"/>
        </w:rPr>
        <w:t>)</w:t>
      </w:r>
      <w:r w:rsidRPr="00BA3E06">
        <w:rPr>
          <w:rFonts w:eastAsia="Calibri"/>
        </w:rPr>
        <w:t>. The difficult management decision lies in selecting the proper grass in areas that experience high temperatures in summer and freezing conditions during winter. These areas of the countr</w:t>
      </w:r>
      <w:r>
        <w:rPr>
          <w:rFonts w:eastAsia="Calibri"/>
        </w:rPr>
        <w:t xml:space="preserve">y are often referred to as the </w:t>
      </w:r>
      <w:r w:rsidRPr="00BA3E06">
        <w:rPr>
          <w:rFonts w:eastAsia="Calibri"/>
        </w:rPr>
        <w:t>transition zone.</w:t>
      </w:r>
      <w:r w:rsidR="001A4BBA">
        <w:rPr>
          <w:rFonts w:eastAsia="Calibri"/>
        </w:rPr>
        <w:t xml:space="preserve"> The transition zone is an area between warm and cool regions where the quality of both C</w:t>
      </w:r>
      <w:r w:rsidR="001A4BBA" w:rsidRPr="00276F75">
        <w:rPr>
          <w:rFonts w:eastAsia="Calibri"/>
          <w:vertAlign w:val="subscript"/>
        </w:rPr>
        <w:t>4</w:t>
      </w:r>
      <w:r w:rsidR="001A4BBA">
        <w:rPr>
          <w:rFonts w:eastAsia="Calibri"/>
        </w:rPr>
        <w:t xml:space="preserve"> and C</w:t>
      </w:r>
      <w:r w:rsidR="001A4BBA" w:rsidRPr="00276F75">
        <w:rPr>
          <w:rFonts w:eastAsia="Calibri"/>
          <w:vertAlign w:val="subscript"/>
        </w:rPr>
        <w:t>3</w:t>
      </w:r>
      <w:r w:rsidR="001A4BBA">
        <w:rPr>
          <w:rFonts w:eastAsia="Calibri"/>
        </w:rPr>
        <w:t xml:space="preserve"> grasses declines due to environmental conditions. </w:t>
      </w:r>
      <w:r w:rsidRPr="00BA3E06">
        <w:rPr>
          <w:rFonts w:eastAsia="Calibri"/>
        </w:rPr>
        <w:t>In the transition zone, creeping bentgrass can maintain its green color throughout winter and continues to provide exceptional quality during spring and fall months</w:t>
      </w:r>
      <w:r>
        <w:rPr>
          <w:rFonts w:eastAsia="Calibri"/>
        </w:rPr>
        <w:t xml:space="preserve"> (</w:t>
      </w:r>
      <w:r w:rsidRPr="00D11DF4">
        <w:rPr>
          <w:rFonts w:eastAsia="Calibri"/>
        </w:rPr>
        <w:t>Dunn and Diesburg, 2004</w:t>
      </w:r>
      <w:r>
        <w:rPr>
          <w:rFonts w:eastAsia="Calibri"/>
        </w:rPr>
        <w:t>)</w:t>
      </w:r>
      <w:r w:rsidRPr="00BA3E06">
        <w:rPr>
          <w:rFonts w:eastAsia="Calibri"/>
        </w:rPr>
        <w:t xml:space="preserve">. The quality and health of creeping bentgrass is most </w:t>
      </w:r>
      <w:r>
        <w:rPr>
          <w:rFonts w:eastAsia="Calibri"/>
        </w:rPr>
        <w:t>compromised</w:t>
      </w:r>
      <w:r w:rsidRPr="00BA3E06">
        <w:rPr>
          <w:rFonts w:eastAsia="Calibri"/>
        </w:rPr>
        <w:t xml:space="preserve"> when prolonged heat sets in during summer</w:t>
      </w:r>
      <w:r>
        <w:rPr>
          <w:rFonts w:eastAsia="Calibri"/>
        </w:rPr>
        <w:t xml:space="preserve"> (</w:t>
      </w:r>
      <w:r w:rsidRPr="00D11DF4">
        <w:rPr>
          <w:color w:val="222222"/>
        </w:rPr>
        <w:t>Dernoeden, 2002</w:t>
      </w:r>
      <w:r>
        <w:rPr>
          <w:color w:val="222222"/>
        </w:rPr>
        <w:t>)</w:t>
      </w:r>
      <w:r w:rsidRPr="00BA3E06">
        <w:rPr>
          <w:rFonts w:eastAsia="Calibri"/>
        </w:rPr>
        <w:t xml:space="preserve">.     </w:t>
      </w:r>
      <w:r w:rsidRPr="00BA3E06">
        <w:rPr>
          <w:rFonts w:eastAsia="Calibri"/>
        </w:rPr>
        <w:tab/>
      </w:r>
    </w:p>
    <w:p w:rsidR="00067052" w:rsidRDefault="00067052" w:rsidP="00067052">
      <w:pPr>
        <w:spacing w:line="480" w:lineRule="auto"/>
        <w:rPr>
          <w:rFonts w:eastAsia="Calibri"/>
        </w:rPr>
      </w:pPr>
      <w:r w:rsidRPr="00BA3E06">
        <w:rPr>
          <w:rFonts w:eastAsia="Calibri"/>
        </w:rPr>
        <w:lastRenderedPageBreak/>
        <w:tab/>
        <w:t>Creeping bentgrass is susceptible to a number of abiotic and biotic stressors during summer months. The gradual deterioration of creeping bentgrass quality through periods of summer stress is referred to as Summer Bentgrass Decline (SBD) (</w:t>
      </w:r>
      <w:r w:rsidRPr="00D11DF4">
        <w:rPr>
          <w:rFonts w:eastAsia="Calibri"/>
        </w:rPr>
        <w:t>Lucas, 1996</w:t>
      </w:r>
      <w:r w:rsidRPr="00BA3E06">
        <w:rPr>
          <w:rFonts w:eastAsia="Calibri"/>
        </w:rPr>
        <w:t>). SBD is an environmentally induced condition that is attributed to supraoptimal air and soil temperatures</w:t>
      </w:r>
      <w:r w:rsidR="00276F75">
        <w:rPr>
          <w:rFonts w:eastAsia="Calibri"/>
        </w:rPr>
        <w:t xml:space="preserve">. </w:t>
      </w:r>
      <w:r w:rsidR="00C22BEA">
        <w:rPr>
          <w:rFonts w:eastAsia="Calibri"/>
        </w:rPr>
        <w:t>With e</w:t>
      </w:r>
      <w:r w:rsidRPr="00BA3E06">
        <w:rPr>
          <w:rFonts w:eastAsia="Calibri"/>
        </w:rPr>
        <w:t>xposure to air and soil temperatures of 35</w:t>
      </w:r>
      <w:r w:rsidR="00276F75">
        <w:rPr>
          <w:rFonts w:eastAsia="Calibri"/>
        </w:rPr>
        <w:t>º</w:t>
      </w:r>
      <w:r w:rsidRPr="00BA3E06">
        <w:rPr>
          <w:rFonts w:eastAsia="Calibri"/>
        </w:rPr>
        <w:t>C root and shoot growth, photosynthetic rate, and canopy density of creeping bentgrass is reduced (</w:t>
      </w:r>
      <w:r w:rsidRPr="00D11DF4">
        <w:rPr>
          <w:rFonts w:eastAsia="Calibri"/>
        </w:rPr>
        <w:t>Xu and Huang, 2000, 2001</w:t>
      </w:r>
      <w:r w:rsidRPr="00BA3E06">
        <w:rPr>
          <w:rFonts w:eastAsia="Calibri"/>
        </w:rPr>
        <w:t xml:space="preserve">). Creeping bentgrass stress </w:t>
      </w:r>
      <w:r>
        <w:rPr>
          <w:rFonts w:eastAsia="Calibri"/>
        </w:rPr>
        <w:t xml:space="preserve">sensitivity to </w:t>
      </w:r>
      <w:r w:rsidRPr="00BA3E06">
        <w:rPr>
          <w:rFonts w:eastAsia="Calibri"/>
        </w:rPr>
        <w:t>temperature extremes</w:t>
      </w:r>
      <w:r>
        <w:rPr>
          <w:rFonts w:eastAsia="Calibri"/>
        </w:rPr>
        <w:t xml:space="preserve"> is often </w:t>
      </w:r>
      <w:r w:rsidRPr="00BA3E06">
        <w:rPr>
          <w:rFonts w:eastAsia="Calibri"/>
        </w:rPr>
        <w:t xml:space="preserve">exacerbated by </w:t>
      </w:r>
      <w:r w:rsidR="00276F75">
        <w:rPr>
          <w:rFonts w:eastAsia="Calibri"/>
        </w:rPr>
        <w:t>water deficit or soil saturated conditions</w:t>
      </w:r>
      <w:r w:rsidRPr="00BA3E06">
        <w:rPr>
          <w:rFonts w:eastAsia="Calibri"/>
        </w:rPr>
        <w:t xml:space="preserve"> (</w:t>
      </w:r>
      <w:r>
        <w:rPr>
          <w:rFonts w:eastAsia="Calibri"/>
        </w:rPr>
        <w:t>Dernoeden, 2002</w:t>
      </w:r>
      <w:r w:rsidRPr="00BA3E06">
        <w:rPr>
          <w:rFonts w:eastAsia="Calibri"/>
        </w:rPr>
        <w:t xml:space="preserve">). During </w:t>
      </w:r>
      <w:r w:rsidR="00011FF8">
        <w:rPr>
          <w:rFonts w:eastAsia="Calibri"/>
        </w:rPr>
        <w:t>water deficit</w:t>
      </w:r>
      <w:r w:rsidRPr="00BA3E06">
        <w:rPr>
          <w:rFonts w:eastAsia="Calibri"/>
        </w:rPr>
        <w:t xml:space="preserve"> stress, </w:t>
      </w:r>
      <w:r>
        <w:rPr>
          <w:rFonts w:eastAsia="Calibri"/>
        </w:rPr>
        <w:t xml:space="preserve">evapotranspiration </w:t>
      </w:r>
      <w:r w:rsidRPr="00BA3E06">
        <w:rPr>
          <w:rFonts w:eastAsia="Calibri"/>
        </w:rPr>
        <w:t>is restricted when leaf tips curl and stomates close</w:t>
      </w:r>
      <w:r>
        <w:rPr>
          <w:rFonts w:eastAsia="Calibri"/>
        </w:rPr>
        <w:t xml:space="preserve"> (</w:t>
      </w:r>
      <w:r w:rsidRPr="00D11DF4">
        <w:rPr>
          <w:rFonts w:eastAsia="Calibri"/>
        </w:rPr>
        <w:t>Fry and Huang, 2004</w:t>
      </w:r>
      <w:r>
        <w:rPr>
          <w:rFonts w:eastAsia="Calibri"/>
        </w:rPr>
        <w:t>)</w:t>
      </w:r>
      <w:r w:rsidRPr="00BA3E06">
        <w:rPr>
          <w:rFonts w:eastAsia="Calibri"/>
        </w:rPr>
        <w:t xml:space="preserve">. When evapotranspiration is reduced, the plant loses its ability to </w:t>
      </w:r>
      <w:r>
        <w:rPr>
          <w:rFonts w:eastAsia="Calibri"/>
        </w:rPr>
        <w:t>take up</w:t>
      </w:r>
      <w:r w:rsidRPr="00BA3E06">
        <w:rPr>
          <w:rFonts w:eastAsia="Calibri"/>
        </w:rPr>
        <w:t xml:space="preserve"> soil applied nutrients and pesticides. Saturated rootzones create an anaerobic environment that restricts oxygen movement </w:t>
      </w:r>
      <w:r>
        <w:rPr>
          <w:rFonts w:eastAsia="Calibri"/>
        </w:rPr>
        <w:t>through the</w:t>
      </w:r>
      <w:r w:rsidRPr="00BA3E06">
        <w:rPr>
          <w:rFonts w:eastAsia="Calibri"/>
        </w:rPr>
        <w:t xml:space="preserve"> plant</w:t>
      </w:r>
      <w:r>
        <w:rPr>
          <w:rFonts w:eastAsia="Calibri"/>
        </w:rPr>
        <w:t xml:space="preserve"> (</w:t>
      </w:r>
      <w:r w:rsidRPr="00D11DF4">
        <w:rPr>
          <w:rFonts w:eastAsia="Calibri"/>
        </w:rPr>
        <w:t>Turgeon, 1999</w:t>
      </w:r>
      <w:r>
        <w:rPr>
          <w:rFonts w:eastAsia="Calibri"/>
        </w:rPr>
        <w:t>)</w:t>
      </w:r>
      <w:r w:rsidRPr="00BA3E06">
        <w:rPr>
          <w:rFonts w:eastAsia="Calibri"/>
        </w:rPr>
        <w:t>. During this condition, transpiration stops and the plant cannot cool themselves properly during periods of high temperatures</w:t>
      </w:r>
      <w:r w:rsidRPr="008C73BB">
        <w:rPr>
          <w:rFonts w:eastAsia="Calibri"/>
        </w:rPr>
        <w:t xml:space="preserve"> </w:t>
      </w:r>
      <w:r w:rsidRPr="00D11DF4">
        <w:rPr>
          <w:rFonts w:eastAsia="Calibri"/>
        </w:rPr>
        <w:t>(Fry and Huang, 2004</w:t>
      </w:r>
      <w:r>
        <w:rPr>
          <w:rFonts w:eastAsia="Calibri"/>
        </w:rPr>
        <w:t>)</w:t>
      </w:r>
      <w:r w:rsidRPr="00BA3E06">
        <w:rPr>
          <w:rFonts w:eastAsia="Calibri"/>
        </w:rPr>
        <w:t>. Creeping bentgrass managed under water deficit or excessive moisture conditions can predispos</w:t>
      </w:r>
      <w:r>
        <w:rPr>
          <w:rFonts w:eastAsia="Calibri"/>
        </w:rPr>
        <w:t>e the plant to</w:t>
      </w:r>
      <w:r w:rsidRPr="00BA3E06">
        <w:rPr>
          <w:rFonts w:eastAsia="Calibri"/>
        </w:rPr>
        <w:t xml:space="preserve"> </w:t>
      </w:r>
      <w:r>
        <w:rPr>
          <w:rFonts w:eastAsia="Calibri"/>
        </w:rPr>
        <w:t xml:space="preserve">pathogen </w:t>
      </w:r>
      <w:r w:rsidRPr="00BA3E06">
        <w:rPr>
          <w:rFonts w:eastAsia="Calibri"/>
        </w:rPr>
        <w:t>activity</w:t>
      </w:r>
      <w:r>
        <w:rPr>
          <w:rFonts w:eastAsia="Calibri"/>
        </w:rPr>
        <w:t xml:space="preserve"> (</w:t>
      </w:r>
      <w:r w:rsidR="001A4BBA" w:rsidRPr="00D11DF4">
        <w:rPr>
          <w:rFonts w:eastAsia="Calibri"/>
        </w:rPr>
        <w:t>Burpee and Martin, 1992</w:t>
      </w:r>
      <w:r>
        <w:rPr>
          <w:rFonts w:eastAsia="Calibri"/>
        </w:rPr>
        <w:t>)</w:t>
      </w:r>
      <w:r w:rsidRPr="00BA3E06">
        <w:rPr>
          <w:rFonts w:eastAsia="Calibri"/>
        </w:rPr>
        <w:t xml:space="preserve">. </w:t>
      </w:r>
    </w:p>
    <w:p w:rsidR="00067052" w:rsidRPr="00BA3E06" w:rsidRDefault="00067052" w:rsidP="00067052">
      <w:pPr>
        <w:spacing w:line="480" w:lineRule="auto"/>
        <w:rPr>
          <w:rFonts w:eastAsia="Calibri"/>
        </w:rPr>
      </w:pPr>
    </w:p>
    <w:p w:rsidR="00067052" w:rsidRDefault="00067052" w:rsidP="006F4EE7">
      <w:pPr>
        <w:pStyle w:val="Heading2"/>
        <w:rPr>
          <w:rFonts w:eastAsia="Calibri"/>
        </w:rPr>
      </w:pPr>
      <w:bookmarkStart w:id="11" w:name="_Toc353873522"/>
      <w:bookmarkStart w:id="12" w:name="_Toc353890873"/>
      <w:bookmarkStart w:id="13" w:name="_Toc353892614"/>
      <w:r w:rsidRPr="00BA3E06">
        <w:rPr>
          <w:rFonts w:eastAsia="Calibri"/>
        </w:rPr>
        <w:t>DISEASE MANAGEMENT FOR CREEPING BENTGRASS</w:t>
      </w:r>
      <w:bookmarkEnd w:id="11"/>
      <w:bookmarkEnd w:id="12"/>
      <w:bookmarkEnd w:id="13"/>
    </w:p>
    <w:p w:rsidR="00866DB2" w:rsidRPr="00866DB2" w:rsidRDefault="00866DB2" w:rsidP="00866DB2">
      <w:pPr>
        <w:rPr>
          <w:rFonts w:eastAsia="Calibri"/>
        </w:rPr>
      </w:pPr>
    </w:p>
    <w:p w:rsidR="00067052" w:rsidRPr="00BA3E06" w:rsidRDefault="00067052" w:rsidP="00067052">
      <w:pPr>
        <w:spacing w:line="480" w:lineRule="auto"/>
        <w:ind w:firstLine="720"/>
        <w:rPr>
          <w:rFonts w:eastAsia="Calibri"/>
        </w:rPr>
      </w:pPr>
      <w:r w:rsidRPr="00BA3E06">
        <w:rPr>
          <w:rFonts w:eastAsia="Calibri"/>
        </w:rPr>
        <w:t xml:space="preserve">Creeping bentgrass is susceptible to a wide </w:t>
      </w:r>
      <w:r>
        <w:rPr>
          <w:rFonts w:eastAsia="Calibri"/>
        </w:rPr>
        <w:t>variety</w:t>
      </w:r>
      <w:r w:rsidRPr="00BA3E06">
        <w:rPr>
          <w:rFonts w:eastAsia="Calibri"/>
        </w:rPr>
        <w:t xml:space="preserve"> of diseases during summer months. Copper spot (</w:t>
      </w:r>
      <w:r w:rsidRPr="00BA3E06">
        <w:rPr>
          <w:rFonts w:eastAsia="Calibri"/>
          <w:i/>
        </w:rPr>
        <w:t>Gloeocercospora sorghi</w:t>
      </w:r>
      <w:r>
        <w:rPr>
          <w:rFonts w:eastAsia="Calibri"/>
          <w:i/>
        </w:rPr>
        <w:t xml:space="preserve"> </w:t>
      </w:r>
      <w:r>
        <w:rPr>
          <w:rFonts w:eastAsia="Calibri"/>
        </w:rPr>
        <w:t>Bain and Edgerton</w:t>
      </w:r>
      <w:r w:rsidRPr="00BA3E06">
        <w:rPr>
          <w:rFonts w:eastAsia="Calibri"/>
        </w:rPr>
        <w:t>), red leaf spot (</w:t>
      </w:r>
      <w:r w:rsidRPr="00BA3E06">
        <w:rPr>
          <w:rFonts w:eastAsia="Calibri"/>
          <w:i/>
        </w:rPr>
        <w:t>Dreshslera erythrospila</w:t>
      </w:r>
      <w:r>
        <w:rPr>
          <w:rFonts w:eastAsia="Calibri"/>
          <w:i/>
        </w:rPr>
        <w:t xml:space="preserve"> </w:t>
      </w:r>
      <w:r>
        <w:rPr>
          <w:rFonts w:eastAsia="Calibri"/>
        </w:rPr>
        <w:t>Shoemaker</w:t>
      </w:r>
      <w:r w:rsidRPr="00BA3E06">
        <w:rPr>
          <w:rFonts w:eastAsia="Calibri"/>
        </w:rPr>
        <w:t>), and particularly dollar spot (</w:t>
      </w:r>
      <w:r w:rsidRPr="00BA3E06">
        <w:rPr>
          <w:rFonts w:eastAsia="Calibri"/>
          <w:i/>
        </w:rPr>
        <w:t>Sclerotinia homoeocarpa</w:t>
      </w:r>
      <w:r>
        <w:rPr>
          <w:rFonts w:eastAsia="Calibri"/>
        </w:rPr>
        <w:t xml:space="preserve"> F.T. Bennett</w:t>
      </w:r>
      <w:r w:rsidRPr="00BA3E06">
        <w:rPr>
          <w:rFonts w:eastAsia="Calibri"/>
        </w:rPr>
        <w:t>) are active during milder environmental conditions</w:t>
      </w:r>
      <w:r>
        <w:rPr>
          <w:rFonts w:eastAsia="Calibri"/>
        </w:rPr>
        <w:t xml:space="preserve"> (</w:t>
      </w:r>
      <w:r w:rsidRPr="00D11DF4">
        <w:rPr>
          <w:rFonts w:eastAsia="Calibri"/>
        </w:rPr>
        <w:t xml:space="preserve">Smiley et </w:t>
      </w:r>
      <w:r w:rsidRPr="00D11DF4">
        <w:rPr>
          <w:rFonts w:eastAsia="Calibri"/>
        </w:rPr>
        <w:lastRenderedPageBreak/>
        <w:t>al., 1992</w:t>
      </w:r>
      <w:r>
        <w:rPr>
          <w:rFonts w:eastAsia="Calibri"/>
        </w:rPr>
        <w:t>)</w:t>
      </w:r>
      <w:r w:rsidRPr="00BA3E06">
        <w:rPr>
          <w:rFonts w:eastAsia="Calibri"/>
        </w:rPr>
        <w:t>. In the transition zone, these diseases predominantly occur during late spring and early fall months</w:t>
      </w:r>
      <w:r>
        <w:rPr>
          <w:rFonts w:eastAsia="Calibri"/>
        </w:rPr>
        <w:t xml:space="preserve"> (</w:t>
      </w:r>
      <w:r w:rsidRPr="00D11DF4">
        <w:rPr>
          <w:rFonts w:eastAsia="Calibri"/>
        </w:rPr>
        <w:t>Dernoeden, 1989</w:t>
      </w:r>
      <w:r>
        <w:rPr>
          <w:rFonts w:eastAsia="Calibri"/>
        </w:rPr>
        <w:t>)</w:t>
      </w:r>
      <w:r w:rsidRPr="00BA3E06">
        <w:rPr>
          <w:rFonts w:eastAsia="Calibri"/>
        </w:rPr>
        <w:t>. During warmer climatic conditions, brown patch (</w:t>
      </w:r>
      <w:r w:rsidRPr="00BA3E06">
        <w:rPr>
          <w:rFonts w:eastAsia="Calibri"/>
          <w:i/>
        </w:rPr>
        <w:t>Rhizoctonia solani</w:t>
      </w:r>
      <w:r>
        <w:rPr>
          <w:rFonts w:eastAsia="Calibri"/>
          <w:i/>
        </w:rPr>
        <w:t xml:space="preserve"> </w:t>
      </w:r>
      <w:r>
        <w:t>Kühn</w:t>
      </w:r>
      <w:r>
        <w:rPr>
          <w:rFonts w:eastAsia="Calibri"/>
        </w:rPr>
        <w:t>) causes</w:t>
      </w:r>
      <w:r w:rsidRPr="00BA3E06">
        <w:rPr>
          <w:rFonts w:eastAsia="Calibri"/>
        </w:rPr>
        <w:t xml:space="preserve"> significant leaf blighting of creeping bentgrass turf</w:t>
      </w:r>
      <w:r>
        <w:rPr>
          <w:rFonts w:eastAsia="Calibri"/>
        </w:rPr>
        <w:t xml:space="preserve"> (</w:t>
      </w:r>
      <w:r w:rsidRPr="00D11DF4">
        <w:rPr>
          <w:rFonts w:eastAsia="Calibri"/>
        </w:rPr>
        <w:t>Burpee and Martin, 1992</w:t>
      </w:r>
      <w:r>
        <w:rPr>
          <w:rFonts w:eastAsia="Calibri"/>
        </w:rPr>
        <w:t>)</w:t>
      </w:r>
      <w:r w:rsidRPr="00BA3E06">
        <w:rPr>
          <w:rFonts w:eastAsia="Calibri"/>
        </w:rPr>
        <w:t>. Creeping bentgrass is also prone to opportunistic diseases that take advantage of weakened or senescing pl</w:t>
      </w:r>
      <w:r>
        <w:rPr>
          <w:rFonts w:eastAsia="Calibri"/>
        </w:rPr>
        <w:t>ant tissues. Disease occurrence</w:t>
      </w:r>
      <w:r w:rsidRPr="00BA3E06">
        <w:rPr>
          <w:rFonts w:eastAsia="Calibri"/>
        </w:rPr>
        <w:t xml:space="preserve"> of </w:t>
      </w:r>
      <w:r>
        <w:rPr>
          <w:rFonts w:eastAsia="Calibri"/>
          <w:i/>
        </w:rPr>
        <w:t>Leptosphae</w:t>
      </w:r>
      <w:r w:rsidRPr="00CC4FD5">
        <w:rPr>
          <w:rFonts w:eastAsia="Calibri"/>
          <w:i/>
        </w:rPr>
        <w:t>rulina</w:t>
      </w:r>
      <w:r w:rsidRPr="00BA3E06">
        <w:rPr>
          <w:rFonts w:eastAsia="Calibri"/>
        </w:rPr>
        <w:t xml:space="preserve"> leaf blight (</w:t>
      </w:r>
      <w:r w:rsidRPr="00BA3E06">
        <w:rPr>
          <w:rFonts w:eastAsia="Calibri"/>
          <w:i/>
        </w:rPr>
        <w:t>Leptosphaerulina trifoli</w:t>
      </w:r>
      <w:r>
        <w:rPr>
          <w:rFonts w:eastAsia="Calibri"/>
          <w:i/>
        </w:rPr>
        <w:t xml:space="preserve"> </w:t>
      </w:r>
      <w:r>
        <w:rPr>
          <w:rFonts w:eastAsia="Calibri"/>
        </w:rPr>
        <w:t>McAlpine</w:t>
      </w:r>
      <w:r w:rsidRPr="00BA3E06">
        <w:rPr>
          <w:rFonts w:eastAsia="Calibri"/>
        </w:rPr>
        <w:t xml:space="preserve">), </w:t>
      </w:r>
      <w:r w:rsidRPr="00BA3E06">
        <w:rPr>
          <w:rFonts w:eastAsia="Calibri"/>
          <w:i/>
        </w:rPr>
        <w:t>Curvularia</w:t>
      </w:r>
      <w:r w:rsidRPr="00BA3E06">
        <w:rPr>
          <w:rFonts w:eastAsia="Calibri"/>
        </w:rPr>
        <w:t xml:space="preserve"> diseases (</w:t>
      </w:r>
      <w:r w:rsidRPr="00BA3E06">
        <w:rPr>
          <w:rFonts w:eastAsia="Calibri"/>
          <w:i/>
        </w:rPr>
        <w:t>Curvularia</w:t>
      </w:r>
      <w:r w:rsidRPr="00BA3E06">
        <w:rPr>
          <w:rFonts w:eastAsia="Calibri"/>
        </w:rPr>
        <w:t xml:space="preserve"> spp.), </w:t>
      </w:r>
      <w:r w:rsidRPr="00BA3E06">
        <w:rPr>
          <w:rFonts w:eastAsia="Calibri"/>
          <w:i/>
        </w:rPr>
        <w:t>Pythium</w:t>
      </w:r>
      <w:r w:rsidRPr="00BA3E06">
        <w:rPr>
          <w:rFonts w:eastAsia="Calibri"/>
        </w:rPr>
        <w:t xml:space="preserve"> root diseases (</w:t>
      </w:r>
      <w:r w:rsidRPr="00BA3E06">
        <w:rPr>
          <w:rFonts w:eastAsia="Calibri"/>
          <w:i/>
        </w:rPr>
        <w:t>Pythium</w:t>
      </w:r>
      <w:r w:rsidRPr="00BA3E06">
        <w:rPr>
          <w:rFonts w:eastAsia="Calibri"/>
        </w:rPr>
        <w:t xml:space="preserve"> spp.), </w:t>
      </w:r>
      <w:r>
        <w:rPr>
          <w:rFonts w:eastAsia="Calibri"/>
        </w:rPr>
        <w:t>or</w:t>
      </w:r>
      <w:r w:rsidRPr="00BA3E06">
        <w:rPr>
          <w:rFonts w:eastAsia="Calibri"/>
        </w:rPr>
        <w:t xml:space="preserve"> anthracnose (</w:t>
      </w:r>
      <w:r w:rsidRPr="00BA3E06">
        <w:rPr>
          <w:rFonts w:eastAsia="Calibri"/>
          <w:i/>
        </w:rPr>
        <w:t xml:space="preserve">Colletotrichum </w:t>
      </w:r>
      <w:r>
        <w:rPr>
          <w:rFonts w:eastAsia="Calibri"/>
          <w:i/>
        </w:rPr>
        <w:t>cereale</w:t>
      </w:r>
      <w:r>
        <w:rPr>
          <w:rFonts w:eastAsia="Calibri"/>
        </w:rPr>
        <w:t xml:space="preserve"> Manns sensu lato Crouch, Clarke, and Hillman</w:t>
      </w:r>
      <w:r w:rsidRPr="00BA3E06">
        <w:rPr>
          <w:rFonts w:eastAsia="Calibri"/>
        </w:rPr>
        <w:t xml:space="preserve">) can be </w:t>
      </w:r>
      <w:r>
        <w:rPr>
          <w:rFonts w:eastAsia="Calibri"/>
        </w:rPr>
        <w:t>an indication</w:t>
      </w:r>
      <w:r w:rsidRPr="00BA3E06">
        <w:rPr>
          <w:rFonts w:eastAsia="Calibri"/>
        </w:rPr>
        <w:t xml:space="preserve"> that creeping bentgrass is under stress</w:t>
      </w:r>
      <w:r>
        <w:rPr>
          <w:rFonts w:eastAsia="Calibri"/>
        </w:rPr>
        <w:t xml:space="preserve"> (</w:t>
      </w:r>
      <w:r w:rsidRPr="00D11DF4">
        <w:rPr>
          <w:rFonts w:eastAsia="Calibri"/>
        </w:rPr>
        <w:t>Inguagiato et al., 2008;</w:t>
      </w:r>
      <w:r w:rsidRPr="00D11DF4">
        <w:t xml:space="preserve"> Mitkowski and Browning, 2004; Falloon, 1975</w:t>
      </w:r>
      <w:r>
        <w:rPr>
          <w:rFonts w:eastAsia="Calibri"/>
        </w:rPr>
        <w:t>)</w:t>
      </w:r>
      <w:r w:rsidRPr="00BA3E06">
        <w:rPr>
          <w:rFonts w:eastAsia="Calibri"/>
        </w:rPr>
        <w:t xml:space="preserve">. </w:t>
      </w:r>
    </w:p>
    <w:p w:rsidR="00067052" w:rsidRPr="00BA3E06" w:rsidRDefault="00067052" w:rsidP="00067052">
      <w:pPr>
        <w:spacing w:line="480" w:lineRule="auto"/>
        <w:rPr>
          <w:rFonts w:eastAsia="Calibri"/>
        </w:rPr>
      </w:pPr>
      <w:r w:rsidRPr="00BA3E06">
        <w:rPr>
          <w:rFonts w:eastAsia="Calibri"/>
        </w:rPr>
        <w:tab/>
        <w:t>To combat disease</w:t>
      </w:r>
      <w:r>
        <w:rPr>
          <w:rFonts w:eastAsia="Calibri"/>
        </w:rPr>
        <w:t>,</w:t>
      </w:r>
      <w:r w:rsidRPr="00BA3E06">
        <w:rPr>
          <w:rFonts w:eastAsia="Calibri"/>
        </w:rPr>
        <w:t xml:space="preserve"> turfgrass managers incorporate an integrated pest management approach </w:t>
      </w:r>
      <w:r>
        <w:rPr>
          <w:rFonts w:eastAsia="Calibri"/>
        </w:rPr>
        <w:t>that includes</w:t>
      </w:r>
      <w:r w:rsidRPr="00BA3E06">
        <w:rPr>
          <w:rFonts w:eastAsia="Calibri"/>
        </w:rPr>
        <w:t xml:space="preserve"> cultural </w:t>
      </w:r>
      <w:r>
        <w:rPr>
          <w:rFonts w:eastAsia="Calibri"/>
        </w:rPr>
        <w:t>and chemical</w:t>
      </w:r>
      <w:r w:rsidRPr="00BA3E06">
        <w:rPr>
          <w:rFonts w:eastAsia="Calibri"/>
        </w:rPr>
        <w:t xml:space="preserve"> programs</w:t>
      </w:r>
      <w:r>
        <w:rPr>
          <w:rFonts w:eastAsia="Calibri"/>
        </w:rPr>
        <w:t>.  Sand t</w:t>
      </w:r>
      <w:r w:rsidRPr="00BA3E06">
        <w:rPr>
          <w:rFonts w:eastAsia="Calibri"/>
        </w:rPr>
        <w:t xml:space="preserve">opdressing, </w:t>
      </w:r>
      <w:r>
        <w:rPr>
          <w:rFonts w:eastAsia="Calibri"/>
        </w:rPr>
        <w:t xml:space="preserve">spoon-feeding </w:t>
      </w:r>
      <w:r w:rsidRPr="00BA3E06">
        <w:rPr>
          <w:rFonts w:eastAsia="Calibri"/>
        </w:rPr>
        <w:t xml:space="preserve">nitrogen, </w:t>
      </w:r>
      <w:r>
        <w:rPr>
          <w:rFonts w:eastAsia="Calibri"/>
        </w:rPr>
        <w:t xml:space="preserve">dew removal, </w:t>
      </w:r>
      <w:r w:rsidRPr="00BA3E06">
        <w:rPr>
          <w:rFonts w:eastAsia="Calibri"/>
        </w:rPr>
        <w:t xml:space="preserve">and irrigation management are among the most documented cultural control </w:t>
      </w:r>
      <w:r>
        <w:rPr>
          <w:rFonts w:eastAsia="Calibri"/>
        </w:rPr>
        <w:t xml:space="preserve">methods used to manage </w:t>
      </w:r>
      <w:r w:rsidRPr="00BA3E06">
        <w:rPr>
          <w:rFonts w:eastAsia="Calibri"/>
        </w:rPr>
        <w:t>several turfgrass diseases (</w:t>
      </w:r>
      <w:r w:rsidRPr="00D11DF4">
        <w:rPr>
          <w:rFonts w:eastAsia="Calibri"/>
        </w:rPr>
        <w:t xml:space="preserve">Jiang et al., 1998; </w:t>
      </w:r>
      <w:r w:rsidRPr="007165DD">
        <w:rPr>
          <w:rFonts w:eastAsia="Calibri"/>
        </w:rPr>
        <w:t xml:space="preserve">Fidanza and Dernoeden, 1996; </w:t>
      </w:r>
      <w:r w:rsidRPr="00D11DF4">
        <w:rPr>
          <w:rFonts w:eastAsia="Calibri"/>
        </w:rPr>
        <w:t>Inquagiato et al., 2009</w:t>
      </w:r>
      <w:r w:rsidRPr="00BA3E06">
        <w:rPr>
          <w:rFonts w:eastAsia="Calibri"/>
        </w:rPr>
        <w:t xml:space="preserve">).  However, despite these practices, </w:t>
      </w:r>
      <w:r>
        <w:rPr>
          <w:rFonts w:eastAsia="Calibri"/>
        </w:rPr>
        <w:t xml:space="preserve">disease severity may occur when environmental </w:t>
      </w:r>
      <w:r w:rsidRPr="00BA3E06">
        <w:rPr>
          <w:rFonts w:eastAsia="Calibri"/>
        </w:rPr>
        <w:t>conditions remain conducive for disease development</w:t>
      </w:r>
      <w:r>
        <w:rPr>
          <w:rFonts w:eastAsia="Calibri"/>
        </w:rPr>
        <w:t xml:space="preserve"> (</w:t>
      </w:r>
      <w:r w:rsidRPr="007165DD">
        <w:rPr>
          <w:rFonts w:eastAsia="Calibri"/>
        </w:rPr>
        <w:t>McDonald et al., 2006; Delvalle et al., 2011</w:t>
      </w:r>
      <w:r>
        <w:rPr>
          <w:rFonts w:eastAsia="Calibri"/>
        </w:rPr>
        <w:t xml:space="preserve">). Chemical control </w:t>
      </w:r>
      <w:r w:rsidRPr="00BA3E06">
        <w:rPr>
          <w:rFonts w:eastAsia="Calibri"/>
        </w:rPr>
        <w:t xml:space="preserve">becomes essential when environmental conditions hinder the growth of the plant but promote </w:t>
      </w:r>
      <w:r>
        <w:rPr>
          <w:rFonts w:eastAsia="Calibri"/>
        </w:rPr>
        <w:t xml:space="preserve">rapid </w:t>
      </w:r>
      <w:r w:rsidRPr="00BA3E06">
        <w:rPr>
          <w:rFonts w:eastAsia="Calibri"/>
        </w:rPr>
        <w:t xml:space="preserve">disease </w:t>
      </w:r>
      <w:r>
        <w:rPr>
          <w:rFonts w:eastAsia="Calibri"/>
        </w:rPr>
        <w:t>development</w:t>
      </w:r>
      <w:r w:rsidRPr="00BA3E06">
        <w:rPr>
          <w:rFonts w:eastAsia="Calibri"/>
        </w:rPr>
        <w:t xml:space="preserve">.  </w:t>
      </w:r>
    </w:p>
    <w:p w:rsidR="00067052" w:rsidRPr="00BA3E06" w:rsidRDefault="00067052" w:rsidP="00067052">
      <w:pPr>
        <w:spacing w:line="480" w:lineRule="auto"/>
        <w:ind w:firstLine="720"/>
        <w:rPr>
          <w:rFonts w:eastAsia="Calibri"/>
        </w:rPr>
      </w:pPr>
      <w:r>
        <w:rPr>
          <w:rFonts w:eastAsia="Calibri"/>
        </w:rPr>
        <w:t>Among the first disease control products in the early 20</w:t>
      </w:r>
      <w:r w:rsidRPr="006F69F0">
        <w:rPr>
          <w:rFonts w:eastAsia="Calibri"/>
          <w:vertAlign w:val="superscript"/>
        </w:rPr>
        <w:t>th</w:t>
      </w:r>
      <w:r>
        <w:rPr>
          <w:rFonts w:eastAsia="Calibri"/>
        </w:rPr>
        <w:t xml:space="preserve"> century were preparations of a copper sulfate and hydrated lime mixture, known as the Bordeaux mixture (Hawkings</w:t>
      </w:r>
      <w:r w:rsidRPr="007165DD">
        <w:rPr>
          <w:rFonts w:eastAsia="Calibri"/>
        </w:rPr>
        <w:t xml:space="preserve">, </w:t>
      </w:r>
      <w:r>
        <w:rPr>
          <w:rFonts w:eastAsia="Calibri"/>
        </w:rPr>
        <w:t xml:space="preserve">1912). Chlorophenol mercury, </w:t>
      </w:r>
      <w:r w:rsidRPr="00BA3E06">
        <w:rPr>
          <w:rFonts w:eastAsia="Calibri"/>
        </w:rPr>
        <w:t>cadmium succinate</w:t>
      </w:r>
      <w:r>
        <w:rPr>
          <w:rFonts w:eastAsia="Calibri"/>
        </w:rPr>
        <w:t xml:space="preserve">, and the production of synthetic organic fungicides soon followed in the 1940’s </w:t>
      </w:r>
      <w:r w:rsidRPr="00BA3E06">
        <w:rPr>
          <w:rFonts w:eastAsia="Calibri"/>
        </w:rPr>
        <w:t>(</w:t>
      </w:r>
      <w:r>
        <w:rPr>
          <w:rFonts w:eastAsia="Calibri"/>
        </w:rPr>
        <w:t xml:space="preserve">Godfrey, 1925; </w:t>
      </w:r>
      <w:r>
        <w:rPr>
          <w:rFonts w:eastAsia="Calibri"/>
        </w:rPr>
        <w:lastRenderedPageBreak/>
        <w:t>Jackson, 1964; Harrington, 1942)</w:t>
      </w:r>
      <w:r w:rsidRPr="00BA3E06">
        <w:rPr>
          <w:rFonts w:eastAsia="Calibri"/>
        </w:rPr>
        <w:t xml:space="preserve">. </w:t>
      </w:r>
      <w:r>
        <w:rPr>
          <w:rFonts w:eastAsia="Calibri"/>
        </w:rPr>
        <w:t>However, most of these products</w:t>
      </w:r>
      <w:r w:rsidRPr="00BA3E06">
        <w:rPr>
          <w:rFonts w:eastAsia="Calibri"/>
        </w:rPr>
        <w:t xml:space="preserve"> had high </w:t>
      </w:r>
      <w:r>
        <w:rPr>
          <w:rFonts w:eastAsia="Calibri"/>
        </w:rPr>
        <w:t>use</w:t>
      </w:r>
      <w:r w:rsidRPr="00BA3E06">
        <w:rPr>
          <w:rFonts w:eastAsia="Calibri"/>
        </w:rPr>
        <w:t xml:space="preserve"> rates, required frequent application intervals, targeted few diseases, and </w:t>
      </w:r>
      <w:r>
        <w:rPr>
          <w:rFonts w:eastAsia="Calibri"/>
        </w:rPr>
        <w:t>were often phytotoxic to desirable plant species</w:t>
      </w:r>
      <w:r w:rsidR="0048650B">
        <w:rPr>
          <w:rFonts w:eastAsia="Calibri"/>
        </w:rPr>
        <w:t>,</w:t>
      </w:r>
      <w:r>
        <w:rPr>
          <w:rFonts w:eastAsia="Calibri"/>
        </w:rPr>
        <w:t xml:space="preserve"> and were frequently highly toxic to humans (</w:t>
      </w:r>
      <w:r w:rsidRPr="007165DD">
        <w:rPr>
          <w:rFonts w:eastAsia="Calibri"/>
        </w:rPr>
        <w:t>Latin, 2011</w:t>
      </w:r>
      <w:r>
        <w:rPr>
          <w:rFonts w:eastAsia="Calibri"/>
        </w:rPr>
        <w:t>)</w:t>
      </w:r>
      <w:r w:rsidRPr="00BA3E06">
        <w:rPr>
          <w:rFonts w:eastAsia="Calibri"/>
        </w:rPr>
        <w:t xml:space="preserve">. The advent of newer compounds in the 1960’s (chlorothalonil, mancozeb, and thiophanate-methyl) and 1970’s (iprodione, vinclozolin, and triadimefon) made broad spectrum disease control </w:t>
      </w:r>
      <w:r>
        <w:rPr>
          <w:rFonts w:eastAsia="Calibri"/>
        </w:rPr>
        <w:t>more efficient</w:t>
      </w:r>
      <w:r w:rsidRPr="00BA3E06">
        <w:rPr>
          <w:rFonts w:eastAsia="Calibri"/>
        </w:rPr>
        <w:t xml:space="preserve"> with a reduced amount of potential harm to the applicator</w:t>
      </w:r>
      <w:r>
        <w:rPr>
          <w:rFonts w:eastAsia="Calibri"/>
        </w:rPr>
        <w:t xml:space="preserve"> (</w:t>
      </w:r>
      <w:r w:rsidRPr="007165DD">
        <w:rPr>
          <w:rFonts w:eastAsia="Calibri"/>
        </w:rPr>
        <w:t>Latin, 2011</w:t>
      </w:r>
      <w:r>
        <w:rPr>
          <w:rFonts w:eastAsia="Calibri"/>
        </w:rPr>
        <w:t>)</w:t>
      </w:r>
      <w:r w:rsidRPr="00BA3E06">
        <w:rPr>
          <w:rFonts w:eastAsia="Calibri"/>
        </w:rPr>
        <w:t xml:space="preserve">. By 1990, demethylation inhibitors (DMI), benzimidazoles, dicarboximides, and multi-site compounds were </w:t>
      </w:r>
      <w:r>
        <w:rPr>
          <w:rFonts w:eastAsia="Calibri"/>
        </w:rPr>
        <w:t>the predominant modes of action used in turfgrass landscapes (</w:t>
      </w:r>
      <w:r w:rsidRPr="007165DD">
        <w:rPr>
          <w:rFonts w:eastAsia="Calibri"/>
        </w:rPr>
        <w:t>Couch, 1995</w:t>
      </w:r>
      <w:r>
        <w:rPr>
          <w:rFonts w:eastAsia="Calibri"/>
        </w:rPr>
        <w:t>)</w:t>
      </w:r>
      <w:r w:rsidRPr="00BA3E06">
        <w:rPr>
          <w:rFonts w:eastAsia="Calibri"/>
        </w:rPr>
        <w:t xml:space="preserve">. </w:t>
      </w:r>
      <w:r>
        <w:rPr>
          <w:rFonts w:eastAsia="Calibri"/>
        </w:rPr>
        <w:t>In the mid 1990’s a new broad spectrum class of fungicides</w:t>
      </w:r>
      <w:r w:rsidR="0048650B">
        <w:rPr>
          <w:rFonts w:eastAsia="Calibri"/>
        </w:rPr>
        <w:t>, the strobilurins,</w:t>
      </w:r>
      <w:r>
        <w:rPr>
          <w:rFonts w:eastAsia="Calibri"/>
        </w:rPr>
        <w:t xml:space="preserve"> </w:t>
      </w:r>
      <w:r w:rsidR="0048650B">
        <w:rPr>
          <w:rFonts w:eastAsia="Calibri"/>
        </w:rPr>
        <w:t xml:space="preserve">was </w:t>
      </w:r>
      <w:r>
        <w:rPr>
          <w:rFonts w:eastAsia="Calibri"/>
        </w:rPr>
        <w:t xml:space="preserve">introduced for disease control. </w:t>
      </w:r>
    </w:p>
    <w:p w:rsidR="00067052" w:rsidRPr="00BA3E06" w:rsidRDefault="00067052" w:rsidP="00067052">
      <w:pPr>
        <w:spacing w:line="480" w:lineRule="auto"/>
        <w:ind w:firstLine="720"/>
        <w:rPr>
          <w:rFonts w:eastAsia="Calibri"/>
        </w:rPr>
      </w:pPr>
      <w:r>
        <w:rPr>
          <w:rFonts w:eastAsia="Calibri"/>
        </w:rPr>
        <w:t>S</w:t>
      </w:r>
      <w:r w:rsidRPr="00BA3E06">
        <w:rPr>
          <w:rFonts w:eastAsia="Calibri"/>
        </w:rPr>
        <w:t>trobilurin fungicides</w:t>
      </w:r>
      <w:r>
        <w:rPr>
          <w:rFonts w:eastAsia="Calibri"/>
        </w:rPr>
        <w:t xml:space="preserve">, sometimes referred to as </w:t>
      </w:r>
      <w:r>
        <w:rPr>
          <w:rStyle w:val="st"/>
        </w:rPr>
        <w:t>quinone outside inhibitors (QoI)</w:t>
      </w:r>
      <w:r>
        <w:rPr>
          <w:rFonts w:eastAsia="Calibri"/>
        </w:rPr>
        <w:t xml:space="preserve">, </w:t>
      </w:r>
      <w:r w:rsidR="00C22BEA">
        <w:rPr>
          <w:rFonts w:eastAsia="Calibri"/>
        </w:rPr>
        <w:t>[</w:t>
      </w:r>
      <w:r w:rsidRPr="00BA3E06">
        <w:rPr>
          <w:rFonts w:eastAsia="Calibri"/>
        </w:rPr>
        <w:t>Fungici</w:t>
      </w:r>
      <w:r w:rsidR="00C22BEA">
        <w:rPr>
          <w:rFonts w:eastAsia="Calibri"/>
        </w:rPr>
        <w:t>de Resistance Action Committee (FRAC) Code 11]</w:t>
      </w:r>
      <w:r w:rsidRPr="00BA3E06">
        <w:rPr>
          <w:rFonts w:eastAsia="Calibri"/>
        </w:rPr>
        <w:t xml:space="preserve"> were first registered for turfgrass use with the introduction of azoxystrobin (Heritage WDG; Syngenta Crop Protection, Greensboro, NC)</w:t>
      </w:r>
      <w:r>
        <w:rPr>
          <w:rFonts w:eastAsia="Calibri"/>
        </w:rPr>
        <w:t xml:space="preserve"> in 1996</w:t>
      </w:r>
      <w:r w:rsidRPr="00BA3E06">
        <w:rPr>
          <w:rFonts w:eastAsia="Calibri"/>
        </w:rPr>
        <w:t xml:space="preserve">. Competing chemical manufacturers soon introduced their own strobilurin fungicide.  As of 2012, the list of strobilurin fungicides has broadened to include trifloxystrobin (Compass: Bayer Environmental Science, Research Triangle Park, NC), pyraclostrobin (Insignia WG; BASF Corporation, Research Triangle Park, NC), and fluoxastrobin (Disarm 480 SC; Arysta LifeScience North America LLC, Cary, NC). These control products were discovered in part from a natural wood rotting basidiomycete fungus, </w:t>
      </w:r>
      <w:r w:rsidRPr="00BA3E06">
        <w:rPr>
          <w:rFonts w:eastAsia="Calibri"/>
          <w:i/>
          <w:iCs/>
        </w:rPr>
        <w:t>Strobilurus tenacellus,</w:t>
      </w:r>
      <w:r w:rsidRPr="00BA3E06">
        <w:rPr>
          <w:rFonts w:eastAsia="Calibri"/>
          <w:iCs/>
        </w:rPr>
        <w:t xml:space="preserve"> which produces the </w:t>
      </w:r>
      <w:r w:rsidRPr="006B3388">
        <w:rPr>
          <w:rFonts w:eastAsia="Calibri"/>
          <w:bCs/>
          <w:iCs/>
        </w:rPr>
        <w:t>fungicidal</w:t>
      </w:r>
      <w:r w:rsidRPr="006B3388">
        <w:rPr>
          <w:rFonts w:eastAsia="Calibri"/>
          <w:iCs/>
        </w:rPr>
        <w:t xml:space="preserve"> derivative </w:t>
      </w:r>
      <w:r w:rsidRPr="00BA3E06">
        <w:rPr>
          <w:rFonts w:eastAsia="Calibri"/>
        </w:rPr>
        <w:t>methoxyacrylic acid</w:t>
      </w:r>
      <w:r>
        <w:rPr>
          <w:rFonts w:eastAsia="Calibri"/>
        </w:rPr>
        <w:t xml:space="preserve"> (</w:t>
      </w:r>
      <w:r w:rsidRPr="007165DD">
        <w:t>Bartlett et al., 2001</w:t>
      </w:r>
      <w:r>
        <w:t>)</w:t>
      </w:r>
      <w:r w:rsidRPr="00BA3E06">
        <w:rPr>
          <w:rFonts w:eastAsia="Calibri"/>
        </w:rPr>
        <w:t xml:space="preserve">. Strobilurin fungicides have been chemically modified to become less prone to photo degradation and are </w:t>
      </w:r>
      <w:r w:rsidRPr="00BA3E06">
        <w:rPr>
          <w:rFonts w:eastAsia="Calibri"/>
        </w:rPr>
        <w:lastRenderedPageBreak/>
        <w:t>classified as reduced risk pesticides by the Environmental Production Agency (EPA)</w:t>
      </w:r>
      <w:r>
        <w:rPr>
          <w:rFonts w:eastAsia="Calibri"/>
        </w:rPr>
        <w:t xml:space="preserve"> (</w:t>
      </w:r>
      <w:r w:rsidRPr="007165DD">
        <w:t>Köhle et al., 2002</w:t>
      </w:r>
      <w:r>
        <w:t>)</w:t>
      </w:r>
      <w:r w:rsidRPr="00BA3E06">
        <w:rPr>
          <w:rFonts w:eastAsia="Calibri"/>
        </w:rPr>
        <w:t>.</w:t>
      </w:r>
    </w:p>
    <w:p w:rsidR="00067052" w:rsidRDefault="00067052" w:rsidP="00067052">
      <w:pPr>
        <w:spacing w:line="480" w:lineRule="auto"/>
        <w:ind w:firstLine="720"/>
        <w:rPr>
          <w:rFonts w:eastAsia="Calibri"/>
        </w:rPr>
      </w:pPr>
      <w:r w:rsidRPr="00BA3E06">
        <w:rPr>
          <w:rFonts w:eastAsia="Calibri"/>
        </w:rPr>
        <w:t xml:space="preserve">Strobilurin fungicides inhibit mitochondrial respiration in fungi by binding at the ubiquinone (Qo) site located within the </w:t>
      </w:r>
      <w:r>
        <w:rPr>
          <w:rFonts w:eastAsia="Calibri"/>
        </w:rPr>
        <w:t xml:space="preserve">cytochrome </w:t>
      </w:r>
      <w:r>
        <w:rPr>
          <w:rFonts w:eastAsia="Calibri"/>
          <w:i/>
        </w:rPr>
        <w:t>bc</w:t>
      </w:r>
      <w:r w:rsidRPr="00541DBE">
        <w:rPr>
          <w:rFonts w:eastAsia="Calibri"/>
          <w:vertAlign w:val="subscript"/>
        </w:rPr>
        <w:t>1</w:t>
      </w:r>
      <w:r>
        <w:rPr>
          <w:rFonts w:eastAsia="Calibri"/>
        </w:rPr>
        <w:t xml:space="preserve"> complex of the mitochondrial membrane </w:t>
      </w:r>
      <w:r w:rsidRPr="007165DD">
        <w:rPr>
          <w:rFonts w:eastAsia="Calibri"/>
        </w:rPr>
        <w:t>(</w:t>
      </w:r>
      <w:r w:rsidRPr="007165DD">
        <w:t>Bartlett et al., 2001</w:t>
      </w:r>
      <w:r w:rsidRPr="00BA3E06">
        <w:rPr>
          <w:rFonts w:eastAsia="Calibri"/>
        </w:rPr>
        <w:t xml:space="preserve">). The result is the inactivation of the ubiquinol oxidase enzyme </w:t>
      </w:r>
      <w:r>
        <w:rPr>
          <w:rFonts w:eastAsia="Calibri"/>
        </w:rPr>
        <w:t>that</w:t>
      </w:r>
      <w:r w:rsidRPr="00BA3E06">
        <w:rPr>
          <w:rFonts w:eastAsia="Calibri"/>
        </w:rPr>
        <w:t xml:space="preserve"> produces a blockage of electron transport inhibiting the production of ATP, the main source of </w:t>
      </w:r>
      <w:r>
        <w:rPr>
          <w:rFonts w:eastAsia="Calibri"/>
        </w:rPr>
        <w:t>energy needed for fungal growth</w:t>
      </w:r>
      <w:r w:rsidRPr="00BA3E06">
        <w:rPr>
          <w:rFonts w:eastAsia="Calibri"/>
        </w:rPr>
        <w:t xml:space="preserve"> (</w:t>
      </w:r>
      <w:r w:rsidRPr="007165DD">
        <w:t>Bartlett et al., 2001</w:t>
      </w:r>
      <w:r w:rsidRPr="00BA3E06">
        <w:rPr>
          <w:rFonts w:eastAsia="Calibri"/>
        </w:rPr>
        <w:t xml:space="preserve">). Strobilurin fungicides are </w:t>
      </w:r>
      <w:r>
        <w:rPr>
          <w:rFonts w:eastAsia="Calibri"/>
        </w:rPr>
        <w:t xml:space="preserve">broad spectrum in their ability to control a variety of </w:t>
      </w:r>
      <w:r w:rsidRPr="00123265">
        <w:rPr>
          <w:rFonts w:eastAsia="Calibri"/>
        </w:rPr>
        <w:t>basidiomycete,</w:t>
      </w:r>
      <w:r>
        <w:rPr>
          <w:rFonts w:eastAsia="Calibri"/>
        </w:rPr>
        <w:t xml:space="preserve"> </w:t>
      </w:r>
      <w:r w:rsidRPr="00123265">
        <w:rPr>
          <w:rFonts w:eastAsia="Calibri"/>
        </w:rPr>
        <w:t>ascomycete, and oomycete plant pathogens</w:t>
      </w:r>
      <w:r>
        <w:rPr>
          <w:rFonts w:eastAsia="Calibri"/>
        </w:rPr>
        <w:t xml:space="preserve"> (</w:t>
      </w:r>
      <w:r w:rsidRPr="007165DD">
        <w:rPr>
          <w:rFonts w:eastAsia="Calibri"/>
        </w:rPr>
        <w:t>Wong et al., 200</w:t>
      </w:r>
      <w:r>
        <w:rPr>
          <w:rFonts w:eastAsia="Calibri"/>
        </w:rPr>
        <w:t>6)</w:t>
      </w:r>
      <w:r w:rsidRPr="00123265">
        <w:rPr>
          <w:rFonts w:eastAsia="Calibri"/>
        </w:rPr>
        <w:t>.</w:t>
      </w:r>
      <w:r>
        <w:rPr>
          <w:rFonts w:eastAsia="Calibri"/>
        </w:rPr>
        <w:t xml:space="preserve"> As of 2009, strobilurin fungicides account for over 2.6</w:t>
      </w:r>
      <w:r w:rsidR="00175781">
        <w:rPr>
          <w:rFonts w:eastAsia="Calibri"/>
        </w:rPr>
        <w:t xml:space="preserve"> billion dollars</w:t>
      </w:r>
      <w:r>
        <w:rPr>
          <w:rFonts w:eastAsia="Calibri"/>
        </w:rPr>
        <w:t xml:space="preserve"> in global sales annually, representing 22% of the fungicide marketplace (</w:t>
      </w:r>
      <w:r w:rsidRPr="00235486">
        <w:rPr>
          <w:rFonts w:eastAsia="Calibri"/>
        </w:rPr>
        <w:t>Kramer et al., 2012</w:t>
      </w:r>
      <w:r>
        <w:rPr>
          <w:rFonts w:eastAsia="Calibri"/>
        </w:rPr>
        <w:t xml:space="preserve">). Their popularity is due in part </w:t>
      </w:r>
      <w:r w:rsidR="00175781">
        <w:rPr>
          <w:rFonts w:eastAsia="Calibri"/>
        </w:rPr>
        <w:t>to</w:t>
      </w:r>
      <w:r>
        <w:rPr>
          <w:rFonts w:eastAsia="Calibri"/>
        </w:rPr>
        <w:t xml:space="preserve"> their aforementioned broad-spectrum capabilities, and because of their curative ability against existing infection. These fungicides all penetrate through the leaf surface; however they vary in the ability to be redistributed throughout the plant. Azoxystrobin and fluoxastrobin are acropetal penetrants that move through the xylem and toward the leaf tips (Häuser-Hahn et al., 2004). Pyraclostrobin and trifloxystrobin are considered localized penetrants as they move throughout the leaf by translaminar movement (Stierl et al., 2002). </w:t>
      </w:r>
    </w:p>
    <w:p w:rsidR="00067052" w:rsidRDefault="00175781" w:rsidP="00A250AD">
      <w:pPr>
        <w:spacing w:line="480" w:lineRule="auto"/>
        <w:ind w:firstLine="720"/>
        <w:rPr>
          <w:rFonts w:eastAsia="Calibri"/>
        </w:rPr>
      </w:pPr>
      <w:r>
        <w:rPr>
          <w:rFonts w:eastAsia="Calibri"/>
        </w:rPr>
        <w:t>Strobilurin</w:t>
      </w:r>
      <w:r w:rsidRPr="00BA3E06">
        <w:rPr>
          <w:rFonts w:eastAsia="Calibri"/>
        </w:rPr>
        <w:t xml:space="preserve"> </w:t>
      </w:r>
      <w:r w:rsidR="00067052" w:rsidRPr="00BA3E06">
        <w:rPr>
          <w:rFonts w:eastAsia="Calibri"/>
        </w:rPr>
        <w:t xml:space="preserve">fungicides are particularly effective against </w:t>
      </w:r>
      <w:r w:rsidR="00067052" w:rsidRPr="00BA3E06">
        <w:rPr>
          <w:rFonts w:eastAsia="Calibri"/>
          <w:i/>
        </w:rPr>
        <w:t>Rhizoctonia</w:t>
      </w:r>
      <w:r w:rsidR="00067052" w:rsidRPr="00BA3E06">
        <w:rPr>
          <w:rFonts w:eastAsia="Calibri"/>
        </w:rPr>
        <w:t xml:space="preserve"> diseases </w:t>
      </w:r>
      <w:r w:rsidR="00067052">
        <w:rPr>
          <w:rFonts w:eastAsia="Calibri"/>
        </w:rPr>
        <w:t>such as</w:t>
      </w:r>
      <w:r w:rsidR="00067052" w:rsidRPr="00BA3E06">
        <w:rPr>
          <w:rFonts w:eastAsia="Calibri"/>
        </w:rPr>
        <w:t xml:space="preserve"> brown patch. Efficacy against this disease using strobilurin fungicides is well documented (</w:t>
      </w:r>
      <w:r w:rsidR="00067052" w:rsidRPr="00235486">
        <w:rPr>
          <w:rFonts w:eastAsia="Calibri"/>
        </w:rPr>
        <w:t>Uddin et al., 2010; Soika and Tredway, 2010</w:t>
      </w:r>
      <w:r w:rsidR="00067052" w:rsidRPr="00BA3E06">
        <w:rPr>
          <w:rFonts w:eastAsia="Calibri"/>
        </w:rPr>
        <w:t>). Other diseases of creeping bentgrass controlled</w:t>
      </w:r>
      <w:r w:rsidR="00C22BEA">
        <w:rPr>
          <w:rFonts w:eastAsia="Calibri"/>
        </w:rPr>
        <w:t>,</w:t>
      </w:r>
      <w:r w:rsidR="00067052" w:rsidRPr="00BA3E06">
        <w:rPr>
          <w:rFonts w:eastAsia="Calibri"/>
        </w:rPr>
        <w:t xml:space="preserve"> or suppressed by strobilurin fungicides include anthracnose, fairy ring, and </w:t>
      </w:r>
      <w:r w:rsidR="00067052" w:rsidRPr="00BA3E06">
        <w:rPr>
          <w:rFonts w:eastAsia="Calibri"/>
          <w:i/>
        </w:rPr>
        <w:t>Pythium</w:t>
      </w:r>
      <w:r w:rsidR="00067052" w:rsidRPr="00BA3E06">
        <w:rPr>
          <w:rFonts w:eastAsia="Calibri"/>
        </w:rPr>
        <w:t xml:space="preserve"> root diseases (</w:t>
      </w:r>
      <w:r w:rsidR="00067052" w:rsidRPr="00194105">
        <w:rPr>
          <w:rFonts w:eastAsia="Calibri"/>
        </w:rPr>
        <w:t>Wong et al. 200</w:t>
      </w:r>
      <w:r w:rsidR="00067052">
        <w:rPr>
          <w:rFonts w:eastAsia="Calibri"/>
        </w:rPr>
        <w:t>6</w:t>
      </w:r>
      <w:r w:rsidR="00067052" w:rsidRPr="00194105">
        <w:rPr>
          <w:rFonts w:eastAsia="Calibri"/>
        </w:rPr>
        <w:t xml:space="preserve">; </w:t>
      </w:r>
      <w:r w:rsidR="00067052">
        <w:rPr>
          <w:rFonts w:eastAsia="Calibri"/>
        </w:rPr>
        <w:t xml:space="preserve">Fidanza and Bagwell, 2005; </w:t>
      </w:r>
      <w:r w:rsidR="00067052" w:rsidRPr="00194105">
        <w:rPr>
          <w:rFonts w:eastAsia="Calibri"/>
        </w:rPr>
        <w:t xml:space="preserve">Kerns et </w:t>
      </w:r>
      <w:r w:rsidR="00067052" w:rsidRPr="00194105">
        <w:rPr>
          <w:rFonts w:eastAsia="Calibri"/>
        </w:rPr>
        <w:lastRenderedPageBreak/>
        <w:t>al.</w:t>
      </w:r>
      <w:r w:rsidR="00067052">
        <w:rPr>
          <w:rFonts w:eastAsia="Calibri"/>
        </w:rPr>
        <w:t>,</w:t>
      </w:r>
      <w:r w:rsidR="00067052" w:rsidRPr="00194105">
        <w:rPr>
          <w:rFonts w:eastAsia="Calibri"/>
        </w:rPr>
        <w:t xml:space="preserve"> 2009</w:t>
      </w:r>
      <w:r w:rsidR="00067052" w:rsidRPr="00BA3E06">
        <w:rPr>
          <w:rFonts w:eastAsia="Calibri"/>
        </w:rPr>
        <w:t>). Perhaps the greatest disp</w:t>
      </w:r>
      <w:r w:rsidR="00067052">
        <w:rPr>
          <w:rFonts w:eastAsia="Calibri"/>
        </w:rPr>
        <w:t>arity among</w:t>
      </w:r>
      <w:r w:rsidR="00067052" w:rsidRPr="00BA3E06">
        <w:rPr>
          <w:rFonts w:eastAsia="Calibri"/>
        </w:rPr>
        <w:t xml:space="preserve"> strobilurin fungicides is </w:t>
      </w:r>
      <w:r w:rsidR="00067052">
        <w:rPr>
          <w:rFonts w:eastAsia="Calibri"/>
        </w:rPr>
        <w:t xml:space="preserve">their ability to control </w:t>
      </w:r>
      <w:r w:rsidR="00067052" w:rsidRPr="00BA3E06">
        <w:rPr>
          <w:rFonts w:eastAsia="Calibri"/>
        </w:rPr>
        <w:t>dollar spot. Azoxystrobin and trifloxystrobin have little to no effect on this disease</w:t>
      </w:r>
      <w:r w:rsidR="00067052">
        <w:rPr>
          <w:rFonts w:eastAsia="Calibri"/>
        </w:rPr>
        <w:t xml:space="preserve"> (Latin, 2006)</w:t>
      </w:r>
      <w:r w:rsidR="00067052" w:rsidRPr="00BA3E06">
        <w:rPr>
          <w:rFonts w:eastAsia="Calibri"/>
        </w:rPr>
        <w:t>. In some instances applications of azoxystrobin have increased dollar spot severity compared to a non-treated control in disease efficacy trials</w:t>
      </w:r>
      <w:r w:rsidR="00067052">
        <w:rPr>
          <w:rFonts w:eastAsia="Calibri"/>
        </w:rPr>
        <w:t xml:space="preserve"> (</w:t>
      </w:r>
      <w:r w:rsidR="00067052" w:rsidRPr="00194105">
        <w:rPr>
          <w:rFonts w:eastAsia="Calibri"/>
        </w:rPr>
        <w:t>Vincelli et al., 1996</w:t>
      </w:r>
      <w:r w:rsidR="00067052">
        <w:rPr>
          <w:rFonts w:eastAsia="Calibri"/>
        </w:rPr>
        <w:t>)</w:t>
      </w:r>
      <w:r w:rsidR="00067052" w:rsidRPr="00BA3E06">
        <w:rPr>
          <w:rFonts w:eastAsia="Calibri"/>
        </w:rPr>
        <w:t xml:space="preserve">. </w:t>
      </w:r>
      <w:r w:rsidR="00A250AD">
        <w:rPr>
          <w:rFonts w:eastAsia="Calibri"/>
        </w:rPr>
        <w:t>However, p</w:t>
      </w:r>
      <w:r w:rsidR="00067052" w:rsidRPr="00BA3E06">
        <w:rPr>
          <w:rFonts w:eastAsia="Calibri"/>
        </w:rPr>
        <w:t>yraclostrobin and fluoxastrobin</w:t>
      </w:r>
      <w:r>
        <w:rPr>
          <w:rFonts w:eastAsia="Calibri"/>
        </w:rPr>
        <w:t xml:space="preserve"> have been shown to</w:t>
      </w:r>
      <w:r w:rsidR="00067052" w:rsidRPr="00BA3E06">
        <w:rPr>
          <w:rFonts w:eastAsia="Calibri"/>
        </w:rPr>
        <w:t xml:space="preserve"> suppress this disease</w:t>
      </w:r>
      <w:r w:rsidR="00067052">
        <w:rPr>
          <w:rFonts w:eastAsia="Calibri"/>
        </w:rPr>
        <w:t xml:space="preserve"> (</w:t>
      </w:r>
      <w:r w:rsidR="00067052" w:rsidRPr="00E12DC4">
        <w:rPr>
          <w:rFonts w:eastAsia="Calibri"/>
        </w:rPr>
        <w:t>Aynardi et al., 2011</w:t>
      </w:r>
      <w:r w:rsidR="00067052">
        <w:rPr>
          <w:rFonts w:eastAsia="Calibri"/>
        </w:rPr>
        <w:t>)</w:t>
      </w:r>
      <w:r w:rsidR="00A250AD">
        <w:rPr>
          <w:rFonts w:eastAsia="Calibri"/>
        </w:rPr>
        <w:t xml:space="preserve">. </w:t>
      </w:r>
      <w:r w:rsidR="00067052" w:rsidRPr="00BA3E06">
        <w:rPr>
          <w:rFonts w:eastAsia="Calibri"/>
        </w:rPr>
        <w:t xml:space="preserve">The advantages of </w:t>
      </w:r>
      <w:r>
        <w:rPr>
          <w:rFonts w:eastAsia="Calibri"/>
        </w:rPr>
        <w:t>strobilurin fungicides include</w:t>
      </w:r>
      <w:r w:rsidR="00067052" w:rsidRPr="00BA3E06">
        <w:rPr>
          <w:rFonts w:eastAsia="Calibri"/>
        </w:rPr>
        <w:t xml:space="preserve"> their low use rates, extended residual efficacy and reduced toxicity on non-target organisms compared with other classes of fungicides such as benzimidazoles, dicarbamates and dimethylation inhibitors, (</w:t>
      </w:r>
      <w:r w:rsidR="00067052" w:rsidRPr="00E12DC4">
        <w:rPr>
          <w:rFonts w:eastAsia="Calibri"/>
        </w:rPr>
        <w:t>Latin</w:t>
      </w:r>
      <w:r w:rsidR="00067052">
        <w:rPr>
          <w:rFonts w:eastAsia="Calibri"/>
        </w:rPr>
        <w:t>,</w:t>
      </w:r>
      <w:r w:rsidR="00067052" w:rsidRPr="00E12DC4">
        <w:rPr>
          <w:rFonts w:eastAsia="Calibri"/>
        </w:rPr>
        <w:t xml:space="preserve"> 2011</w:t>
      </w:r>
      <w:r w:rsidR="00067052" w:rsidRPr="00BA3E06">
        <w:rPr>
          <w:rFonts w:eastAsia="Calibri"/>
        </w:rPr>
        <w:t>). In addition to their fungistatic properties, some strobilurin fungicides, such as pyraclostrobin, are now labeled to provide plant health benefits in absence of visible disease (</w:t>
      </w:r>
      <w:r w:rsidR="00067052" w:rsidRPr="00194105">
        <w:rPr>
          <w:rFonts w:eastAsia="Calibri"/>
        </w:rPr>
        <w:t>Anonymous, 2010</w:t>
      </w:r>
      <w:r w:rsidR="00067052" w:rsidRPr="00BA3E06">
        <w:rPr>
          <w:rFonts w:eastAsia="Calibri"/>
        </w:rPr>
        <w:t>).</w:t>
      </w:r>
    </w:p>
    <w:p w:rsidR="00067052" w:rsidRPr="00BA3E06" w:rsidRDefault="00067052" w:rsidP="00067052">
      <w:pPr>
        <w:spacing w:line="480" w:lineRule="auto"/>
        <w:ind w:firstLine="720"/>
        <w:rPr>
          <w:rFonts w:eastAsia="Calibri"/>
        </w:rPr>
      </w:pPr>
    </w:p>
    <w:p w:rsidR="00067052" w:rsidRDefault="00223197" w:rsidP="006F4EE7">
      <w:pPr>
        <w:pStyle w:val="Heading2"/>
        <w:rPr>
          <w:rFonts w:eastAsia="Calibri"/>
        </w:rPr>
      </w:pPr>
      <w:bookmarkStart w:id="14" w:name="_Toc353873523"/>
      <w:bookmarkStart w:id="15" w:name="_Toc353890874"/>
      <w:bookmarkStart w:id="16" w:name="_Toc353892615"/>
      <w:r>
        <w:rPr>
          <w:rFonts w:eastAsia="Calibri"/>
        </w:rPr>
        <w:t>PHYSIOLOGICAL</w:t>
      </w:r>
      <w:r w:rsidR="00067052" w:rsidRPr="00BA3E06">
        <w:rPr>
          <w:rFonts w:eastAsia="Calibri"/>
        </w:rPr>
        <w:t xml:space="preserve"> EFFECTS OF STROBILURIN FUNGICIDE</w:t>
      </w:r>
      <w:r w:rsidR="00067052">
        <w:rPr>
          <w:rFonts w:eastAsia="Calibri"/>
        </w:rPr>
        <w:t>S</w:t>
      </w:r>
      <w:bookmarkEnd w:id="14"/>
      <w:bookmarkEnd w:id="15"/>
      <w:bookmarkEnd w:id="16"/>
    </w:p>
    <w:p w:rsidR="00866DB2" w:rsidRPr="00866DB2" w:rsidRDefault="00866DB2" w:rsidP="00866DB2">
      <w:pPr>
        <w:rPr>
          <w:rFonts w:eastAsia="Calibri"/>
        </w:rPr>
      </w:pPr>
    </w:p>
    <w:p w:rsidR="00067052" w:rsidRPr="00BA3E06" w:rsidRDefault="00067052" w:rsidP="00067052">
      <w:pPr>
        <w:spacing w:line="480" w:lineRule="auto"/>
        <w:ind w:firstLine="720"/>
        <w:rPr>
          <w:rFonts w:eastAsia="Calibri"/>
        </w:rPr>
      </w:pPr>
      <w:r w:rsidRPr="00BA3E06">
        <w:rPr>
          <w:rFonts w:eastAsia="Calibri"/>
        </w:rPr>
        <w:t xml:space="preserve">The </w:t>
      </w:r>
      <w:r w:rsidRPr="00BA3E06">
        <w:rPr>
          <w:rFonts w:eastAsia="Calibri"/>
          <w:i/>
        </w:rPr>
        <w:t>bc</w:t>
      </w:r>
      <w:r w:rsidRPr="00D96114">
        <w:rPr>
          <w:rFonts w:eastAsia="Calibri"/>
          <w:vertAlign w:val="subscript"/>
        </w:rPr>
        <w:t>1</w:t>
      </w:r>
      <w:r w:rsidRPr="00BA3E06">
        <w:rPr>
          <w:rFonts w:eastAsia="Calibri"/>
        </w:rPr>
        <w:t xml:space="preserve"> complex of the mitochondrial membrane is located within all eukaryotes, not just fungi. The basis for </w:t>
      </w:r>
      <w:r>
        <w:rPr>
          <w:rFonts w:eastAsia="Calibri"/>
        </w:rPr>
        <w:t xml:space="preserve">these fungicides potentially affecting a plant’s physiological processes </w:t>
      </w:r>
      <w:r w:rsidRPr="00BA3E06">
        <w:rPr>
          <w:rFonts w:eastAsia="Calibri"/>
        </w:rPr>
        <w:t xml:space="preserve">is </w:t>
      </w:r>
      <w:r w:rsidR="00175781">
        <w:rPr>
          <w:rFonts w:eastAsia="Calibri"/>
        </w:rPr>
        <w:t>that they</w:t>
      </w:r>
      <w:r w:rsidR="00175781" w:rsidRPr="00BA3E06">
        <w:rPr>
          <w:rFonts w:eastAsia="Calibri"/>
        </w:rPr>
        <w:t xml:space="preserve"> </w:t>
      </w:r>
      <w:r w:rsidRPr="00BA3E06">
        <w:rPr>
          <w:rFonts w:eastAsia="Calibri"/>
        </w:rPr>
        <w:t>temporarily disrupt mitochondrial respiration in plants</w:t>
      </w:r>
      <w:r w:rsidR="00175781">
        <w:rPr>
          <w:rFonts w:eastAsia="Calibri"/>
        </w:rPr>
        <w:t xml:space="preserve"> as well as fungi</w:t>
      </w:r>
      <w:r w:rsidRPr="00BA3E06">
        <w:rPr>
          <w:rFonts w:eastAsia="Calibri"/>
        </w:rPr>
        <w:t xml:space="preserve"> (</w:t>
      </w:r>
      <w:r w:rsidRPr="00E12DC4">
        <w:rPr>
          <w:rFonts w:eastAsia="Calibri"/>
        </w:rPr>
        <w:t>Bartlett et al.</w:t>
      </w:r>
      <w:r>
        <w:rPr>
          <w:rFonts w:eastAsia="Calibri"/>
        </w:rPr>
        <w:t>,</w:t>
      </w:r>
      <w:r w:rsidRPr="00E12DC4">
        <w:rPr>
          <w:rFonts w:eastAsia="Calibri"/>
        </w:rPr>
        <w:t xml:space="preserve"> 2001</w:t>
      </w:r>
      <w:r w:rsidRPr="00BA3E06">
        <w:rPr>
          <w:rFonts w:eastAsia="Calibri"/>
        </w:rPr>
        <w:t>). A partial or transient inhibition of the cytochrome respiratory pathway in plants trigger</w:t>
      </w:r>
      <w:r>
        <w:rPr>
          <w:rFonts w:eastAsia="Calibri"/>
        </w:rPr>
        <w:t>s</w:t>
      </w:r>
      <w:r w:rsidRPr="00BA3E06">
        <w:rPr>
          <w:rFonts w:eastAsia="Calibri"/>
        </w:rPr>
        <w:t xml:space="preserve"> the alternative oxidase pathway (AOX) </w:t>
      </w:r>
      <w:r w:rsidR="00175781">
        <w:rPr>
          <w:rFonts w:eastAsia="Calibri"/>
        </w:rPr>
        <w:t>(</w:t>
      </w:r>
      <w:r w:rsidRPr="00E12DC4">
        <w:rPr>
          <w:rFonts w:eastAsia="Calibri"/>
        </w:rPr>
        <w:t>Wagner and Krab</w:t>
      </w:r>
      <w:r>
        <w:rPr>
          <w:rFonts w:eastAsia="Calibri"/>
        </w:rPr>
        <w:t>,</w:t>
      </w:r>
      <w:r w:rsidRPr="00E12DC4">
        <w:rPr>
          <w:rFonts w:eastAsia="Calibri"/>
        </w:rPr>
        <w:t xml:space="preserve"> 1995</w:t>
      </w:r>
      <w:r w:rsidRPr="00BA3E06">
        <w:rPr>
          <w:rFonts w:eastAsia="Calibri"/>
        </w:rPr>
        <w:t>). This allows for an alternative pathway for mitochondrial electron transport away from the ubiquinone pool</w:t>
      </w:r>
      <w:r>
        <w:rPr>
          <w:rFonts w:eastAsia="Calibri"/>
        </w:rPr>
        <w:t xml:space="preserve"> (</w:t>
      </w:r>
      <w:r w:rsidRPr="00E12DC4">
        <w:rPr>
          <w:rFonts w:eastAsia="Calibri"/>
        </w:rPr>
        <w:t>Wagner and Krab</w:t>
      </w:r>
      <w:r>
        <w:rPr>
          <w:rFonts w:eastAsia="Calibri"/>
        </w:rPr>
        <w:t>,</w:t>
      </w:r>
      <w:r w:rsidRPr="00E12DC4">
        <w:rPr>
          <w:rFonts w:eastAsia="Calibri"/>
        </w:rPr>
        <w:t xml:space="preserve"> 1995</w:t>
      </w:r>
      <w:r>
        <w:rPr>
          <w:rFonts w:eastAsia="Calibri"/>
        </w:rPr>
        <w:t>)</w:t>
      </w:r>
      <w:r w:rsidRPr="00BA3E06">
        <w:rPr>
          <w:rFonts w:eastAsia="Calibri"/>
        </w:rPr>
        <w:t xml:space="preserve">. The up-regulation of the AOX pathway can facilitate several stress related plant responses. </w:t>
      </w:r>
    </w:p>
    <w:p w:rsidR="00067052" w:rsidRPr="00BA3E06" w:rsidRDefault="00067052" w:rsidP="008A55DA">
      <w:pPr>
        <w:spacing w:line="480" w:lineRule="auto"/>
        <w:ind w:firstLine="720"/>
        <w:rPr>
          <w:rFonts w:eastAsia="Calibri"/>
        </w:rPr>
      </w:pPr>
      <w:r w:rsidRPr="00BA3E06">
        <w:rPr>
          <w:rFonts w:eastAsia="Calibri"/>
        </w:rPr>
        <w:lastRenderedPageBreak/>
        <w:t>Mitochondrial production of reactive oxygen species (ROS) is reduced when the AOX pathway is activated compared to the primary cytochrome pathway (</w:t>
      </w:r>
      <w:r w:rsidRPr="00E12DC4">
        <w:rPr>
          <w:rFonts w:eastAsia="Calibri"/>
        </w:rPr>
        <w:t>Purvis, 1997</w:t>
      </w:r>
      <w:r w:rsidRPr="00BA3E06">
        <w:rPr>
          <w:rFonts w:eastAsia="Calibri"/>
        </w:rPr>
        <w:t>). The generation of excessive cellular ROS (O</w:t>
      </w:r>
      <w:r w:rsidRPr="00BA3E06">
        <w:rPr>
          <w:rFonts w:eastAsia="Calibri"/>
          <w:vertAlign w:val="subscript"/>
        </w:rPr>
        <w:t>2</w:t>
      </w:r>
      <w:r w:rsidRPr="00BA3E06">
        <w:rPr>
          <w:rFonts w:eastAsia="Calibri"/>
          <w:vertAlign w:val="superscript"/>
        </w:rPr>
        <w:t>.-</w:t>
      </w:r>
      <w:r w:rsidRPr="00BA3E06">
        <w:rPr>
          <w:rFonts w:eastAsia="Calibri"/>
        </w:rPr>
        <w:t xml:space="preserve">, </w:t>
      </w:r>
      <w:r w:rsidRPr="00BA3E06">
        <w:rPr>
          <w:rFonts w:eastAsia="Calibri"/>
          <w:vertAlign w:val="superscript"/>
        </w:rPr>
        <w:t>.</w:t>
      </w:r>
      <w:r w:rsidRPr="00BA3E06">
        <w:rPr>
          <w:rFonts w:eastAsia="Calibri"/>
        </w:rPr>
        <w:t>OH, O</w:t>
      </w:r>
      <w:r w:rsidRPr="00BA3E06">
        <w:rPr>
          <w:rFonts w:eastAsia="Calibri"/>
          <w:vertAlign w:val="subscript"/>
        </w:rPr>
        <w:t>2</w:t>
      </w:r>
      <w:r w:rsidRPr="00BA3E06">
        <w:rPr>
          <w:rFonts w:eastAsia="Calibri"/>
        </w:rPr>
        <w:t>, and H</w:t>
      </w:r>
      <w:r w:rsidRPr="00BA3E06">
        <w:rPr>
          <w:rFonts w:eastAsia="Calibri"/>
          <w:vertAlign w:val="subscript"/>
        </w:rPr>
        <w:t>2</w:t>
      </w:r>
      <w:r w:rsidRPr="00BA3E06">
        <w:rPr>
          <w:rFonts w:eastAsia="Calibri"/>
        </w:rPr>
        <w:t>O</w:t>
      </w:r>
      <w:r w:rsidRPr="00BA3E06">
        <w:rPr>
          <w:rFonts w:eastAsia="Calibri"/>
          <w:vertAlign w:val="subscript"/>
        </w:rPr>
        <w:t>2</w:t>
      </w:r>
      <w:r w:rsidRPr="00BA3E06">
        <w:rPr>
          <w:rFonts w:eastAsia="Calibri"/>
        </w:rPr>
        <w:t>) impairs the ability of the plant to withstand oxidative stress (</w:t>
      </w:r>
      <w:r w:rsidRPr="00E12DC4">
        <w:rPr>
          <w:rFonts w:eastAsia="Calibri"/>
        </w:rPr>
        <w:t>Halliwell, 2006</w:t>
      </w:r>
      <w:r w:rsidRPr="00BA3E06">
        <w:rPr>
          <w:rFonts w:eastAsia="Calibri"/>
        </w:rPr>
        <w:t xml:space="preserve">). </w:t>
      </w:r>
      <w:r w:rsidR="008A55DA">
        <w:rPr>
          <w:rFonts w:eastAsia="Calibri"/>
        </w:rPr>
        <w:t>Activation</w:t>
      </w:r>
      <w:r w:rsidRPr="00BA3E06">
        <w:rPr>
          <w:rFonts w:eastAsia="Calibri"/>
        </w:rPr>
        <w:t xml:space="preserve"> of the AOX pathway may shift the balance </w:t>
      </w:r>
      <w:r>
        <w:rPr>
          <w:rFonts w:eastAsia="Calibri"/>
        </w:rPr>
        <w:t xml:space="preserve">in favor of </w:t>
      </w:r>
      <w:r w:rsidR="00DD70B6">
        <w:rPr>
          <w:rFonts w:eastAsia="Calibri"/>
        </w:rPr>
        <w:t xml:space="preserve">anti-oxidants </w:t>
      </w:r>
      <w:r w:rsidRPr="00BA3E06">
        <w:rPr>
          <w:rFonts w:eastAsia="Calibri"/>
        </w:rPr>
        <w:t>(superoxide dismutases, catalase, peroxidases, glutathione</w:t>
      </w:r>
      <w:r>
        <w:rPr>
          <w:rFonts w:eastAsia="Calibri"/>
        </w:rPr>
        <w:t>,</w:t>
      </w:r>
      <w:r w:rsidRPr="00BA3E06">
        <w:rPr>
          <w:rFonts w:eastAsia="Calibri"/>
        </w:rPr>
        <w:t xml:space="preserve"> and ascorbate)</w:t>
      </w:r>
      <w:r>
        <w:rPr>
          <w:rFonts w:eastAsia="Calibri"/>
        </w:rPr>
        <w:t xml:space="preserve"> and away from harmful ROS during stressful periods.</w:t>
      </w:r>
      <w:r w:rsidRPr="00BA3E06">
        <w:rPr>
          <w:rFonts w:eastAsia="Calibri"/>
        </w:rPr>
        <w:t xml:space="preserve"> Wu and Tiedemann (</w:t>
      </w:r>
      <w:r w:rsidRPr="00E12DC4">
        <w:rPr>
          <w:rFonts w:eastAsia="Calibri"/>
        </w:rPr>
        <w:t>2001</w:t>
      </w:r>
      <w:r w:rsidRPr="00BA3E06">
        <w:rPr>
          <w:rFonts w:eastAsia="Calibri"/>
        </w:rPr>
        <w:t>) demonstrated that strobilurin fungicides significantly reduced physiological leaf spot symptoms on spring and winter barley</w:t>
      </w:r>
      <w:r>
        <w:rPr>
          <w:rFonts w:eastAsia="Calibri"/>
        </w:rPr>
        <w:t xml:space="preserve"> (</w:t>
      </w:r>
      <w:r w:rsidRPr="00860731">
        <w:rPr>
          <w:rStyle w:val="st"/>
          <w:i/>
        </w:rPr>
        <w:t xml:space="preserve">Hordeum vulgare </w:t>
      </w:r>
      <w:r w:rsidRPr="005C3B4C">
        <w:rPr>
          <w:rStyle w:val="st"/>
        </w:rPr>
        <w:t>L</w:t>
      </w:r>
      <w:r>
        <w:rPr>
          <w:rStyle w:val="st"/>
        </w:rPr>
        <w:t>.)</w:t>
      </w:r>
      <w:r w:rsidRPr="00BA3E06">
        <w:rPr>
          <w:rFonts w:eastAsia="Calibri"/>
        </w:rPr>
        <w:t xml:space="preserve"> when exposed to elevated levels of ozone. </w:t>
      </w:r>
      <w:r>
        <w:rPr>
          <w:rFonts w:eastAsia="Calibri"/>
        </w:rPr>
        <w:t>They found that</w:t>
      </w:r>
      <w:r w:rsidRPr="00BA3E06">
        <w:rPr>
          <w:rFonts w:eastAsia="Calibri"/>
        </w:rPr>
        <w:t xml:space="preserve"> strobilurin fungicides </w:t>
      </w:r>
      <w:r w:rsidR="008A55DA">
        <w:rPr>
          <w:rFonts w:eastAsia="Calibri"/>
        </w:rPr>
        <w:t>increase</w:t>
      </w:r>
      <w:r w:rsidRPr="00BA3E06">
        <w:rPr>
          <w:rFonts w:eastAsia="Calibri"/>
        </w:rPr>
        <w:t xml:space="preserve"> anti-oxidant production</w:t>
      </w:r>
      <w:r>
        <w:rPr>
          <w:rFonts w:eastAsia="Calibri"/>
        </w:rPr>
        <w:t xml:space="preserve"> </w:t>
      </w:r>
      <w:r w:rsidR="008A55DA">
        <w:rPr>
          <w:rFonts w:eastAsia="Calibri"/>
        </w:rPr>
        <w:t>in</w:t>
      </w:r>
      <w:r w:rsidRPr="00BA3E06">
        <w:rPr>
          <w:rFonts w:eastAsia="Calibri"/>
        </w:rPr>
        <w:t xml:space="preserve"> barley plants favor</w:t>
      </w:r>
      <w:r>
        <w:rPr>
          <w:rFonts w:eastAsia="Calibri"/>
        </w:rPr>
        <w:t>ing</w:t>
      </w:r>
      <w:r w:rsidRPr="00BA3E06">
        <w:rPr>
          <w:rFonts w:eastAsia="Calibri"/>
        </w:rPr>
        <w:t xml:space="preserve"> rapid quenching of </w:t>
      </w:r>
      <w:r w:rsidR="008A55DA">
        <w:rPr>
          <w:rFonts w:eastAsia="Calibri"/>
        </w:rPr>
        <w:t>ROS</w:t>
      </w:r>
      <w:r w:rsidRPr="00BA3E06">
        <w:rPr>
          <w:rFonts w:eastAsia="Calibri"/>
        </w:rPr>
        <w:t xml:space="preserve">. This reduction </w:t>
      </w:r>
      <w:r w:rsidR="008A55DA">
        <w:rPr>
          <w:rFonts w:eastAsia="Calibri"/>
        </w:rPr>
        <w:t>in</w:t>
      </w:r>
      <w:r w:rsidR="008A55DA" w:rsidRPr="00BA3E06">
        <w:rPr>
          <w:rFonts w:eastAsia="Calibri"/>
        </w:rPr>
        <w:t xml:space="preserve"> </w:t>
      </w:r>
      <w:r w:rsidRPr="00BA3E06">
        <w:rPr>
          <w:rFonts w:eastAsia="Calibri"/>
        </w:rPr>
        <w:t xml:space="preserve">ROS may also impact </w:t>
      </w:r>
      <w:r w:rsidR="008A55DA">
        <w:rPr>
          <w:rFonts w:eastAsia="Calibri"/>
        </w:rPr>
        <w:t>a</w:t>
      </w:r>
      <w:r w:rsidR="008A55DA" w:rsidRPr="00BA3E06">
        <w:rPr>
          <w:rFonts w:eastAsia="Calibri"/>
        </w:rPr>
        <w:t xml:space="preserve"> </w:t>
      </w:r>
      <w:r w:rsidRPr="00BA3E06">
        <w:rPr>
          <w:rFonts w:eastAsia="Calibri"/>
        </w:rPr>
        <w:t>plant’s tolerance to excess light. Under high light intensities, photoinhibition may occur in addition to damaging the photosystem II receptor</w:t>
      </w:r>
      <w:r>
        <w:rPr>
          <w:rFonts w:eastAsia="Calibri"/>
        </w:rPr>
        <w:t>s</w:t>
      </w:r>
      <w:r w:rsidRPr="00BA3E06">
        <w:rPr>
          <w:rFonts w:eastAsia="Calibri"/>
        </w:rPr>
        <w:t xml:space="preserve"> (PSII) causing rapid generation of ROS and reduced net photosynthesis</w:t>
      </w:r>
      <w:r>
        <w:rPr>
          <w:rFonts w:eastAsia="Calibri"/>
        </w:rPr>
        <w:t xml:space="preserve"> </w:t>
      </w:r>
      <w:r w:rsidRPr="00BA3E06">
        <w:rPr>
          <w:rFonts w:eastAsia="Calibri"/>
        </w:rPr>
        <w:t>(</w:t>
      </w:r>
      <w:r w:rsidRPr="00E12DC4">
        <w:rPr>
          <w:rFonts w:eastAsia="Calibri"/>
        </w:rPr>
        <w:t>Zhang et al.</w:t>
      </w:r>
      <w:r>
        <w:rPr>
          <w:rFonts w:eastAsia="Calibri"/>
        </w:rPr>
        <w:t>,</w:t>
      </w:r>
      <w:r w:rsidRPr="00E12DC4">
        <w:rPr>
          <w:rFonts w:eastAsia="Calibri"/>
        </w:rPr>
        <w:t xml:space="preserve"> 2011</w:t>
      </w:r>
      <w:r w:rsidRPr="00BA3E06">
        <w:rPr>
          <w:rFonts w:eastAsia="Calibri"/>
        </w:rPr>
        <w:t xml:space="preserve">). </w:t>
      </w:r>
      <w:r w:rsidR="008A55DA">
        <w:rPr>
          <w:rFonts w:eastAsia="Calibri"/>
        </w:rPr>
        <w:t>A</w:t>
      </w:r>
      <w:r w:rsidRPr="00BA3E06">
        <w:rPr>
          <w:rFonts w:eastAsia="Calibri"/>
        </w:rPr>
        <w:t>ctivation of the AOX pathway inhibits this over production of ROS resulting in reduced cellular damage under high light intensity</w:t>
      </w:r>
      <w:r w:rsidRPr="00E12DC4">
        <w:rPr>
          <w:rFonts w:eastAsia="Calibri"/>
        </w:rPr>
        <w:t xml:space="preserve"> (Zhang et al.</w:t>
      </w:r>
      <w:r>
        <w:rPr>
          <w:rFonts w:eastAsia="Calibri"/>
        </w:rPr>
        <w:t>,</w:t>
      </w:r>
      <w:r w:rsidRPr="00E12DC4">
        <w:rPr>
          <w:rFonts w:eastAsia="Calibri"/>
        </w:rPr>
        <w:t xml:space="preserve"> 2011</w:t>
      </w:r>
      <w:r>
        <w:rPr>
          <w:rFonts w:eastAsia="Calibri"/>
        </w:rPr>
        <w:t>)</w:t>
      </w:r>
      <w:r w:rsidRPr="00BA3E06">
        <w:rPr>
          <w:rFonts w:eastAsia="Calibri"/>
        </w:rPr>
        <w:t>.</w:t>
      </w:r>
    </w:p>
    <w:p w:rsidR="00067052" w:rsidRPr="00BA3E06" w:rsidRDefault="00067052" w:rsidP="00067052">
      <w:pPr>
        <w:spacing w:line="480" w:lineRule="auto"/>
        <w:ind w:firstLine="720"/>
        <w:rPr>
          <w:rFonts w:eastAsia="Calibri"/>
        </w:rPr>
      </w:pPr>
      <w:r w:rsidRPr="00BA3E06">
        <w:rPr>
          <w:rFonts w:eastAsia="Calibri"/>
        </w:rPr>
        <w:t>Strobilurin fungicides may also indirectly enhance nitrogen assimilation in higher plants (</w:t>
      </w:r>
      <w:r w:rsidRPr="00E12DC4">
        <w:rPr>
          <w:rFonts w:eastAsia="Calibri"/>
        </w:rPr>
        <w:t>K</w:t>
      </w:r>
      <w:r>
        <w:rPr>
          <w:rFonts w:eastAsia="Calibri"/>
        </w:rPr>
        <w:t>ö</w:t>
      </w:r>
      <w:r w:rsidRPr="00E12DC4">
        <w:rPr>
          <w:rFonts w:eastAsia="Calibri"/>
        </w:rPr>
        <w:t>hle et al., 2002</w:t>
      </w:r>
      <w:r w:rsidRPr="00BA3E06">
        <w:rPr>
          <w:rFonts w:eastAsia="Calibri"/>
        </w:rPr>
        <w:t xml:space="preserve">). The partial or transient inhibition of the cytochrome pathway activates nitrate reductase (NR) due to the rapid reduction of cellular adenosine triphosphate (ATP). Glaab and Kaiser </w:t>
      </w:r>
      <w:r w:rsidRPr="00E12DC4">
        <w:rPr>
          <w:rFonts w:eastAsia="Calibri"/>
        </w:rPr>
        <w:t>(1999</w:t>
      </w:r>
      <w:r w:rsidRPr="00BA3E06">
        <w:rPr>
          <w:rFonts w:eastAsia="Calibri"/>
        </w:rPr>
        <w:t xml:space="preserve">) </w:t>
      </w:r>
      <w:r>
        <w:rPr>
          <w:rFonts w:eastAsia="Calibri"/>
        </w:rPr>
        <w:t>observed</w:t>
      </w:r>
      <w:r w:rsidRPr="00BA3E06">
        <w:rPr>
          <w:rFonts w:eastAsia="Calibri"/>
        </w:rPr>
        <w:t xml:space="preserve"> that a buffer solution of the strobilurin kresoxim-methyl (KROM) prevent</w:t>
      </w:r>
      <w:r>
        <w:rPr>
          <w:rFonts w:eastAsia="Calibri"/>
        </w:rPr>
        <w:t>ed</w:t>
      </w:r>
      <w:r w:rsidRPr="00BA3E06">
        <w:rPr>
          <w:rFonts w:eastAsia="Calibri"/>
        </w:rPr>
        <w:t xml:space="preserve"> the inactivation of NR in spinach </w:t>
      </w:r>
      <w:r>
        <w:rPr>
          <w:rFonts w:eastAsia="Calibri"/>
        </w:rPr>
        <w:t>(</w:t>
      </w:r>
      <w:r>
        <w:rPr>
          <w:rStyle w:val="Emphasis"/>
        </w:rPr>
        <w:t>Spinacia oleracea</w:t>
      </w:r>
      <w:r w:rsidRPr="00BA3E06">
        <w:rPr>
          <w:rFonts w:eastAsia="Calibri"/>
        </w:rPr>
        <w:t xml:space="preserve"> </w:t>
      </w:r>
      <w:r>
        <w:rPr>
          <w:rFonts w:eastAsia="Calibri"/>
        </w:rPr>
        <w:t xml:space="preserve">L.) </w:t>
      </w:r>
      <w:r w:rsidRPr="00BA3E06">
        <w:rPr>
          <w:rFonts w:eastAsia="Calibri"/>
        </w:rPr>
        <w:t xml:space="preserve">leaf discs while leaf discs without KROM had a 20% decrease in NR. Furthermore, if NR is activated by KROM, an accumulation of nitrite in leaf tissue </w:t>
      </w:r>
      <w:r>
        <w:rPr>
          <w:rFonts w:eastAsia="Calibri"/>
        </w:rPr>
        <w:t>is</w:t>
      </w:r>
      <w:r w:rsidRPr="00BA3E06">
        <w:rPr>
          <w:rFonts w:eastAsia="Calibri"/>
        </w:rPr>
        <w:t xml:space="preserve"> observed. This increase in nitrites via NR produces the byproduct nitric oxide (NO) </w:t>
      </w:r>
      <w:r w:rsidRPr="00BA3E06">
        <w:rPr>
          <w:rFonts w:eastAsia="Calibri"/>
        </w:rPr>
        <w:lastRenderedPageBreak/>
        <w:t>(</w:t>
      </w:r>
      <w:r w:rsidRPr="00E12DC4">
        <w:rPr>
          <w:rFonts w:eastAsia="Calibri"/>
        </w:rPr>
        <w:t>Yamasaki, 1999</w:t>
      </w:r>
      <w:r w:rsidRPr="00BA3E06">
        <w:rPr>
          <w:rFonts w:eastAsia="Calibri"/>
        </w:rPr>
        <w:t xml:space="preserve">). This signaling molecule </w:t>
      </w:r>
      <w:r>
        <w:rPr>
          <w:rFonts w:eastAsia="Calibri"/>
        </w:rPr>
        <w:t xml:space="preserve">in </w:t>
      </w:r>
      <w:r w:rsidRPr="00BA3E06">
        <w:rPr>
          <w:rFonts w:eastAsia="Calibri"/>
        </w:rPr>
        <w:t>plant</w:t>
      </w:r>
      <w:r>
        <w:rPr>
          <w:rFonts w:eastAsia="Calibri"/>
        </w:rPr>
        <w:t>s</w:t>
      </w:r>
      <w:r w:rsidRPr="00BA3E06">
        <w:rPr>
          <w:rFonts w:eastAsia="Calibri"/>
        </w:rPr>
        <w:t xml:space="preserve"> has been suggested to cause a cascade of secondary reactions.  NO stimulates the plant’s </w:t>
      </w:r>
      <w:r w:rsidR="001A4BBA" w:rsidRPr="00BA3E06">
        <w:rPr>
          <w:rFonts w:eastAsia="Calibri"/>
        </w:rPr>
        <w:t>self-defense</w:t>
      </w:r>
      <w:r w:rsidRPr="00BA3E06">
        <w:rPr>
          <w:rFonts w:eastAsia="Calibri"/>
        </w:rPr>
        <w:t xml:space="preserve"> system against pathogen attack by signaling cyclic ribose messengers (</w:t>
      </w:r>
      <w:r w:rsidRPr="00E12DC4">
        <w:rPr>
          <w:rFonts w:eastAsia="Calibri"/>
        </w:rPr>
        <w:t>Bolwell, 1999</w:t>
      </w:r>
      <w:r w:rsidRPr="00BA3E06">
        <w:rPr>
          <w:rFonts w:eastAsia="Calibri"/>
        </w:rPr>
        <w:t>). In addition, NO accumulation in plants can cause the inhibition of 1-aminocyclopropane-1-carboxylate (ACC) synthase (</w:t>
      </w:r>
      <w:r w:rsidRPr="00E12DC4">
        <w:rPr>
          <w:rFonts w:eastAsia="Calibri"/>
        </w:rPr>
        <w:t>Leshem, 2000</w:t>
      </w:r>
      <w:r w:rsidRPr="00BA3E06">
        <w:rPr>
          <w:rFonts w:eastAsia="Calibri"/>
        </w:rPr>
        <w:t xml:space="preserve">).  This enzyme catalyzes the first step of ethylene biosynthesis. </w:t>
      </w:r>
    </w:p>
    <w:p w:rsidR="00067052" w:rsidRPr="00BA3E06" w:rsidRDefault="00067052" w:rsidP="00067052">
      <w:pPr>
        <w:spacing w:line="480" w:lineRule="auto"/>
        <w:ind w:firstLine="720"/>
        <w:rPr>
          <w:rFonts w:eastAsia="Calibri"/>
        </w:rPr>
      </w:pPr>
      <w:r w:rsidRPr="00BA3E06">
        <w:rPr>
          <w:rFonts w:eastAsia="Calibri"/>
        </w:rPr>
        <w:t>Ethylene is a plant hormone that is commonly associated with fruit ripening and plant senescence. During stages of active growth, ethylene production can trigger a rapid accumulation of ROS, thus reducing the plant’s ability to co</w:t>
      </w:r>
      <w:r>
        <w:rPr>
          <w:rFonts w:eastAsia="Calibri"/>
        </w:rPr>
        <w:t xml:space="preserve">pe with environmental stressors </w:t>
      </w:r>
      <w:r w:rsidRPr="00BA3E06">
        <w:rPr>
          <w:rFonts w:eastAsia="Calibri"/>
        </w:rPr>
        <w:t>(</w:t>
      </w:r>
      <w:r w:rsidRPr="00E12DC4">
        <w:rPr>
          <w:rFonts w:eastAsia="Calibri"/>
        </w:rPr>
        <w:t>Gortz et al., 2008</w:t>
      </w:r>
      <w:r w:rsidRPr="00BA3E06">
        <w:rPr>
          <w:rFonts w:eastAsia="Calibri"/>
        </w:rPr>
        <w:t xml:space="preserve">). Strobilurin fungicides causing a partial inhibition of ethylene </w:t>
      </w:r>
      <w:r w:rsidR="00E47777">
        <w:rPr>
          <w:rFonts w:eastAsia="Calibri"/>
        </w:rPr>
        <w:t>may</w:t>
      </w:r>
      <w:r w:rsidRPr="00BA3E06">
        <w:rPr>
          <w:rFonts w:eastAsia="Calibri"/>
        </w:rPr>
        <w:t xml:space="preserve"> cause </w:t>
      </w:r>
      <w:r w:rsidR="008A55DA">
        <w:rPr>
          <w:rFonts w:eastAsia="Calibri"/>
        </w:rPr>
        <w:t>a</w:t>
      </w:r>
      <w:r w:rsidR="008A55DA" w:rsidRPr="00BA3E06">
        <w:rPr>
          <w:rFonts w:eastAsia="Calibri"/>
        </w:rPr>
        <w:t xml:space="preserve"> </w:t>
      </w:r>
      <w:r w:rsidRPr="00BA3E06">
        <w:rPr>
          <w:rFonts w:eastAsia="Calibri"/>
        </w:rPr>
        <w:t xml:space="preserve">“greening” effect observed </w:t>
      </w:r>
      <w:r w:rsidR="008A55DA">
        <w:rPr>
          <w:rFonts w:eastAsia="Calibri"/>
        </w:rPr>
        <w:t>in certain</w:t>
      </w:r>
      <w:r w:rsidR="008A55DA" w:rsidRPr="00BA3E06">
        <w:rPr>
          <w:rFonts w:eastAsia="Calibri"/>
        </w:rPr>
        <w:t xml:space="preserve"> </w:t>
      </w:r>
      <w:r w:rsidRPr="00BA3E06">
        <w:rPr>
          <w:rFonts w:eastAsia="Calibri"/>
        </w:rPr>
        <w:t>agricultural crops. Grossmann and Retzlaff (</w:t>
      </w:r>
      <w:r w:rsidRPr="00E12DC4">
        <w:rPr>
          <w:rFonts w:eastAsia="Calibri"/>
        </w:rPr>
        <w:t>1997</w:t>
      </w:r>
      <w:r w:rsidRPr="00BA3E06">
        <w:rPr>
          <w:rFonts w:eastAsia="Calibri"/>
        </w:rPr>
        <w:t>) demonstrated that wheat</w:t>
      </w:r>
      <w:r>
        <w:rPr>
          <w:rFonts w:eastAsia="Calibri"/>
        </w:rPr>
        <w:t xml:space="preserve"> (</w:t>
      </w:r>
      <w:r w:rsidRPr="005C3B4C">
        <w:rPr>
          <w:rStyle w:val="Emphasis"/>
        </w:rPr>
        <w:t>Triticum</w:t>
      </w:r>
      <w:r w:rsidRPr="005C3B4C">
        <w:rPr>
          <w:rStyle w:val="st"/>
          <w:i/>
        </w:rPr>
        <w:t xml:space="preserve"> aestivum</w:t>
      </w:r>
      <w:r w:rsidRPr="005C3B4C">
        <w:rPr>
          <w:rStyle w:val="st"/>
        </w:rPr>
        <w:t xml:space="preserve"> L.)</w:t>
      </w:r>
      <w:r>
        <w:rPr>
          <w:rFonts w:eastAsia="Calibri"/>
        </w:rPr>
        <w:t xml:space="preserve"> </w:t>
      </w:r>
      <w:r w:rsidRPr="00BA3E06">
        <w:rPr>
          <w:rFonts w:eastAsia="Calibri"/>
        </w:rPr>
        <w:t>plants treated with KROM had a 50% reduction in ethylene formation compared</w:t>
      </w:r>
      <w:r>
        <w:rPr>
          <w:rFonts w:eastAsia="Calibri"/>
        </w:rPr>
        <w:t xml:space="preserve"> to</w:t>
      </w:r>
      <w:r w:rsidRPr="00BA3E06">
        <w:rPr>
          <w:rFonts w:eastAsia="Calibri"/>
        </w:rPr>
        <w:t xml:space="preserve"> non-treated wheat</w:t>
      </w:r>
      <w:r>
        <w:rPr>
          <w:rFonts w:eastAsia="Calibri"/>
        </w:rPr>
        <w:t xml:space="preserve"> </w:t>
      </w:r>
      <w:r w:rsidRPr="005C3B4C">
        <w:rPr>
          <w:rFonts w:eastAsia="Calibri"/>
        </w:rPr>
        <w:t>plants. The authors proposed it was this reduction of ethylene</w:t>
      </w:r>
      <w:r w:rsidRPr="00BA3E06">
        <w:rPr>
          <w:rFonts w:eastAsia="Calibri"/>
        </w:rPr>
        <w:t xml:space="preserve"> coupled with an increase in cytokinins that </w:t>
      </w:r>
      <w:r w:rsidR="008A55DA">
        <w:rPr>
          <w:rFonts w:eastAsia="Calibri"/>
        </w:rPr>
        <w:t>resulted in a</w:t>
      </w:r>
      <w:r w:rsidR="008A55DA" w:rsidRPr="00BA3E06">
        <w:rPr>
          <w:rFonts w:eastAsia="Calibri"/>
        </w:rPr>
        <w:t xml:space="preserve"> </w:t>
      </w:r>
      <w:r w:rsidRPr="00BA3E06">
        <w:rPr>
          <w:rFonts w:eastAsia="Calibri"/>
        </w:rPr>
        <w:t xml:space="preserve">greening response. A delay in leaf senescence </w:t>
      </w:r>
      <w:r w:rsidR="00E47777">
        <w:rPr>
          <w:rFonts w:eastAsia="Calibri"/>
        </w:rPr>
        <w:t>may</w:t>
      </w:r>
      <w:r w:rsidRPr="00BA3E06">
        <w:rPr>
          <w:rFonts w:eastAsia="Calibri"/>
        </w:rPr>
        <w:t xml:space="preserve"> also lengthen the grain filling period of several crops including corn</w:t>
      </w:r>
      <w:r>
        <w:rPr>
          <w:rFonts w:eastAsia="Calibri"/>
        </w:rPr>
        <w:t xml:space="preserve"> (</w:t>
      </w:r>
      <w:r w:rsidRPr="005C3B4C">
        <w:rPr>
          <w:i/>
        </w:rPr>
        <w:t>Zea mays</w:t>
      </w:r>
      <w:r>
        <w:t xml:space="preserve"> L.)</w:t>
      </w:r>
      <w:r w:rsidRPr="00BA3E06">
        <w:rPr>
          <w:rFonts w:eastAsia="Calibri"/>
        </w:rPr>
        <w:t xml:space="preserve"> and wheat (</w:t>
      </w:r>
      <w:r w:rsidRPr="00E12DC4">
        <w:rPr>
          <w:rFonts w:eastAsia="Calibri"/>
        </w:rPr>
        <w:t>Ammermann et al.</w:t>
      </w:r>
      <w:r>
        <w:rPr>
          <w:rFonts w:eastAsia="Calibri"/>
        </w:rPr>
        <w:t>,</w:t>
      </w:r>
      <w:r w:rsidRPr="00E12DC4">
        <w:rPr>
          <w:rFonts w:eastAsia="Calibri"/>
        </w:rPr>
        <w:t xml:space="preserve"> 2000; Godwin et al.</w:t>
      </w:r>
      <w:r>
        <w:rPr>
          <w:rFonts w:eastAsia="Calibri"/>
        </w:rPr>
        <w:t>,</w:t>
      </w:r>
      <w:r w:rsidRPr="00E12DC4">
        <w:rPr>
          <w:rFonts w:eastAsia="Calibri"/>
        </w:rPr>
        <w:t xml:space="preserve"> 2000; Bryson</w:t>
      </w:r>
      <w:r>
        <w:rPr>
          <w:rFonts w:eastAsia="Calibri"/>
        </w:rPr>
        <w:t>,</w:t>
      </w:r>
      <w:r w:rsidRPr="00E12DC4">
        <w:rPr>
          <w:rFonts w:eastAsia="Calibri"/>
        </w:rPr>
        <w:t xml:space="preserve"> 2000</w:t>
      </w:r>
      <w:r w:rsidRPr="00BA3E06">
        <w:rPr>
          <w:rFonts w:eastAsia="Calibri"/>
        </w:rPr>
        <w:t>)</w:t>
      </w:r>
      <w:r>
        <w:rPr>
          <w:rFonts w:eastAsia="Calibri"/>
        </w:rPr>
        <w:t xml:space="preserve"> resulting in potential yield increase</w:t>
      </w:r>
      <w:r w:rsidR="008A55DA">
        <w:rPr>
          <w:rFonts w:eastAsia="Calibri"/>
        </w:rPr>
        <w:t>s</w:t>
      </w:r>
      <w:r w:rsidRPr="00BA3E06">
        <w:rPr>
          <w:rFonts w:eastAsia="Calibri"/>
        </w:rPr>
        <w:t>. This increase</w:t>
      </w:r>
      <w:r w:rsidR="008A55DA">
        <w:rPr>
          <w:rFonts w:eastAsia="Calibri"/>
        </w:rPr>
        <w:t xml:space="preserve"> in yield has been</w:t>
      </w:r>
      <w:r w:rsidRPr="00BA3E06">
        <w:rPr>
          <w:rFonts w:eastAsia="Calibri"/>
        </w:rPr>
        <w:t xml:space="preserve"> </w:t>
      </w:r>
      <w:r>
        <w:rPr>
          <w:rFonts w:eastAsia="Calibri"/>
        </w:rPr>
        <w:t xml:space="preserve">suggested to be </w:t>
      </w:r>
      <w:r w:rsidR="008A55DA">
        <w:rPr>
          <w:rFonts w:eastAsia="Calibri"/>
        </w:rPr>
        <w:t>the result of</w:t>
      </w:r>
      <w:r w:rsidRPr="00BA3E06">
        <w:rPr>
          <w:rFonts w:eastAsia="Calibri"/>
        </w:rPr>
        <w:t xml:space="preserve"> prolonged photosynthetic abil</w:t>
      </w:r>
      <w:r>
        <w:rPr>
          <w:rFonts w:eastAsia="Calibri"/>
        </w:rPr>
        <w:t>ity in the lower (older) leaves</w:t>
      </w:r>
      <w:r w:rsidRPr="00BA3E06">
        <w:rPr>
          <w:rFonts w:eastAsia="Calibri"/>
        </w:rPr>
        <w:t xml:space="preserve"> </w:t>
      </w:r>
      <w:r>
        <w:rPr>
          <w:rFonts w:eastAsia="Calibri"/>
        </w:rPr>
        <w:t>as a result of delayed senescence (</w:t>
      </w:r>
      <w:r w:rsidRPr="00E12DC4">
        <w:rPr>
          <w:rFonts w:eastAsia="Calibri"/>
        </w:rPr>
        <w:t>Grossman et al.</w:t>
      </w:r>
      <w:r>
        <w:rPr>
          <w:rFonts w:eastAsia="Calibri"/>
        </w:rPr>
        <w:t>,</w:t>
      </w:r>
      <w:r w:rsidRPr="00E12DC4">
        <w:rPr>
          <w:rFonts w:eastAsia="Calibri"/>
        </w:rPr>
        <w:t xml:space="preserve"> 1999</w:t>
      </w:r>
      <w:r>
        <w:rPr>
          <w:rFonts w:eastAsia="Calibri"/>
        </w:rPr>
        <w:t>).</w:t>
      </w:r>
      <w:r w:rsidRPr="00BA3E06">
        <w:rPr>
          <w:rFonts w:eastAsia="Calibri"/>
          <w:b/>
        </w:rPr>
        <w:t xml:space="preserve"> </w:t>
      </w:r>
      <w:r w:rsidRPr="00D917D9">
        <w:t>However, other studies suggest this increase in grain yield after strobilurin fungicide applications is much less pronounced in low disease pressure environments (</w:t>
      </w:r>
      <w:r w:rsidRPr="00F62466">
        <w:t>Swoboda and Pedersen, 2009; Weisz et al.</w:t>
      </w:r>
      <w:r>
        <w:t>,</w:t>
      </w:r>
      <w:r w:rsidRPr="00F62466">
        <w:t xml:space="preserve"> 2011</w:t>
      </w:r>
      <w:r>
        <w:t>).</w:t>
      </w:r>
    </w:p>
    <w:p w:rsidR="00067052" w:rsidRDefault="00067052" w:rsidP="00067052">
      <w:pPr>
        <w:spacing w:line="480" w:lineRule="auto"/>
        <w:ind w:firstLine="720"/>
        <w:rPr>
          <w:rFonts w:eastAsia="Calibri"/>
        </w:rPr>
      </w:pPr>
      <w:r w:rsidRPr="00BA3E06">
        <w:rPr>
          <w:rFonts w:eastAsia="Calibri"/>
        </w:rPr>
        <w:lastRenderedPageBreak/>
        <w:t xml:space="preserve">Strobilurin fungicides altering physiological responses within the aboveground portion of the plant may </w:t>
      </w:r>
      <w:r>
        <w:rPr>
          <w:rFonts w:eastAsia="Calibri"/>
        </w:rPr>
        <w:t xml:space="preserve">also </w:t>
      </w:r>
      <w:r w:rsidRPr="00BA3E06">
        <w:rPr>
          <w:rFonts w:eastAsia="Calibri"/>
        </w:rPr>
        <w:t>have effect</w:t>
      </w:r>
      <w:r>
        <w:rPr>
          <w:rFonts w:eastAsia="Calibri"/>
        </w:rPr>
        <w:t>s</w:t>
      </w:r>
      <w:r w:rsidRPr="00BA3E06">
        <w:rPr>
          <w:rFonts w:eastAsia="Calibri"/>
        </w:rPr>
        <w:t xml:space="preserve"> on root </w:t>
      </w:r>
      <w:r>
        <w:rPr>
          <w:rFonts w:eastAsia="Calibri"/>
        </w:rPr>
        <w:t xml:space="preserve">growth and </w:t>
      </w:r>
      <w:r w:rsidRPr="00BA3E06">
        <w:rPr>
          <w:rFonts w:eastAsia="Calibri"/>
        </w:rPr>
        <w:t>development. A seed dressing containing fluoxastrobin did not alter shoot or leaf formation of barley, but slightly stimulated root growth in v</w:t>
      </w:r>
      <w:r>
        <w:rPr>
          <w:rFonts w:eastAsia="Calibri"/>
        </w:rPr>
        <w:t>arying environmental conditions</w:t>
      </w:r>
      <w:r w:rsidRPr="00BA3E06">
        <w:rPr>
          <w:rFonts w:eastAsia="Calibri"/>
        </w:rPr>
        <w:t xml:space="preserve"> (</w:t>
      </w:r>
      <w:r w:rsidRPr="00E12DC4">
        <w:rPr>
          <w:rFonts w:eastAsia="Calibri"/>
        </w:rPr>
        <w:t>Gortz et al., 2008</w:t>
      </w:r>
      <w:r w:rsidRPr="00BA3E06">
        <w:rPr>
          <w:rFonts w:eastAsia="Calibri"/>
        </w:rPr>
        <w:t xml:space="preserve">).  Brosnan et al. </w:t>
      </w:r>
      <w:r>
        <w:rPr>
          <w:rFonts w:eastAsia="Calibri"/>
        </w:rPr>
        <w:t>(</w:t>
      </w:r>
      <w:r w:rsidRPr="00E12DC4">
        <w:rPr>
          <w:rFonts w:eastAsia="Calibri"/>
        </w:rPr>
        <w:t>2010</w:t>
      </w:r>
      <w:r>
        <w:rPr>
          <w:rFonts w:eastAsia="Calibri"/>
        </w:rPr>
        <w:t>)</w:t>
      </w:r>
      <w:r w:rsidRPr="00BA3E06">
        <w:rPr>
          <w:rFonts w:eastAsia="Calibri"/>
        </w:rPr>
        <w:t xml:space="preserve"> observed that pyraclostrobin increased rooting in ‘</w:t>
      </w:r>
      <w:r w:rsidR="008A55DA">
        <w:rPr>
          <w:rFonts w:eastAsia="Calibri"/>
        </w:rPr>
        <w:t xml:space="preserve">Penn </w:t>
      </w:r>
      <w:r w:rsidRPr="00BA3E06">
        <w:rPr>
          <w:rFonts w:eastAsia="Calibri"/>
        </w:rPr>
        <w:t xml:space="preserve">A-1’ creeping bentgrass. Conversely, azoxystrobin decreased rooting compared to the non-treated control in a greenhouse environment, but this effect was not detected on ‘Penncross’ creeping bentgrass. It is unclear why strobilurin fungicides may increase rooting in plants. Brosnan et al. </w:t>
      </w:r>
      <w:r>
        <w:rPr>
          <w:rFonts w:eastAsia="Calibri"/>
        </w:rPr>
        <w:t>(</w:t>
      </w:r>
      <w:r w:rsidRPr="00E12DC4">
        <w:rPr>
          <w:rFonts w:eastAsia="Calibri"/>
        </w:rPr>
        <w:t>2010</w:t>
      </w:r>
      <w:r>
        <w:rPr>
          <w:rFonts w:eastAsia="Calibri"/>
        </w:rPr>
        <w:t>)</w:t>
      </w:r>
      <w:r w:rsidRPr="00BA3E06">
        <w:rPr>
          <w:rFonts w:eastAsia="Calibri"/>
        </w:rPr>
        <w:t xml:space="preserve"> suggested that these strobilurin </w:t>
      </w:r>
      <w:r>
        <w:rPr>
          <w:rFonts w:eastAsia="Calibri"/>
        </w:rPr>
        <w:t>treated turfgrass plants display</w:t>
      </w:r>
      <w:r w:rsidR="008A55DA">
        <w:rPr>
          <w:rFonts w:eastAsia="Calibri"/>
        </w:rPr>
        <w:t>ed</w:t>
      </w:r>
      <w:r>
        <w:rPr>
          <w:rFonts w:eastAsia="Calibri"/>
        </w:rPr>
        <w:t xml:space="preserve"> a</w:t>
      </w:r>
      <w:r w:rsidRPr="00BA3E06">
        <w:rPr>
          <w:rFonts w:eastAsia="Calibri"/>
        </w:rPr>
        <w:t xml:space="preserve"> response similar to </w:t>
      </w:r>
      <w:r w:rsidR="00AB0AED">
        <w:rPr>
          <w:rFonts w:eastAsia="Calibri"/>
        </w:rPr>
        <w:t>what would be expected following treatment</w:t>
      </w:r>
      <w:r>
        <w:rPr>
          <w:rFonts w:eastAsia="Calibri"/>
        </w:rPr>
        <w:t xml:space="preserve"> with </w:t>
      </w:r>
      <w:r w:rsidRPr="00BA3E06">
        <w:rPr>
          <w:rFonts w:eastAsia="Calibri"/>
        </w:rPr>
        <w:t>low doses of auxin, a plant growth hormone known to promote adventitious rooting (</w:t>
      </w:r>
      <w:r w:rsidR="00893A50">
        <w:rPr>
          <w:rFonts w:eastAsia="Calibri"/>
        </w:rPr>
        <w:t>Grossman and Retzlaff, 1997; Taiz and Zeiger, 1998; Köhle et al., 2002</w:t>
      </w:r>
      <w:r w:rsidRPr="00BA3E06">
        <w:rPr>
          <w:rFonts w:eastAsia="Calibri"/>
        </w:rPr>
        <w:t xml:space="preserve">). </w:t>
      </w:r>
    </w:p>
    <w:p w:rsidR="00067052" w:rsidRPr="00BA3E06" w:rsidRDefault="00067052" w:rsidP="00067052">
      <w:pPr>
        <w:spacing w:line="480" w:lineRule="auto"/>
        <w:ind w:firstLine="720"/>
        <w:rPr>
          <w:rFonts w:eastAsia="Calibri"/>
        </w:rPr>
      </w:pPr>
    </w:p>
    <w:p w:rsidR="00067052" w:rsidRDefault="00067052" w:rsidP="006F4EE7">
      <w:pPr>
        <w:pStyle w:val="Heading2"/>
        <w:rPr>
          <w:rFonts w:eastAsia="Calibri"/>
        </w:rPr>
      </w:pPr>
      <w:bookmarkStart w:id="17" w:name="_Toc353873524"/>
      <w:bookmarkStart w:id="18" w:name="_Toc353890875"/>
      <w:bookmarkStart w:id="19" w:name="_Toc353892616"/>
      <w:r>
        <w:rPr>
          <w:rFonts w:eastAsia="Calibri"/>
        </w:rPr>
        <w:t xml:space="preserve">MEASURING </w:t>
      </w:r>
      <w:r w:rsidR="00223197">
        <w:rPr>
          <w:rFonts w:eastAsia="Calibri"/>
        </w:rPr>
        <w:t>PHYSIOLOGICAL EFFECTS</w:t>
      </w:r>
      <w:bookmarkEnd w:id="17"/>
      <w:bookmarkEnd w:id="18"/>
      <w:bookmarkEnd w:id="19"/>
    </w:p>
    <w:p w:rsidR="00067052" w:rsidRDefault="00067052" w:rsidP="00067052">
      <w:pPr>
        <w:spacing w:line="480" w:lineRule="auto"/>
        <w:jc w:val="center"/>
        <w:rPr>
          <w:rFonts w:eastAsia="Calibri"/>
          <w:b/>
          <w:sz w:val="28"/>
          <w:szCs w:val="28"/>
        </w:rPr>
      </w:pPr>
    </w:p>
    <w:p w:rsidR="00067052" w:rsidRDefault="00067052" w:rsidP="006F4EE7">
      <w:pPr>
        <w:pStyle w:val="Heading3"/>
        <w:rPr>
          <w:rFonts w:eastAsia="Calibri"/>
        </w:rPr>
      </w:pPr>
      <w:bookmarkStart w:id="20" w:name="_Toc353873525"/>
      <w:bookmarkStart w:id="21" w:name="_Toc353890876"/>
      <w:bookmarkStart w:id="22" w:name="_Toc353892617"/>
      <w:r w:rsidRPr="00866DB2">
        <w:rPr>
          <w:rFonts w:eastAsia="Calibri"/>
        </w:rPr>
        <w:t>VISUAL TURFGRASS QUALITY</w:t>
      </w:r>
      <w:bookmarkEnd w:id="20"/>
      <w:bookmarkEnd w:id="21"/>
      <w:bookmarkEnd w:id="22"/>
    </w:p>
    <w:p w:rsidR="00866DB2" w:rsidRPr="00866DB2" w:rsidRDefault="00866DB2" w:rsidP="00866DB2">
      <w:pPr>
        <w:rPr>
          <w:rFonts w:eastAsia="Calibri"/>
        </w:rPr>
      </w:pPr>
    </w:p>
    <w:p w:rsidR="00067052" w:rsidRDefault="00067052" w:rsidP="00067052">
      <w:pPr>
        <w:spacing w:line="480" w:lineRule="auto"/>
        <w:ind w:firstLine="720"/>
        <w:rPr>
          <w:rFonts w:eastAsia="Calibri"/>
        </w:rPr>
      </w:pPr>
      <w:r w:rsidRPr="00BA3E06">
        <w:rPr>
          <w:rFonts w:eastAsia="Calibri"/>
        </w:rPr>
        <w:t xml:space="preserve">Visual turfgrass quality is a qualitative measurement used to evaluate the overall health and </w:t>
      </w:r>
      <w:r>
        <w:rPr>
          <w:rFonts w:eastAsia="Calibri"/>
        </w:rPr>
        <w:t>performance characteristics</w:t>
      </w:r>
      <w:r w:rsidRPr="00BA3E06">
        <w:rPr>
          <w:rFonts w:eastAsia="Calibri"/>
        </w:rPr>
        <w:t xml:space="preserve"> of turfgrass. This subjective measurement is an integrated value including color, density, uniformity, growth, and leaf texture (</w:t>
      </w:r>
      <w:r w:rsidRPr="00E12DC4">
        <w:rPr>
          <w:rFonts w:eastAsia="Calibri"/>
        </w:rPr>
        <w:t>Beard, 1973</w:t>
      </w:r>
      <w:r w:rsidRPr="00BA3E06">
        <w:rPr>
          <w:rFonts w:eastAsia="Calibri"/>
        </w:rPr>
        <w:t xml:space="preserve">). The evaluator will take into consideration these qualities and factor in the purpose of the selected turfgrass site. Evaluating turfgrass quality in a lawn or roadside setting will be qualitatively different compared to a assessing a creeping bentgrass putting green. </w:t>
      </w:r>
      <w:r w:rsidRPr="00460CEE">
        <w:rPr>
          <w:rFonts w:eastAsia="Calibri"/>
        </w:rPr>
        <w:lastRenderedPageBreak/>
        <w:t xml:space="preserve">Turfgrass quality is typically measured on a 1 </w:t>
      </w:r>
      <w:r w:rsidR="00827703" w:rsidRPr="00460CEE">
        <w:rPr>
          <w:rFonts w:eastAsia="Calibri"/>
        </w:rPr>
        <w:t>to</w:t>
      </w:r>
      <w:r w:rsidRPr="00460CEE">
        <w:rPr>
          <w:rFonts w:eastAsia="Calibri"/>
        </w:rPr>
        <w:t xml:space="preserve"> 9 scale where 1 = bare soil and 9 = exceptional quality. A quality rating of 6 has become a standard for acceptable quality</w:t>
      </w:r>
      <w:r w:rsidR="00893A50" w:rsidRPr="00460CEE">
        <w:rPr>
          <w:rFonts w:eastAsia="Calibri"/>
        </w:rPr>
        <w:t xml:space="preserve"> (N</w:t>
      </w:r>
      <w:r w:rsidR="00460CEE" w:rsidRPr="00460CEE">
        <w:rPr>
          <w:rFonts w:eastAsia="Calibri"/>
        </w:rPr>
        <w:t>ational Turfgrass Evaluation Program, 2013)</w:t>
      </w:r>
      <w:r w:rsidRPr="00460CEE">
        <w:rPr>
          <w:rFonts w:eastAsia="Calibri"/>
        </w:rPr>
        <w:t>.</w:t>
      </w:r>
    </w:p>
    <w:p w:rsidR="00067052" w:rsidRDefault="00067052" w:rsidP="00471E47">
      <w:pPr>
        <w:spacing w:line="480" w:lineRule="auto"/>
        <w:ind w:firstLine="720"/>
        <w:rPr>
          <w:rFonts w:eastAsia="Calibri"/>
        </w:rPr>
      </w:pPr>
      <w:r w:rsidRPr="00BA3E06">
        <w:rPr>
          <w:rFonts w:eastAsia="Calibri"/>
        </w:rPr>
        <w:t>Visual quality has been an accepted qualitative evaluation for the aesthetics and functionality of turfgrass for at least 75 years (North and Odland, 1934) and continues to be integrated into performance evaluation in modern experiments</w:t>
      </w:r>
      <w:r w:rsidR="00DE52E9">
        <w:rPr>
          <w:rFonts w:eastAsia="Calibri"/>
        </w:rPr>
        <w:t xml:space="preserve"> </w:t>
      </w:r>
      <w:r w:rsidR="004C3764">
        <w:rPr>
          <w:rFonts w:eastAsia="Calibri"/>
        </w:rPr>
        <w:t>(</w:t>
      </w:r>
      <w:r w:rsidR="008B03CB">
        <w:rPr>
          <w:rFonts w:eastAsia="Calibri"/>
        </w:rPr>
        <w:t xml:space="preserve">Watson </w:t>
      </w:r>
      <w:r w:rsidR="004C3764">
        <w:rPr>
          <w:rFonts w:eastAsia="Calibri"/>
        </w:rPr>
        <w:t xml:space="preserve">et al., </w:t>
      </w:r>
      <w:r w:rsidR="008B03CB">
        <w:rPr>
          <w:rFonts w:eastAsia="Calibri"/>
        </w:rPr>
        <w:t xml:space="preserve">2012). </w:t>
      </w:r>
      <w:r w:rsidRPr="00BA3E06">
        <w:rPr>
          <w:rFonts w:eastAsia="Calibri"/>
        </w:rPr>
        <w:t>However, there is no widely accepted turfgrass quality formula published in peer</w:t>
      </w:r>
      <w:r>
        <w:rPr>
          <w:rFonts w:eastAsia="Calibri"/>
        </w:rPr>
        <w:t>-</w:t>
      </w:r>
      <w:r w:rsidRPr="00BA3E06">
        <w:rPr>
          <w:rFonts w:eastAsia="Calibri"/>
        </w:rPr>
        <w:t xml:space="preserve">reviewed journals. This is </w:t>
      </w:r>
      <w:r w:rsidR="004C3C30">
        <w:rPr>
          <w:rFonts w:eastAsia="Calibri"/>
        </w:rPr>
        <w:t>a potential reason why</w:t>
      </w:r>
      <w:r w:rsidRPr="00BA3E06">
        <w:rPr>
          <w:rFonts w:eastAsia="Calibri"/>
        </w:rPr>
        <w:t xml:space="preserve"> visual turfgrass quality ratings are difficult to duplicate from one study to another and from one university to another</w:t>
      </w:r>
      <w:r w:rsidR="0074685A">
        <w:rPr>
          <w:rFonts w:eastAsia="Calibri"/>
        </w:rPr>
        <w:t xml:space="preserve"> (Horst et al., 1984)</w:t>
      </w:r>
      <w:r w:rsidRPr="00BA3E06">
        <w:rPr>
          <w:rFonts w:eastAsia="Calibri"/>
        </w:rPr>
        <w:t xml:space="preserve">. </w:t>
      </w:r>
      <w:r w:rsidR="00471E47">
        <w:rPr>
          <w:rFonts w:eastAsia="Calibri"/>
        </w:rPr>
        <w:t xml:space="preserve">Another reason why visual ratings are difficult to duplicate is subjective bias among evaluators. Landschoot and Mancino (2000) observed differences among evaluators for visual color, lightness, and chroma assessments on creeping bentgrass. </w:t>
      </w:r>
      <w:r w:rsidRPr="00BA3E06">
        <w:rPr>
          <w:rFonts w:eastAsia="Calibri"/>
        </w:rPr>
        <w:t xml:space="preserve">Recently, quantitative measurements have been developed to assess various indicators of turfgrass performance. </w:t>
      </w:r>
    </w:p>
    <w:p w:rsidR="00067052" w:rsidRDefault="00067052" w:rsidP="00067052">
      <w:pPr>
        <w:spacing w:line="480" w:lineRule="auto"/>
        <w:ind w:firstLine="720"/>
        <w:rPr>
          <w:rFonts w:eastAsia="Calibri"/>
        </w:rPr>
      </w:pPr>
    </w:p>
    <w:p w:rsidR="00067052" w:rsidRDefault="00067052" w:rsidP="006F4EE7">
      <w:pPr>
        <w:pStyle w:val="Heading3"/>
        <w:rPr>
          <w:rFonts w:eastAsia="Calibri"/>
        </w:rPr>
      </w:pPr>
      <w:bookmarkStart w:id="23" w:name="_Toc353873526"/>
      <w:bookmarkStart w:id="24" w:name="_Toc353890877"/>
      <w:bookmarkStart w:id="25" w:name="_Toc353892618"/>
      <w:r w:rsidRPr="001303C3">
        <w:rPr>
          <w:rFonts w:eastAsia="Calibri"/>
        </w:rPr>
        <w:t>NORMALIZED DIFFERENCE VEGETATION INDEX</w:t>
      </w:r>
      <w:bookmarkEnd w:id="23"/>
      <w:bookmarkEnd w:id="24"/>
      <w:bookmarkEnd w:id="25"/>
    </w:p>
    <w:p w:rsidR="00866DB2" w:rsidRPr="00866DB2" w:rsidRDefault="00866DB2" w:rsidP="00866DB2">
      <w:pPr>
        <w:rPr>
          <w:rFonts w:eastAsia="Calibri"/>
        </w:rPr>
      </w:pPr>
    </w:p>
    <w:p w:rsidR="00067052" w:rsidRDefault="00067052" w:rsidP="00067052">
      <w:pPr>
        <w:spacing w:line="480" w:lineRule="auto"/>
        <w:ind w:firstLine="720"/>
        <w:rPr>
          <w:rFonts w:eastAsia="Calibri"/>
        </w:rPr>
      </w:pPr>
      <w:r w:rsidRPr="00BA3E06">
        <w:rPr>
          <w:rFonts w:eastAsia="Calibri"/>
        </w:rPr>
        <w:t>Normalized Difference Vegetation Index</w:t>
      </w:r>
      <w:r>
        <w:rPr>
          <w:rFonts w:eastAsia="Calibri"/>
        </w:rPr>
        <w:t xml:space="preserve"> (NDVI)</w:t>
      </w:r>
      <w:r w:rsidRPr="00BA3E06">
        <w:rPr>
          <w:rFonts w:eastAsia="Calibri"/>
        </w:rPr>
        <w:t xml:space="preserve"> is a quantitative spectral reflectance measurement used to estimate leaf area index and absorbed </w:t>
      </w:r>
      <w:r>
        <w:rPr>
          <w:rFonts w:eastAsia="Calibri"/>
        </w:rPr>
        <w:t xml:space="preserve">photosynthetic </w:t>
      </w:r>
      <w:r w:rsidRPr="00BA3E06">
        <w:rPr>
          <w:rFonts w:eastAsia="Calibri"/>
        </w:rPr>
        <w:t>active radiation of vegetation. It is defined as the near-infrared (NIR) minus visible reflectance divided by NIR plus visible reflectance. NDVI can be broken down into two separate sub</w:t>
      </w:r>
      <w:r w:rsidR="00811D4B">
        <w:rPr>
          <w:rFonts w:eastAsia="Calibri"/>
        </w:rPr>
        <w:t>-</w:t>
      </w:r>
      <w:r w:rsidRPr="00BA3E06">
        <w:rPr>
          <w:rFonts w:eastAsia="Calibri"/>
        </w:rPr>
        <w:t>categories. Red reflectance is associated with the amount of chlorophyll adsorption and is visible (</w:t>
      </w:r>
      <w:r w:rsidRPr="00E12DC4">
        <w:rPr>
          <w:rFonts w:eastAsia="Calibri"/>
        </w:rPr>
        <w:t>Knipling, 1970</w:t>
      </w:r>
      <w:r w:rsidRPr="00BA3E06">
        <w:rPr>
          <w:rFonts w:eastAsia="Calibri"/>
        </w:rPr>
        <w:t xml:space="preserve">). It is this component of NDVI which is </w:t>
      </w:r>
      <w:r w:rsidRPr="00BA3E06">
        <w:rPr>
          <w:rFonts w:eastAsia="Calibri"/>
        </w:rPr>
        <w:lastRenderedPageBreak/>
        <w:t>commonly correlated with visual turfgrass quality ratings</w:t>
      </w:r>
      <w:r w:rsidRPr="0018176A">
        <w:rPr>
          <w:rFonts w:eastAsia="Calibri"/>
        </w:rPr>
        <w:t xml:space="preserve"> </w:t>
      </w:r>
      <w:r>
        <w:rPr>
          <w:rFonts w:eastAsia="Calibri"/>
        </w:rPr>
        <w:t>(</w:t>
      </w:r>
      <w:r w:rsidRPr="00E12DC4">
        <w:rPr>
          <w:rFonts w:eastAsia="Calibri"/>
        </w:rPr>
        <w:t>Bell et al., 2004</w:t>
      </w:r>
      <w:r>
        <w:rPr>
          <w:rFonts w:eastAsia="Calibri"/>
        </w:rPr>
        <w:t>)</w:t>
      </w:r>
      <w:r w:rsidRPr="00BA3E06">
        <w:rPr>
          <w:rFonts w:eastAsia="Calibri"/>
        </w:rPr>
        <w:t xml:space="preserve">. Near Infrared Reflectance (NIR) is a measure of light scattering within plant cells and is considered to be </w:t>
      </w:r>
      <w:r w:rsidR="00E845A2" w:rsidRPr="00BA3E06">
        <w:rPr>
          <w:rFonts w:eastAsia="Calibri"/>
        </w:rPr>
        <w:t>non-visible</w:t>
      </w:r>
      <w:r w:rsidRPr="00BA3E06">
        <w:rPr>
          <w:rFonts w:eastAsia="Calibri"/>
        </w:rPr>
        <w:t xml:space="preserve">. NIR is generally associated with the water status of </w:t>
      </w:r>
      <w:r>
        <w:rPr>
          <w:rFonts w:eastAsia="Calibri"/>
        </w:rPr>
        <w:t>a plant and the presence of senescing leaf tissue</w:t>
      </w:r>
      <w:r w:rsidRPr="00BA3E06">
        <w:rPr>
          <w:rFonts w:eastAsia="Calibri"/>
        </w:rPr>
        <w:t xml:space="preserve"> (</w:t>
      </w:r>
      <w:r w:rsidRPr="00E12DC4">
        <w:rPr>
          <w:rFonts w:eastAsia="Calibri"/>
        </w:rPr>
        <w:t>Penuelas et al.</w:t>
      </w:r>
      <w:r>
        <w:rPr>
          <w:rFonts w:eastAsia="Calibri"/>
        </w:rPr>
        <w:t>,</w:t>
      </w:r>
      <w:r w:rsidRPr="00E12DC4">
        <w:rPr>
          <w:rFonts w:eastAsia="Calibri"/>
        </w:rPr>
        <w:t xml:space="preserve"> 1993; Jensen, 2007</w:t>
      </w:r>
      <w:r>
        <w:rPr>
          <w:rFonts w:eastAsia="Calibri"/>
        </w:rPr>
        <w:t xml:space="preserve">). </w:t>
      </w:r>
    </w:p>
    <w:p w:rsidR="00105E69" w:rsidRPr="00734714" w:rsidRDefault="00067052" w:rsidP="00105E69">
      <w:pPr>
        <w:spacing w:line="480" w:lineRule="auto"/>
        <w:ind w:firstLine="720"/>
        <w:rPr>
          <w:rFonts w:eastAsia="Calibri"/>
        </w:rPr>
      </w:pPr>
      <w:r>
        <w:rPr>
          <w:rFonts w:eastAsia="Calibri"/>
        </w:rPr>
        <w:t xml:space="preserve">NDVI has been used as an </w:t>
      </w:r>
      <w:r w:rsidRPr="00BA3E06">
        <w:rPr>
          <w:rFonts w:eastAsia="Calibri"/>
        </w:rPr>
        <w:t xml:space="preserve">indicator </w:t>
      </w:r>
      <w:r w:rsidR="00E845A2">
        <w:rPr>
          <w:rFonts w:eastAsia="Calibri"/>
        </w:rPr>
        <w:t>for</w:t>
      </w:r>
      <w:r w:rsidRPr="00BA3E06">
        <w:rPr>
          <w:rFonts w:eastAsia="Calibri"/>
        </w:rPr>
        <w:t xml:space="preserve"> turfgrass quality, cover, and injury among several cultivars of seashore paspalum </w:t>
      </w:r>
      <w:r w:rsidRPr="00BA3E06">
        <w:rPr>
          <w:rFonts w:eastAsia="Calibri"/>
          <w:bCs/>
          <w:i/>
          <w:iCs/>
        </w:rPr>
        <w:t xml:space="preserve">(Paspalurn vaginaturn </w:t>
      </w:r>
      <w:r w:rsidRPr="00BA3E06">
        <w:rPr>
          <w:rFonts w:eastAsia="Calibri"/>
        </w:rPr>
        <w:t xml:space="preserve">Swartz) and </w:t>
      </w:r>
      <w:r>
        <w:rPr>
          <w:rFonts w:eastAsia="Calibri"/>
        </w:rPr>
        <w:t>hybrid bermudagrass</w:t>
      </w:r>
      <w:r w:rsidRPr="00BA3E06">
        <w:rPr>
          <w:rFonts w:eastAsia="Calibri"/>
        </w:rPr>
        <w:t xml:space="preserve"> </w:t>
      </w:r>
      <w:r>
        <w:rPr>
          <w:rFonts w:eastAsia="Calibri"/>
        </w:rPr>
        <w:t>(Trenholm, 1999)</w:t>
      </w:r>
      <w:r w:rsidRPr="00BA3E06">
        <w:rPr>
          <w:rFonts w:eastAsia="Calibri"/>
        </w:rPr>
        <w:t xml:space="preserve">. </w:t>
      </w:r>
      <w:r w:rsidR="00105E69">
        <w:rPr>
          <w:rFonts w:eastAsia="Calibri"/>
        </w:rPr>
        <w:t xml:space="preserve">NDVI as a measure to predict visual quality has been investigated in recent years. Bremer et al. (2011) conducted a 3-year field trial investigating relationships between NDVI and visual ratings on three cultivars of Kentucky bluegrass and one cultivar of tall fescue. The authors </w:t>
      </w:r>
      <w:r w:rsidR="00DB0480">
        <w:rPr>
          <w:rFonts w:eastAsia="Calibri"/>
        </w:rPr>
        <w:t xml:space="preserve">observed coefficients of determination </w:t>
      </w:r>
      <w:r w:rsidR="00105E69">
        <w:rPr>
          <w:rFonts w:eastAsia="Calibri"/>
        </w:rPr>
        <w:t>correlations (</w:t>
      </w:r>
      <w:r w:rsidR="00105E69" w:rsidRPr="00DB0480">
        <w:rPr>
          <w:rFonts w:eastAsia="Calibri"/>
          <w:i/>
        </w:rPr>
        <w:t>r</w:t>
      </w:r>
      <w:r w:rsidR="00105E69" w:rsidRPr="0031073C">
        <w:rPr>
          <w:rFonts w:eastAsia="Calibri"/>
          <w:vertAlign w:val="superscript"/>
        </w:rPr>
        <w:t>2</w:t>
      </w:r>
      <w:r w:rsidR="00105E69">
        <w:rPr>
          <w:rFonts w:eastAsia="Calibri"/>
        </w:rPr>
        <w:t xml:space="preserve"> = 0.38 – 0.83) between NDVI and visual ratings in Kentucky bluegrass </w:t>
      </w:r>
      <w:r w:rsidR="00DB0480">
        <w:rPr>
          <w:rFonts w:eastAsia="Calibri"/>
        </w:rPr>
        <w:t>and (</w:t>
      </w:r>
      <w:r w:rsidR="00DB0480" w:rsidRPr="00DB0480">
        <w:rPr>
          <w:rFonts w:eastAsia="Calibri"/>
          <w:i/>
        </w:rPr>
        <w:t>r</w:t>
      </w:r>
      <w:r w:rsidR="00DB0480" w:rsidRPr="00DB0480">
        <w:rPr>
          <w:rFonts w:eastAsia="Calibri"/>
          <w:vertAlign w:val="superscript"/>
        </w:rPr>
        <w:t>2</w:t>
      </w:r>
      <w:r w:rsidR="00DB0480">
        <w:rPr>
          <w:rFonts w:eastAsia="Calibri"/>
        </w:rPr>
        <w:t xml:space="preserve"> = 0.05 – 0.56) in tall fescue. In this study, higher </w:t>
      </w:r>
      <w:r w:rsidR="00DB0480" w:rsidRPr="00DB0480">
        <w:rPr>
          <w:rFonts w:eastAsia="Calibri"/>
          <w:i/>
        </w:rPr>
        <w:t>r</w:t>
      </w:r>
      <w:r w:rsidR="00DB0480" w:rsidRPr="00DB0480">
        <w:rPr>
          <w:rFonts w:eastAsia="Calibri"/>
          <w:vertAlign w:val="superscript"/>
        </w:rPr>
        <w:t>2</w:t>
      </w:r>
      <w:r w:rsidR="00DB0480">
        <w:rPr>
          <w:rFonts w:eastAsia="Calibri"/>
        </w:rPr>
        <w:t xml:space="preserve"> values were observed during the 2</w:t>
      </w:r>
      <w:r w:rsidR="00DB0480" w:rsidRPr="00DB0480">
        <w:rPr>
          <w:rFonts w:eastAsia="Calibri"/>
          <w:vertAlign w:val="superscript"/>
        </w:rPr>
        <w:t>nd</w:t>
      </w:r>
      <w:r w:rsidR="00DB0480">
        <w:rPr>
          <w:rFonts w:eastAsia="Calibri"/>
        </w:rPr>
        <w:t xml:space="preserve"> year of the trial when the authors noted greater heat and water deficient stress among the plots; thus broadening the range of visual quality. </w:t>
      </w:r>
    </w:p>
    <w:p w:rsidR="00067052" w:rsidRDefault="00067052" w:rsidP="005C1987">
      <w:pPr>
        <w:spacing w:line="480" w:lineRule="auto"/>
        <w:ind w:firstLine="720"/>
        <w:rPr>
          <w:rFonts w:eastAsia="Calibri"/>
        </w:rPr>
      </w:pPr>
      <w:r w:rsidRPr="00BA3E06">
        <w:rPr>
          <w:rFonts w:eastAsia="Calibri"/>
        </w:rPr>
        <w:t xml:space="preserve">NDVI </w:t>
      </w:r>
      <w:r>
        <w:rPr>
          <w:rFonts w:eastAsia="Calibri"/>
        </w:rPr>
        <w:t>was</w:t>
      </w:r>
      <w:r w:rsidRPr="00BA3E06">
        <w:rPr>
          <w:rFonts w:eastAsia="Calibri"/>
        </w:rPr>
        <w:t xml:space="preserve"> also </w:t>
      </w:r>
      <w:r>
        <w:rPr>
          <w:rFonts w:eastAsia="Calibri"/>
        </w:rPr>
        <w:t xml:space="preserve">able to </w:t>
      </w:r>
      <w:r w:rsidRPr="00BA3E06">
        <w:rPr>
          <w:rFonts w:eastAsia="Calibri"/>
        </w:rPr>
        <w:t xml:space="preserve">detect increasing nitrogen and chlorophyll content in leaf tissue </w:t>
      </w:r>
      <w:r>
        <w:rPr>
          <w:rFonts w:eastAsia="Calibri"/>
        </w:rPr>
        <w:t>of ‘SR1020’ creeping bentgrass</w:t>
      </w:r>
      <w:r w:rsidRPr="00BA3E06">
        <w:rPr>
          <w:rFonts w:eastAsia="Calibri"/>
        </w:rPr>
        <w:t xml:space="preserve"> (</w:t>
      </w:r>
      <w:r w:rsidRPr="00E12DC4">
        <w:rPr>
          <w:rFonts w:eastAsia="Calibri"/>
        </w:rPr>
        <w:t>Bell et al., 2004</w:t>
      </w:r>
      <w:r w:rsidRPr="00BA3E06">
        <w:rPr>
          <w:rFonts w:eastAsia="Calibri"/>
        </w:rPr>
        <w:t xml:space="preserve">). NDVI </w:t>
      </w:r>
      <w:r>
        <w:rPr>
          <w:rFonts w:eastAsia="Calibri"/>
        </w:rPr>
        <w:t>has been used to assess</w:t>
      </w:r>
      <w:r w:rsidRPr="00BA3E06">
        <w:rPr>
          <w:rFonts w:eastAsia="Calibri"/>
        </w:rPr>
        <w:t xml:space="preserve"> various abiotic stresses associated with perennial ryegrass (</w:t>
      </w:r>
      <w:r w:rsidRPr="00BA3E06">
        <w:rPr>
          <w:rFonts w:eastAsia="Calibri"/>
          <w:i/>
          <w:iCs/>
        </w:rPr>
        <w:t>Lolium perenne</w:t>
      </w:r>
      <w:r>
        <w:rPr>
          <w:rFonts w:eastAsia="Calibri"/>
        </w:rPr>
        <w:t xml:space="preserve"> L.) (</w:t>
      </w:r>
      <w:r w:rsidRPr="00E12DC4">
        <w:rPr>
          <w:rFonts w:eastAsia="Calibri"/>
        </w:rPr>
        <w:t>Jiang et al., 2009</w:t>
      </w:r>
      <w:r>
        <w:rPr>
          <w:rFonts w:eastAsia="Calibri"/>
        </w:rPr>
        <w:t>)</w:t>
      </w:r>
      <w:r w:rsidRPr="00BA3E06">
        <w:rPr>
          <w:rFonts w:eastAsia="Calibri"/>
        </w:rPr>
        <w:t xml:space="preserve">. </w:t>
      </w:r>
      <w:r w:rsidR="00011FF8" w:rsidRPr="00BA3E06">
        <w:rPr>
          <w:rFonts w:eastAsia="Calibri"/>
        </w:rPr>
        <w:t xml:space="preserve">Measurements of NDVI </w:t>
      </w:r>
      <w:r w:rsidR="00E47777">
        <w:rPr>
          <w:rFonts w:eastAsia="Calibri"/>
        </w:rPr>
        <w:t>can</w:t>
      </w:r>
      <w:r w:rsidRPr="00BA3E06">
        <w:rPr>
          <w:rFonts w:eastAsia="Calibri"/>
        </w:rPr>
        <w:t xml:space="preserve"> detect </w:t>
      </w:r>
      <w:r w:rsidR="00E845A2">
        <w:rPr>
          <w:rFonts w:eastAsia="Calibri"/>
        </w:rPr>
        <w:t>brown patch severity in tall fescue (</w:t>
      </w:r>
      <w:r w:rsidR="00334DE7" w:rsidRPr="00334DE7">
        <w:rPr>
          <w:rFonts w:eastAsia="Calibri"/>
          <w:i/>
        </w:rPr>
        <w:t>Festuca arundinacea</w:t>
      </w:r>
      <w:r w:rsidR="00334DE7">
        <w:rPr>
          <w:rFonts w:eastAsia="Calibri"/>
        </w:rPr>
        <w:t xml:space="preserve"> Schreb.)</w:t>
      </w:r>
      <w:r w:rsidR="00E845A2">
        <w:rPr>
          <w:rFonts w:eastAsia="Calibri"/>
        </w:rPr>
        <w:t xml:space="preserve"> (Green et al., 1998)</w:t>
      </w:r>
      <w:r w:rsidRPr="00BA3E06">
        <w:rPr>
          <w:rFonts w:eastAsia="Calibri"/>
        </w:rPr>
        <w:t>. Anderson and Fermanian (</w:t>
      </w:r>
      <w:r w:rsidRPr="007E39AA">
        <w:rPr>
          <w:rFonts w:eastAsia="Calibri"/>
        </w:rPr>
        <w:t>2009</w:t>
      </w:r>
      <w:r w:rsidRPr="00BA3E06">
        <w:rPr>
          <w:rFonts w:eastAsia="Calibri"/>
        </w:rPr>
        <w:t xml:space="preserve">) observed that NDVI </w:t>
      </w:r>
      <w:r>
        <w:rPr>
          <w:rFonts w:eastAsia="Calibri"/>
        </w:rPr>
        <w:t xml:space="preserve">measurements </w:t>
      </w:r>
      <w:r w:rsidRPr="00BA3E06">
        <w:rPr>
          <w:rFonts w:eastAsia="Calibri"/>
        </w:rPr>
        <w:t>detect</w:t>
      </w:r>
      <w:r>
        <w:rPr>
          <w:rFonts w:eastAsia="Calibri"/>
        </w:rPr>
        <w:t>ed</w:t>
      </w:r>
      <w:r w:rsidRPr="00BA3E06">
        <w:rPr>
          <w:rFonts w:eastAsia="Calibri"/>
        </w:rPr>
        <w:t xml:space="preserve"> disease infection of brown patch and </w:t>
      </w:r>
      <w:r w:rsidRPr="00BA3E06">
        <w:rPr>
          <w:rFonts w:eastAsia="Calibri"/>
          <w:i/>
        </w:rPr>
        <w:t>Pythium</w:t>
      </w:r>
      <w:r>
        <w:rPr>
          <w:rFonts w:eastAsia="Calibri"/>
        </w:rPr>
        <w:t xml:space="preserve"> blight up to 25</w:t>
      </w:r>
      <w:r w:rsidR="00E47777">
        <w:rPr>
          <w:rFonts w:eastAsia="Calibri"/>
        </w:rPr>
        <w:t xml:space="preserve"> </w:t>
      </w:r>
      <w:r>
        <w:rPr>
          <w:rFonts w:eastAsia="Calibri"/>
        </w:rPr>
        <w:t xml:space="preserve">h </w:t>
      </w:r>
      <w:r w:rsidRPr="00BA3E06">
        <w:rPr>
          <w:rFonts w:eastAsia="Calibri"/>
        </w:rPr>
        <w:t xml:space="preserve">before symptoms or signs were visually present. </w:t>
      </w:r>
    </w:p>
    <w:p w:rsidR="00067052" w:rsidRPr="00BA3E06" w:rsidRDefault="00067052" w:rsidP="00067052">
      <w:pPr>
        <w:spacing w:line="480" w:lineRule="auto"/>
        <w:ind w:firstLine="720"/>
        <w:rPr>
          <w:rFonts w:eastAsia="Calibri"/>
        </w:rPr>
      </w:pPr>
    </w:p>
    <w:p w:rsidR="00067052" w:rsidRDefault="00067052" w:rsidP="006F4EE7">
      <w:pPr>
        <w:pStyle w:val="Heading3"/>
        <w:rPr>
          <w:rFonts w:eastAsia="Calibri"/>
        </w:rPr>
      </w:pPr>
      <w:bookmarkStart w:id="26" w:name="_Toc353873527"/>
      <w:bookmarkStart w:id="27" w:name="_Toc353890878"/>
      <w:bookmarkStart w:id="28" w:name="_Toc353892619"/>
      <w:r w:rsidRPr="001303C3">
        <w:rPr>
          <w:rFonts w:eastAsia="Calibri"/>
        </w:rPr>
        <w:lastRenderedPageBreak/>
        <w:t>DIGITAL IMAGE ANALYSIS</w:t>
      </w:r>
      <w:bookmarkEnd w:id="26"/>
      <w:bookmarkEnd w:id="27"/>
      <w:bookmarkEnd w:id="28"/>
    </w:p>
    <w:p w:rsidR="00866DB2" w:rsidRPr="00866DB2" w:rsidRDefault="00866DB2" w:rsidP="00866DB2">
      <w:pPr>
        <w:rPr>
          <w:rFonts w:eastAsia="Calibri"/>
        </w:rPr>
      </w:pPr>
    </w:p>
    <w:p w:rsidR="001327AF" w:rsidRDefault="00067052" w:rsidP="00067052">
      <w:pPr>
        <w:spacing w:line="480" w:lineRule="auto"/>
        <w:ind w:firstLine="720"/>
        <w:rPr>
          <w:rFonts w:eastAsia="Calibri"/>
        </w:rPr>
      </w:pPr>
      <w:r w:rsidRPr="00BA3E06">
        <w:rPr>
          <w:rFonts w:eastAsia="Calibri"/>
        </w:rPr>
        <w:t xml:space="preserve">Digital imaging software allows for a rapid estimation of turfgrass characteristics </w:t>
      </w:r>
      <w:r>
        <w:rPr>
          <w:rFonts w:eastAsia="Calibri"/>
        </w:rPr>
        <w:t>including</w:t>
      </w:r>
      <w:r w:rsidRPr="00BA3E06">
        <w:rPr>
          <w:rFonts w:eastAsia="Calibri"/>
        </w:rPr>
        <w:t xml:space="preserve"> percent cover, color, disease severity, and other performance characteristics. </w:t>
      </w:r>
      <w:r>
        <w:rPr>
          <w:rFonts w:eastAsia="Calibri"/>
        </w:rPr>
        <w:t>D</w:t>
      </w:r>
      <w:r w:rsidRPr="00BA3E06">
        <w:rPr>
          <w:rFonts w:eastAsia="Calibri"/>
        </w:rPr>
        <w:t xml:space="preserve">igital image analysis (DIA) using Sigma Scan software </w:t>
      </w:r>
      <w:r>
        <w:rPr>
          <w:rFonts w:eastAsia="Calibri"/>
        </w:rPr>
        <w:t>can estimate</w:t>
      </w:r>
      <w:r w:rsidRPr="00BA3E06">
        <w:rPr>
          <w:rFonts w:eastAsia="Calibri"/>
        </w:rPr>
        <w:t xml:space="preserve"> percent canopy coverage in soybean</w:t>
      </w:r>
      <w:r>
        <w:rPr>
          <w:rFonts w:eastAsia="Calibri"/>
        </w:rPr>
        <w:t xml:space="preserve"> (</w:t>
      </w:r>
      <w:r w:rsidRPr="00FC19D9">
        <w:rPr>
          <w:i/>
        </w:rPr>
        <w:t>Glycine max</w:t>
      </w:r>
      <w:r>
        <w:t xml:space="preserve"> L.)</w:t>
      </w:r>
      <w:r w:rsidRPr="00BA3E06">
        <w:rPr>
          <w:rFonts w:eastAsia="Calibri"/>
        </w:rPr>
        <w:t xml:space="preserve"> fields and bermudagrass establishments</w:t>
      </w:r>
      <w:r>
        <w:rPr>
          <w:rFonts w:eastAsia="Calibri"/>
        </w:rPr>
        <w:t xml:space="preserve"> (Purcell, 2000; Richardson</w:t>
      </w:r>
      <w:r w:rsidRPr="007E39AA">
        <w:rPr>
          <w:rFonts w:eastAsia="Calibri"/>
        </w:rPr>
        <w:t xml:space="preserve"> et al.</w:t>
      </w:r>
      <w:r>
        <w:rPr>
          <w:rFonts w:eastAsia="Calibri"/>
        </w:rPr>
        <w:t>,</w:t>
      </w:r>
      <w:r w:rsidRPr="007E39AA">
        <w:rPr>
          <w:rFonts w:eastAsia="Calibri"/>
        </w:rPr>
        <w:t xml:space="preserve"> 2001</w:t>
      </w:r>
      <w:r>
        <w:rPr>
          <w:rFonts w:eastAsia="Calibri"/>
        </w:rPr>
        <w:t>)</w:t>
      </w:r>
      <w:r w:rsidRPr="00BA3E06">
        <w:rPr>
          <w:rFonts w:eastAsia="Calibri"/>
        </w:rPr>
        <w:t xml:space="preserve">. Karcher </w:t>
      </w:r>
      <w:r>
        <w:rPr>
          <w:rFonts w:eastAsia="Calibri"/>
        </w:rPr>
        <w:t xml:space="preserve">and Richardson </w:t>
      </w:r>
      <w:r w:rsidRPr="00BA3E06">
        <w:rPr>
          <w:rFonts w:eastAsia="Calibri"/>
        </w:rPr>
        <w:t>(</w:t>
      </w:r>
      <w:r w:rsidRPr="007E39AA">
        <w:rPr>
          <w:rFonts w:eastAsia="Calibri"/>
        </w:rPr>
        <w:t>2003</w:t>
      </w:r>
      <w:r w:rsidRPr="00BA3E06">
        <w:rPr>
          <w:rFonts w:eastAsia="Calibri"/>
        </w:rPr>
        <w:t xml:space="preserve">) established color parameters using hue, saturation, and brightness for creeping bentgrass cultivars to measure color differences in plots after nitrogen fertilization. </w:t>
      </w:r>
      <w:r w:rsidR="00DF4924">
        <w:rPr>
          <w:rFonts w:eastAsia="Calibri"/>
        </w:rPr>
        <w:t>Digital analysis of green cover</w:t>
      </w:r>
      <w:r>
        <w:rPr>
          <w:rFonts w:eastAsia="Calibri"/>
        </w:rPr>
        <w:t xml:space="preserve"> </w:t>
      </w:r>
      <w:r w:rsidR="00E47777">
        <w:rPr>
          <w:rFonts w:eastAsia="Calibri"/>
        </w:rPr>
        <w:t>can</w:t>
      </w:r>
      <w:r>
        <w:rPr>
          <w:rFonts w:eastAsia="Calibri"/>
        </w:rPr>
        <w:t xml:space="preserve"> </w:t>
      </w:r>
      <w:r w:rsidR="00DF4924">
        <w:rPr>
          <w:rFonts w:eastAsia="Calibri"/>
        </w:rPr>
        <w:t>quantify turfgrass</w:t>
      </w:r>
      <w:r w:rsidR="00DF4924" w:rsidRPr="00BA3E06">
        <w:rPr>
          <w:rFonts w:eastAsia="Calibri"/>
        </w:rPr>
        <w:t xml:space="preserve"> </w:t>
      </w:r>
      <w:r w:rsidRPr="00BA3E06">
        <w:rPr>
          <w:rFonts w:eastAsia="Calibri"/>
        </w:rPr>
        <w:t>recovery following drought stress and winter injury in tall fescue</w:t>
      </w:r>
      <w:r w:rsidR="00E021F5">
        <w:rPr>
          <w:rFonts w:eastAsia="Calibri"/>
        </w:rPr>
        <w:t xml:space="preserve"> (</w:t>
      </w:r>
      <w:r w:rsidR="00E021F5" w:rsidRPr="00E021F5">
        <w:rPr>
          <w:rFonts w:eastAsia="Calibri"/>
          <w:i/>
        </w:rPr>
        <w:t>Festuca arundinacea</w:t>
      </w:r>
      <w:r w:rsidR="00E021F5">
        <w:rPr>
          <w:rFonts w:eastAsia="Calibri"/>
        </w:rPr>
        <w:t xml:space="preserve"> Shreb.)</w:t>
      </w:r>
      <w:r w:rsidRPr="00BA3E06">
        <w:rPr>
          <w:rFonts w:eastAsia="Calibri"/>
        </w:rPr>
        <w:t xml:space="preserve">, </w:t>
      </w:r>
      <w:r>
        <w:rPr>
          <w:rFonts w:eastAsia="Calibri"/>
        </w:rPr>
        <w:t>K</w:t>
      </w:r>
      <w:r w:rsidRPr="00BA3E06">
        <w:rPr>
          <w:rFonts w:eastAsia="Calibri"/>
        </w:rPr>
        <w:t>entucky bluegrass</w:t>
      </w:r>
      <w:r w:rsidR="00E021F5">
        <w:rPr>
          <w:rFonts w:eastAsia="Calibri"/>
        </w:rPr>
        <w:t xml:space="preserve"> (</w:t>
      </w:r>
      <w:r w:rsidR="00E021F5" w:rsidRPr="00E021F5">
        <w:rPr>
          <w:rFonts w:eastAsia="Calibri"/>
          <w:i/>
        </w:rPr>
        <w:t>Poa pratensis</w:t>
      </w:r>
      <w:r w:rsidR="00E021F5">
        <w:rPr>
          <w:rFonts w:eastAsia="Calibri"/>
        </w:rPr>
        <w:t xml:space="preserve"> L.)</w:t>
      </w:r>
      <w:r w:rsidRPr="00BA3E06">
        <w:rPr>
          <w:rFonts w:eastAsia="Calibri"/>
        </w:rPr>
        <w:t xml:space="preserve">, and </w:t>
      </w:r>
      <w:r w:rsidR="00E021F5">
        <w:rPr>
          <w:rFonts w:eastAsia="Calibri"/>
        </w:rPr>
        <w:t>zoysiagrass (</w:t>
      </w:r>
      <w:r w:rsidR="00E021F5" w:rsidRPr="00E021F5">
        <w:rPr>
          <w:rFonts w:eastAsia="Calibri"/>
          <w:i/>
        </w:rPr>
        <w:t>Zoysia</w:t>
      </w:r>
      <w:r w:rsidR="00E021F5">
        <w:rPr>
          <w:rFonts w:eastAsia="Calibri"/>
        </w:rPr>
        <w:t xml:space="preserve"> spp.) </w:t>
      </w:r>
      <w:r w:rsidRPr="00BA3E06">
        <w:rPr>
          <w:rFonts w:eastAsia="Calibri"/>
        </w:rPr>
        <w:t>landscapes (</w:t>
      </w:r>
      <w:r w:rsidRPr="007E39AA">
        <w:rPr>
          <w:rFonts w:eastAsia="Calibri"/>
        </w:rPr>
        <w:t>Karcher et al.</w:t>
      </w:r>
      <w:r>
        <w:rPr>
          <w:rFonts w:eastAsia="Calibri"/>
        </w:rPr>
        <w:t>,</w:t>
      </w:r>
      <w:r w:rsidRPr="007E39AA">
        <w:rPr>
          <w:rFonts w:eastAsia="Calibri"/>
        </w:rPr>
        <w:t xml:space="preserve"> 2008; Richardson et al.</w:t>
      </w:r>
      <w:r>
        <w:rPr>
          <w:rFonts w:eastAsia="Calibri"/>
        </w:rPr>
        <w:t>,</w:t>
      </w:r>
      <w:r w:rsidRPr="007E39AA">
        <w:rPr>
          <w:rFonts w:eastAsia="Calibri"/>
        </w:rPr>
        <w:t xml:space="preserve"> 2008; </w:t>
      </w:r>
      <w:r w:rsidRPr="000B290A">
        <w:rPr>
          <w:rFonts w:eastAsia="Calibri"/>
        </w:rPr>
        <w:t>Patton and Reicher, 2007</w:t>
      </w:r>
      <w:r w:rsidRPr="00BA3E06">
        <w:rPr>
          <w:rFonts w:eastAsia="Calibri"/>
        </w:rPr>
        <w:t xml:space="preserve">). </w:t>
      </w:r>
      <w:r>
        <w:rPr>
          <w:rFonts w:eastAsia="Calibri"/>
        </w:rPr>
        <w:t xml:space="preserve">DIA can also quantify percent turf blighting from diseases such as dollar spot </w:t>
      </w:r>
      <w:r w:rsidRPr="00BA3E06">
        <w:rPr>
          <w:rFonts w:eastAsia="Calibri"/>
        </w:rPr>
        <w:t>(</w:t>
      </w:r>
      <w:r w:rsidRPr="000B290A">
        <w:rPr>
          <w:rFonts w:eastAsia="Calibri"/>
        </w:rPr>
        <w:t>Horvath and Vargas, 2005; Ellram et al., 2007</w:t>
      </w:r>
      <w:r w:rsidRPr="00BA3E06">
        <w:rPr>
          <w:rFonts w:eastAsia="Calibri"/>
        </w:rPr>
        <w:t xml:space="preserve">). </w:t>
      </w:r>
    </w:p>
    <w:p w:rsidR="00067052" w:rsidRDefault="001327AF" w:rsidP="001327AF">
      <w:pPr>
        <w:spacing w:line="480" w:lineRule="auto"/>
        <w:rPr>
          <w:rFonts w:eastAsia="Calibri"/>
        </w:rPr>
      </w:pPr>
      <w:r>
        <w:rPr>
          <w:rFonts w:eastAsia="Calibri"/>
        </w:rPr>
        <w:tab/>
        <w:t xml:space="preserve">The use of turfgrass quality to measure turfgrass quality has been investigated by a number of authors. Bunderson et al. (2009) observed </w:t>
      </w:r>
      <w:r w:rsidR="00E977B1">
        <w:rPr>
          <w:rFonts w:eastAsia="Calibri"/>
        </w:rPr>
        <w:t>a weak correlation (</w:t>
      </w:r>
      <w:r w:rsidR="00E977B1" w:rsidRPr="00E977B1">
        <w:rPr>
          <w:rFonts w:eastAsia="Calibri"/>
          <w:i/>
        </w:rPr>
        <w:t>r</w:t>
      </w:r>
      <w:r w:rsidR="00E977B1" w:rsidRPr="00E977B1">
        <w:rPr>
          <w:rFonts w:eastAsia="Calibri"/>
          <w:vertAlign w:val="superscript"/>
        </w:rPr>
        <w:t>2</w:t>
      </w:r>
      <w:r w:rsidR="00E977B1">
        <w:rPr>
          <w:rFonts w:eastAsia="Calibri"/>
        </w:rPr>
        <w:t xml:space="preserve"> = 0.51) between digital analysis of percent green cover compared with visual turfgrass quality ratings among native grasses. The authors suggested that digital analysis methods</w:t>
      </w:r>
      <w:r w:rsidR="00340A38">
        <w:rPr>
          <w:rFonts w:eastAsia="Calibri"/>
        </w:rPr>
        <w:t xml:space="preserve"> should not replace visual quality methods but</w:t>
      </w:r>
      <w:r w:rsidR="00E977B1">
        <w:rPr>
          <w:rFonts w:eastAsia="Calibri"/>
        </w:rPr>
        <w:t xml:space="preserve"> </w:t>
      </w:r>
      <w:r w:rsidR="00340A38">
        <w:rPr>
          <w:rFonts w:eastAsia="Calibri"/>
        </w:rPr>
        <w:t>rather</w:t>
      </w:r>
      <w:r w:rsidR="00E977B1">
        <w:rPr>
          <w:rFonts w:eastAsia="Calibri"/>
        </w:rPr>
        <w:t xml:space="preserve"> supplement </w:t>
      </w:r>
      <w:r w:rsidR="00340A38">
        <w:rPr>
          <w:rFonts w:eastAsia="Calibri"/>
        </w:rPr>
        <w:t xml:space="preserve">the human aspect of turfgrass quality ratings. </w:t>
      </w:r>
      <w:r w:rsidR="00E977B1">
        <w:rPr>
          <w:rFonts w:eastAsia="Calibri"/>
        </w:rPr>
        <w:t xml:space="preserve">  </w:t>
      </w:r>
    </w:p>
    <w:p w:rsidR="00067052" w:rsidRDefault="00067052" w:rsidP="00067052">
      <w:pPr>
        <w:spacing w:line="480" w:lineRule="auto"/>
        <w:ind w:firstLine="720"/>
        <w:rPr>
          <w:rFonts w:eastAsia="Calibri"/>
        </w:rPr>
      </w:pPr>
    </w:p>
    <w:p w:rsidR="00E27DC7" w:rsidRDefault="00E27DC7" w:rsidP="00067052">
      <w:pPr>
        <w:spacing w:line="480" w:lineRule="auto"/>
        <w:ind w:firstLine="720"/>
        <w:rPr>
          <w:rFonts w:eastAsia="Calibri"/>
        </w:rPr>
      </w:pPr>
    </w:p>
    <w:p w:rsidR="00E27DC7" w:rsidRPr="00BA3E06" w:rsidRDefault="00E27DC7" w:rsidP="00067052">
      <w:pPr>
        <w:spacing w:line="480" w:lineRule="auto"/>
        <w:ind w:firstLine="720"/>
        <w:rPr>
          <w:rFonts w:eastAsia="Calibri"/>
        </w:rPr>
      </w:pPr>
    </w:p>
    <w:p w:rsidR="00067052" w:rsidRDefault="00067052" w:rsidP="006F4EE7">
      <w:pPr>
        <w:pStyle w:val="Heading3"/>
        <w:rPr>
          <w:rFonts w:eastAsia="Calibri"/>
        </w:rPr>
      </w:pPr>
      <w:bookmarkStart w:id="29" w:name="_Toc353873528"/>
      <w:bookmarkStart w:id="30" w:name="_Toc353890879"/>
      <w:bookmarkStart w:id="31" w:name="_Toc353892620"/>
      <w:r w:rsidRPr="001303C3">
        <w:rPr>
          <w:rFonts w:eastAsia="Calibri"/>
        </w:rPr>
        <w:lastRenderedPageBreak/>
        <w:t>ROOTING ANALYSIS</w:t>
      </w:r>
      <w:bookmarkEnd w:id="29"/>
      <w:bookmarkEnd w:id="30"/>
      <w:bookmarkEnd w:id="31"/>
    </w:p>
    <w:p w:rsidR="00866DB2" w:rsidRPr="00866DB2" w:rsidRDefault="00866DB2" w:rsidP="00866DB2">
      <w:pPr>
        <w:rPr>
          <w:rFonts w:eastAsia="Calibri"/>
        </w:rPr>
      </w:pPr>
    </w:p>
    <w:p w:rsidR="00067052" w:rsidRPr="00BA3E06" w:rsidRDefault="00067052" w:rsidP="00067052">
      <w:pPr>
        <w:spacing w:line="480" w:lineRule="auto"/>
        <w:ind w:firstLine="720"/>
        <w:rPr>
          <w:rFonts w:eastAsia="Calibri"/>
        </w:rPr>
      </w:pPr>
      <w:r>
        <w:rPr>
          <w:rFonts w:eastAsia="Calibri"/>
        </w:rPr>
        <w:t xml:space="preserve">Supraoptimal </w:t>
      </w:r>
      <w:r w:rsidRPr="00BA3E06">
        <w:rPr>
          <w:rFonts w:eastAsia="Calibri"/>
        </w:rPr>
        <w:t xml:space="preserve">air and soil temperatures </w:t>
      </w:r>
      <w:r>
        <w:rPr>
          <w:rFonts w:eastAsia="Calibri"/>
        </w:rPr>
        <w:t>can</w:t>
      </w:r>
      <w:r w:rsidRPr="00BA3E06">
        <w:rPr>
          <w:rFonts w:eastAsia="Calibri"/>
        </w:rPr>
        <w:t xml:space="preserve"> adversely affect growth rate, color, and total root mass of creeping bentgrass (</w:t>
      </w:r>
      <w:r w:rsidRPr="000B290A">
        <w:rPr>
          <w:rFonts w:eastAsia="Calibri"/>
        </w:rPr>
        <w:t>Beard and Daniel, 1965; Huang and Gao, 2000</w:t>
      </w:r>
      <w:r w:rsidR="00AD49DE">
        <w:rPr>
          <w:rFonts w:eastAsia="Calibri"/>
        </w:rPr>
        <w:t>;</w:t>
      </w:r>
      <w:r w:rsidR="00AD49DE" w:rsidRPr="00AD49DE">
        <w:rPr>
          <w:rFonts w:eastAsia="Calibri"/>
        </w:rPr>
        <w:t xml:space="preserve"> </w:t>
      </w:r>
      <w:r w:rsidR="00AD49DE">
        <w:rPr>
          <w:rFonts w:eastAsia="Calibri"/>
        </w:rPr>
        <w:t>Fagerness and Yelverton, 2001</w:t>
      </w:r>
      <w:r w:rsidRPr="00BA3E06">
        <w:rPr>
          <w:rFonts w:eastAsia="Calibri"/>
        </w:rPr>
        <w:t>). Furthermore, root length has been identified as a possible characteristic of stress tolerance. Bonos and Murphy (</w:t>
      </w:r>
      <w:r w:rsidRPr="000B290A">
        <w:rPr>
          <w:rFonts w:eastAsia="Calibri"/>
        </w:rPr>
        <w:t>1999</w:t>
      </w:r>
      <w:r w:rsidRPr="00BA3E06">
        <w:rPr>
          <w:rFonts w:eastAsia="Calibri"/>
        </w:rPr>
        <w:t xml:space="preserve">) observed that summer stress tolerant varieties of </w:t>
      </w:r>
      <w:r>
        <w:rPr>
          <w:rFonts w:eastAsia="Calibri"/>
        </w:rPr>
        <w:t>K</w:t>
      </w:r>
      <w:r w:rsidRPr="00BA3E06">
        <w:rPr>
          <w:rFonts w:eastAsia="Calibri"/>
        </w:rPr>
        <w:t>entucky bluegrass exhibited 65% more rooting at the 30-45</w:t>
      </w:r>
      <w:r w:rsidR="00E47777">
        <w:rPr>
          <w:rFonts w:eastAsia="Calibri"/>
        </w:rPr>
        <w:t xml:space="preserve"> </w:t>
      </w:r>
      <w:r w:rsidRPr="00BA3E06">
        <w:rPr>
          <w:rFonts w:eastAsia="Calibri"/>
        </w:rPr>
        <w:t>cm soil depth compared to the intolerant varieties. Similarly, Carrow (</w:t>
      </w:r>
      <w:r w:rsidRPr="000B290A">
        <w:rPr>
          <w:rFonts w:eastAsia="Calibri"/>
        </w:rPr>
        <w:t>1996</w:t>
      </w:r>
      <w:r w:rsidRPr="00BA3E06">
        <w:rPr>
          <w:rFonts w:eastAsia="Calibri"/>
        </w:rPr>
        <w:t>) screened several warm</w:t>
      </w:r>
      <w:r>
        <w:rPr>
          <w:rFonts w:eastAsia="Calibri"/>
        </w:rPr>
        <w:t>-</w:t>
      </w:r>
      <w:r w:rsidRPr="00BA3E06">
        <w:rPr>
          <w:rFonts w:eastAsia="Calibri"/>
        </w:rPr>
        <w:t xml:space="preserve"> and cool-season turfgrasses grown under drought and edaphic stress. Turfgrasses </w:t>
      </w:r>
      <w:r>
        <w:rPr>
          <w:rFonts w:eastAsia="Calibri"/>
        </w:rPr>
        <w:t>that</w:t>
      </w:r>
      <w:r w:rsidRPr="00BA3E06">
        <w:rPr>
          <w:rFonts w:eastAsia="Calibri"/>
        </w:rPr>
        <w:t xml:space="preserve"> expressed less visual leaf firing and wilt produced 95% greater root length density compared to less tolerant turfgrasses.  </w:t>
      </w:r>
    </w:p>
    <w:p w:rsidR="00067052" w:rsidRDefault="00067052" w:rsidP="00067052">
      <w:pPr>
        <w:spacing w:line="480" w:lineRule="auto"/>
        <w:ind w:firstLine="720"/>
        <w:rPr>
          <w:rFonts w:eastAsia="Calibri"/>
        </w:rPr>
      </w:pPr>
      <w:r w:rsidRPr="00BA3E06">
        <w:rPr>
          <w:rFonts w:eastAsia="Calibri"/>
        </w:rPr>
        <w:t>Recently, rooting analysis using WinRhizo software has been incorporated into</w:t>
      </w:r>
      <w:r w:rsidR="00334DE7">
        <w:rPr>
          <w:rFonts w:eastAsia="Calibri"/>
        </w:rPr>
        <w:t xml:space="preserve"> </w:t>
      </w:r>
      <w:r w:rsidRPr="00BA3E06">
        <w:rPr>
          <w:rFonts w:eastAsia="Calibri"/>
        </w:rPr>
        <w:t>experiments. WinRhizo can estimate total root length (cm), root surface area (cm</w:t>
      </w:r>
      <w:r w:rsidRPr="00941C2F">
        <w:rPr>
          <w:rFonts w:eastAsia="Calibri"/>
          <w:vertAlign w:val="superscript"/>
        </w:rPr>
        <w:t>2</w:t>
      </w:r>
      <w:r w:rsidRPr="00BA3E06">
        <w:rPr>
          <w:rFonts w:eastAsia="Calibri"/>
        </w:rPr>
        <w:t>), mean root diameter (mm), root length density (cm cm</w:t>
      </w:r>
      <w:r w:rsidRPr="00941C2F">
        <w:rPr>
          <w:rFonts w:eastAsia="Calibri"/>
          <w:vertAlign w:val="superscript"/>
        </w:rPr>
        <w:t>3</w:t>
      </w:r>
      <w:r w:rsidRPr="00BA3E06">
        <w:rPr>
          <w:rFonts w:eastAsia="Calibri"/>
        </w:rPr>
        <w:t>), and root volume (cm</w:t>
      </w:r>
      <w:r w:rsidRPr="00941C2F">
        <w:rPr>
          <w:rFonts w:eastAsia="Calibri"/>
          <w:vertAlign w:val="superscript"/>
        </w:rPr>
        <w:t>3</w:t>
      </w:r>
      <w:r w:rsidRPr="00BA3E06">
        <w:rPr>
          <w:rFonts w:eastAsia="Calibri"/>
        </w:rPr>
        <w:t>). Beasley et al. (</w:t>
      </w:r>
      <w:r w:rsidRPr="00854CA1">
        <w:rPr>
          <w:rFonts w:eastAsia="Calibri"/>
        </w:rPr>
        <w:t>2007</w:t>
      </w:r>
      <w:r w:rsidRPr="00BA3E06">
        <w:rPr>
          <w:rFonts w:eastAsia="Calibri"/>
        </w:rPr>
        <w:t xml:space="preserve">) reported 48% less root length in </w:t>
      </w:r>
      <w:r>
        <w:rPr>
          <w:rFonts w:eastAsia="Calibri"/>
        </w:rPr>
        <w:t>K</w:t>
      </w:r>
      <w:r w:rsidRPr="00BA3E06">
        <w:rPr>
          <w:rFonts w:eastAsia="Calibri"/>
        </w:rPr>
        <w:t>entucky bluegrass after applications of the plant growth regulator trinexapac-ethyl compared to non-treated plants grown in a hydroponic environment.</w:t>
      </w:r>
      <w:r w:rsidR="008F536C">
        <w:rPr>
          <w:rFonts w:eastAsia="Calibri"/>
        </w:rPr>
        <w:t xml:space="preserve"> However, Fagerness and Yelverton (2001) reported no adverse effects of creeping bentgrass rooting under field conditions </w:t>
      </w:r>
      <w:r w:rsidR="00011FF8">
        <w:rPr>
          <w:rFonts w:eastAsia="Calibri"/>
        </w:rPr>
        <w:t>after applications of</w:t>
      </w:r>
      <w:r w:rsidR="008F536C">
        <w:rPr>
          <w:rFonts w:eastAsia="Calibri"/>
        </w:rPr>
        <w:t xml:space="preserve"> trinexapac-ethyl when managed as a putting green. </w:t>
      </w:r>
      <w:r w:rsidRPr="00BA3E06">
        <w:rPr>
          <w:rFonts w:eastAsia="Calibri"/>
        </w:rPr>
        <w:t xml:space="preserve">Brosnan et al. </w:t>
      </w:r>
      <w:r>
        <w:rPr>
          <w:rFonts w:eastAsia="Calibri"/>
        </w:rPr>
        <w:t>(</w:t>
      </w:r>
      <w:r w:rsidRPr="00854CA1">
        <w:rPr>
          <w:rFonts w:eastAsia="Calibri"/>
        </w:rPr>
        <w:t>2010</w:t>
      </w:r>
      <w:r>
        <w:rPr>
          <w:rFonts w:eastAsia="Calibri"/>
        </w:rPr>
        <w:t>)</w:t>
      </w:r>
      <w:r w:rsidRPr="00BA3E06">
        <w:rPr>
          <w:rFonts w:eastAsia="Calibri"/>
        </w:rPr>
        <w:t xml:space="preserve"> observed that pyraclostrobin increased rooting in ‘</w:t>
      </w:r>
      <w:r w:rsidR="001678E0">
        <w:rPr>
          <w:rFonts w:eastAsia="Calibri"/>
        </w:rPr>
        <w:t xml:space="preserve">Penn </w:t>
      </w:r>
      <w:r w:rsidRPr="00BA3E06">
        <w:rPr>
          <w:rFonts w:eastAsia="Calibri"/>
        </w:rPr>
        <w:t>A-1’ creeping bentg</w:t>
      </w:r>
      <w:r>
        <w:rPr>
          <w:rFonts w:eastAsia="Calibri"/>
        </w:rPr>
        <w:t xml:space="preserve">rass. Conversely, azoxystrobin </w:t>
      </w:r>
      <w:r w:rsidRPr="00BA3E06">
        <w:rPr>
          <w:rFonts w:eastAsia="Calibri"/>
        </w:rPr>
        <w:t>decreased rooting compared to the non-treated control in a greenhouse environment, but this effect was not detected on ‘Penncross’ creeping bentgrass.</w:t>
      </w:r>
    </w:p>
    <w:p w:rsidR="00A85925" w:rsidRDefault="00A85925" w:rsidP="00A85925">
      <w:pPr>
        <w:spacing w:line="480" w:lineRule="auto"/>
        <w:ind w:firstLine="720"/>
        <w:rPr>
          <w:bCs/>
          <w:kern w:val="36"/>
        </w:rPr>
      </w:pPr>
      <w:r w:rsidRPr="00D917D9">
        <w:t xml:space="preserve">Applications of strobilurin fungicides </w:t>
      </w:r>
      <w:r w:rsidR="00E47777">
        <w:t>can</w:t>
      </w:r>
      <w:r w:rsidR="001678E0" w:rsidRPr="00D917D9">
        <w:t xml:space="preserve"> </w:t>
      </w:r>
      <w:r w:rsidRPr="0057258F">
        <w:rPr>
          <w:bCs/>
        </w:rPr>
        <w:t xml:space="preserve">improve </w:t>
      </w:r>
      <w:r>
        <w:rPr>
          <w:bCs/>
        </w:rPr>
        <w:t>physiological effects</w:t>
      </w:r>
      <w:r w:rsidRPr="0057258F">
        <w:rPr>
          <w:bCs/>
        </w:rPr>
        <w:t xml:space="preserve"> of several agronomic crop</w:t>
      </w:r>
      <w:r>
        <w:rPr>
          <w:bCs/>
        </w:rPr>
        <w:t>s in absence of visible disease. H</w:t>
      </w:r>
      <w:r w:rsidRPr="0057258F">
        <w:rPr>
          <w:bCs/>
        </w:rPr>
        <w:t>owever</w:t>
      </w:r>
      <w:r>
        <w:rPr>
          <w:bCs/>
        </w:rPr>
        <w:t>,</w:t>
      </w:r>
      <w:r w:rsidRPr="0057258F">
        <w:rPr>
          <w:bCs/>
        </w:rPr>
        <w:t xml:space="preserve"> </w:t>
      </w:r>
      <w:r>
        <w:rPr>
          <w:bCs/>
        </w:rPr>
        <w:t>the</w:t>
      </w:r>
      <w:r w:rsidRPr="0057258F">
        <w:rPr>
          <w:bCs/>
        </w:rPr>
        <w:t xml:space="preserve"> </w:t>
      </w:r>
      <w:r>
        <w:rPr>
          <w:bCs/>
        </w:rPr>
        <w:t>physiological effects</w:t>
      </w:r>
      <w:r w:rsidRPr="0057258F">
        <w:rPr>
          <w:bCs/>
        </w:rPr>
        <w:t xml:space="preserve"> </w:t>
      </w:r>
      <w:r w:rsidRPr="0057258F">
        <w:rPr>
          <w:bCs/>
        </w:rPr>
        <w:lastRenderedPageBreak/>
        <w:t xml:space="preserve">associated with these </w:t>
      </w:r>
      <w:r>
        <w:rPr>
          <w:bCs/>
        </w:rPr>
        <w:t>fungicides on turfgrass</w:t>
      </w:r>
      <w:r w:rsidRPr="0057258F">
        <w:rPr>
          <w:bCs/>
        </w:rPr>
        <w:t xml:space="preserve"> </w:t>
      </w:r>
      <w:r w:rsidRPr="0057258F">
        <w:t>have not been carefully examined in the field.</w:t>
      </w:r>
      <w:r>
        <w:t xml:space="preserve"> </w:t>
      </w:r>
      <w:r w:rsidRPr="00D917D9">
        <w:t>Little published data exists where a direct comparison is made between the performan</w:t>
      </w:r>
      <w:r>
        <w:t>ce of azoxystrobin, pyraclostrobi</w:t>
      </w:r>
      <w:r w:rsidRPr="00D917D9">
        <w:t xml:space="preserve">n, fluoxastrobin, and trifloxystrobin </w:t>
      </w:r>
      <w:r>
        <w:t xml:space="preserve">applied during summer stress. The objective of this research is to evaluate physiological effects of creeping bentgrass during summer stress in response to strobilurin fungicide applications. </w:t>
      </w:r>
      <w:r>
        <w:rPr>
          <w:bCs/>
        </w:rPr>
        <w:t xml:space="preserve"> </w:t>
      </w:r>
    </w:p>
    <w:p w:rsidR="00067052" w:rsidRDefault="00067052" w:rsidP="00067052">
      <w:pPr>
        <w:spacing w:line="480" w:lineRule="auto"/>
        <w:rPr>
          <w:rFonts w:eastAsia="Calibri"/>
        </w:rPr>
      </w:pPr>
    </w:p>
    <w:p w:rsidR="00A85925" w:rsidRDefault="00A85925" w:rsidP="00067052">
      <w:pPr>
        <w:spacing w:line="480" w:lineRule="auto"/>
        <w:rPr>
          <w:rFonts w:eastAsia="Calibri"/>
        </w:rPr>
      </w:pPr>
    </w:p>
    <w:p w:rsidR="00F276FE" w:rsidRDefault="00F276FE"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EB30A2" w:rsidRDefault="00EB30A2" w:rsidP="00067052">
      <w:pPr>
        <w:spacing w:line="480" w:lineRule="auto"/>
        <w:rPr>
          <w:rFonts w:eastAsia="Calibri"/>
        </w:rPr>
      </w:pPr>
    </w:p>
    <w:p w:rsidR="00067052" w:rsidRDefault="00067052" w:rsidP="00067052">
      <w:pPr>
        <w:spacing w:line="480" w:lineRule="auto"/>
        <w:rPr>
          <w:rFonts w:eastAsia="Calibri"/>
        </w:rPr>
      </w:pPr>
    </w:p>
    <w:p w:rsidR="00067052" w:rsidRDefault="00067052" w:rsidP="00005585">
      <w:pPr>
        <w:pStyle w:val="Heading2"/>
        <w:rPr>
          <w:rFonts w:eastAsia="Calibri"/>
        </w:rPr>
      </w:pPr>
      <w:bookmarkStart w:id="32" w:name="_Toc353873529"/>
      <w:bookmarkStart w:id="33" w:name="_Toc353890880"/>
      <w:bookmarkStart w:id="34" w:name="_Toc353892621"/>
      <w:r w:rsidRPr="006F4EE7">
        <w:rPr>
          <w:rFonts w:eastAsia="Calibri"/>
        </w:rPr>
        <w:t>LITERATURE CITED</w:t>
      </w:r>
      <w:bookmarkEnd w:id="32"/>
      <w:bookmarkEnd w:id="33"/>
      <w:bookmarkEnd w:id="34"/>
    </w:p>
    <w:p w:rsidR="00EB30A2" w:rsidRPr="00EB30A2" w:rsidRDefault="00EB30A2" w:rsidP="00EB30A2">
      <w:pPr>
        <w:rPr>
          <w:rFonts w:eastAsia="Calibri"/>
        </w:rPr>
      </w:pPr>
    </w:p>
    <w:p w:rsidR="00067052" w:rsidRDefault="00067052" w:rsidP="00067052">
      <w:pPr>
        <w:spacing w:line="480" w:lineRule="auto"/>
        <w:ind w:left="720" w:hanging="720"/>
        <w:contextualSpacing/>
      </w:pPr>
      <w:r>
        <w:t xml:space="preserve">Anderson, Z.R., and W.T. Fermanian. 2009. Early detection of </w:t>
      </w:r>
      <w:r w:rsidRPr="00953E50">
        <w:rPr>
          <w:i/>
        </w:rPr>
        <w:t>Pythium</w:t>
      </w:r>
      <w:r>
        <w:t xml:space="preserve"> blight and brown patch through multispectral imaging of creeping bentgrass foliage. </w:t>
      </w:r>
      <w:r w:rsidRPr="000B290A">
        <w:t xml:space="preserve">Int. Turfgrass Soc. Res. J. </w:t>
      </w:r>
      <w:r>
        <w:t>11</w:t>
      </w:r>
      <w:r w:rsidRPr="000B290A">
        <w:t>:1</w:t>
      </w:r>
      <w:r>
        <w:t>37</w:t>
      </w:r>
      <w:r w:rsidRPr="000B290A">
        <w:t>–</w:t>
      </w:r>
      <w:r>
        <w:t xml:space="preserve">149. </w:t>
      </w:r>
    </w:p>
    <w:p w:rsidR="00067052" w:rsidRPr="003D7113" w:rsidRDefault="00067052" w:rsidP="00067052">
      <w:pPr>
        <w:spacing w:line="480" w:lineRule="auto"/>
        <w:ind w:left="720" w:hanging="720"/>
        <w:contextualSpacing/>
      </w:pPr>
      <w:r>
        <w:t xml:space="preserve">Anonymous. </w:t>
      </w:r>
      <w:r w:rsidRPr="003D7113">
        <w:t xml:space="preserve">2010. Compass fungicide </w:t>
      </w:r>
      <w:r>
        <w:t>product</w:t>
      </w:r>
      <w:r w:rsidRPr="003D7113">
        <w:t xml:space="preserve"> label. Bayer E</w:t>
      </w:r>
      <w:r>
        <w:t>nvironmental Science,</w:t>
      </w:r>
      <w:r w:rsidRPr="003D7113">
        <w:t xml:space="preserve"> Research Triangle Park, NC. </w:t>
      </w:r>
    </w:p>
    <w:p w:rsidR="00067052" w:rsidRPr="003D7113" w:rsidRDefault="00067052" w:rsidP="00067052">
      <w:pPr>
        <w:spacing w:line="480" w:lineRule="auto"/>
        <w:ind w:left="720" w:hanging="720"/>
        <w:contextualSpacing/>
      </w:pPr>
      <w:r>
        <w:t>Anonymous. 2010. Disarm</w:t>
      </w:r>
      <w:r w:rsidRPr="003D7113">
        <w:t xml:space="preserve"> fungicide </w:t>
      </w:r>
      <w:r>
        <w:t>product</w:t>
      </w:r>
      <w:r w:rsidRPr="003D7113">
        <w:t xml:space="preserve"> label. A</w:t>
      </w:r>
      <w:r>
        <w:t>rysta Lifescience North America,</w:t>
      </w:r>
      <w:r w:rsidRPr="003D7113">
        <w:t xml:space="preserve"> Cary, NC. </w:t>
      </w:r>
    </w:p>
    <w:p w:rsidR="00067052" w:rsidRPr="003D7113" w:rsidRDefault="00067052" w:rsidP="00067052">
      <w:pPr>
        <w:spacing w:line="480" w:lineRule="auto"/>
        <w:ind w:left="720" w:hanging="720"/>
        <w:contextualSpacing/>
      </w:pPr>
      <w:r>
        <w:t xml:space="preserve">Anonymous. </w:t>
      </w:r>
      <w:r w:rsidRPr="003D7113">
        <w:t xml:space="preserve">2010. Heritage TL fungicide </w:t>
      </w:r>
      <w:r>
        <w:t>product</w:t>
      </w:r>
      <w:r w:rsidRPr="003D7113">
        <w:t xml:space="preserve"> </w:t>
      </w:r>
      <w:r>
        <w:t>label. Syngenta Crop Protection,</w:t>
      </w:r>
      <w:r w:rsidRPr="003D7113">
        <w:t xml:space="preserve"> Greensboro, NC. </w:t>
      </w:r>
    </w:p>
    <w:p w:rsidR="00067052" w:rsidRDefault="00067052" w:rsidP="00067052">
      <w:pPr>
        <w:spacing w:line="480" w:lineRule="auto"/>
        <w:ind w:left="720" w:hanging="720"/>
        <w:contextualSpacing/>
      </w:pPr>
      <w:r w:rsidRPr="003D7113">
        <w:t>Anonym</w:t>
      </w:r>
      <w:r>
        <w:t>ous.</w:t>
      </w:r>
      <w:r w:rsidRPr="003D7113">
        <w:t xml:space="preserve"> 2010. Insignia SC fungicide s</w:t>
      </w:r>
      <w:r>
        <w:t>pecimen label. BASF Corporation,</w:t>
      </w:r>
      <w:r w:rsidRPr="003D7113">
        <w:t xml:space="preserve"> Research Triangle Park, NC. </w:t>
      </w:r>
    </w:p>
    <w:p w:rsidR="00067052" w:rsidRPr="00E12DC4" w:rsidRDefault="00067052" w:rsidP="00067052">
      <w:pPr>
        <w:autoSpaceDE w:val="0"/>
        <w:autoSpaceDN w:val="0"/>
        <w:adjustRightInd w:val="0"/>
        <w:spacing w:line="480" w:lineRule="auto"/>
        <w:ind w:left="720" w:hanging="720"/>
        <w:rPr>
          <w:rFonts w:eastAsia="Calibri"/>
        </w:rPr>
      </w:pPr>
      <w:r>
        <w:rPr>
          <w:rFonts w:eastAsia="Calibri"/>
        </w:rPr>
        <w:t xml:space="preserve">Aynardi, B., W. Uddin, A. Rahman, and Y. Li. 2011. Evaluation of fungicides for dollar spot control on a mixed colonial bentgrass and annual bluegrass fairway, 2010. </w:t>
      </w:r>
      <w:r w:rsidRPr="00E87A77">
        <w:rPr>
          <w:rFonts w:eastAsia="Calibri"/>
        </w:rPr>
        <w:t xml:space="preserve">Plant Disease Management Reports </w:t>
      </w:r>
      <w:r>
        <w:rPr>
          <w:rFonts w:eastAsia="Calibri"/>
        </w:rPr>
        <w:t>5</w:t>
      </w:r>
      <w:r w:rsidRPr="00E87A77">
        <w:rPr>
          <w:rFonts w:eastAsia="Calibri"/>
        </w:rPr>
        <w:t>:T0</w:t>
      </w:r>
      <w:r>
        <w:rPr>
          <w:rFonts w:eastAsia="Calibri"/>
        </w:rPr>
        <w:t>17</w:t>
      </w:r>
      <w:r w:rsidRPr="00E87A77">
        <w:rPr>
          <w:rFonts w:eastAsia="Calibri"/>
        </w:rPr>
        <w:t>. Online publication Doi: 10.1094/PDMR0</w:t>
      </w:r>
      <w:r>
        <w:rPr>
          <w:rFonts w:eastAsia="Calibri"/>
        </w:rPr>
        <w:t>5</w:t>
      </w:r>
      <w:r w:rsidRPr="00E87A77">
        <w:rPr>
          <w:rFonts w:eastAsia="Calibri"/>
        </w:rPr>
        <w:t>.</w:t>
      </w:r>
    </w:p>
    <w:p w:rsidR="00067052" w:rsidRPr="003D7113" w:rsidRDefault="00067052" w:rsidP="00067052">
      <w:pPr>
        <w:pStyle w:val="Default"/>
        <w:spacing w:line="480" w:lineRule="auto"/>
        <w:ind w:left="720" w:hanging="720"/>
        <w:contextualSpacing/>
      </w:pPr>
      <w:r>
        <w:t xml:space="preserve">Bartlett, D.W., </w:t>
      </w:r>
      <w:r w:rsidRPr="003D7113">
        <w:t>J.M. Clough, C.R.A. Godfrey, J.R. Godwin, A.A. Hall, S.P. Heaney, and S.J. Maund. 2001. Understanding the strobilurin fungicides. Pestic. Outlook. 12:143–148.</w:t>
      </w:r>
    </w:p>
    <w:p w:rsidR="00067052" w:rsidRPr="003D7113" w:rsidRDefault="00067052" w:rsidP="00067052">
      <w:pPr>
        <w:pStyle w:val="Default"/>
        <w:spacing w:line="480" w:lineRule="auto"/>
        <w:ind w:left="720" w:hanging="720"/>
        <w:contextualSpacing/>
      </w:pPr>
      <w:r w:rsidRPr="003D7113">
        <w:t>Basra</w:t>
      </w:r>
      <w:r>
        <w:t xml:space="preserve">, </w:t>
      </w:r>
      <w:r w:rsidRPr="003D7113">
        <w:t>A</w:t>
      </w:r>
      <w:r>
        <w:t>.</w:t>
      </w:r>
      <w:r w:rsidRPr="003D7113">
        <w:t>S</w:t>
      </w:r>
      <w:r>
        <w:t>. 2000.</w:t>
      </w:r>
      <w:r w:rsidRPr="003D7113">
        <w:t xml:space="preserve"> Crop Responses and Adaptations to Temperature Stress. Food Products Press, </w:t>
      </w:r>
      <w:r>
        <w:t>10 Alice stress, Binghamton, NY.</w:t>
      </w:r>
    </w:p>
    <w:p w:rsidR="00067052" w:rsidRDefault="00067052" w:rsidP="00067052">
      <w:pPr>
        <w:pStyle w:val="Default"/>
        <w:spacing w:line="480" w:lineRule="auto"/>
        <w:ind w:left="720" w:hanging="720"/>
        <w:contextualSpacing/>
      </w:pPr>
      <w:r w:rsidRPr="003D7113">
        <w:lastRenderedPageBreak/>
        <w:t>Beard,</w:t>
      </w:r>
      <w:r>
        <w:t xml:space="preserve"> </w:t>
      </w:r>
      <w:r w:rsidRPr="003D7113">
        <w:t>J.B. 1973. Turfgrass:</w:t>
      </w:r>
      <w:r>
        <w:t xml:space="preserve"> </w:t>
      </w:r>
      <w:r w:rsidRPr="003D7113">
        <w:t>Science and culture. Prentice-Hall, Englewood Cliffs, NJ.</w:t>
      </w:r>
    </w:p>
    <w:p w:rsidR="00067052" w:rsidRPr="00F13F97" w:rsidRDefault="00067052" w:rsidP="00067052">
      <w:pPr>
        <w:pStyle w:val="Default"/>
        <w:spacing w:line="480" w:lineRule="auto"/>
        <w:ind w:left="720" w:hanging="720"/>
        <w:contextualSpacing/>
      </w:pPr>
      <w:r w:rsidRPr="000B290A">
        <w:rPr>
          <w:rFonts w:ascii="TimesNewRomanPSMT" w:hAnsi="TimesNewRomanPSMT" w:cs="TimesNewRomanPSMT"/>
        </w:rPr>
        <w:t>Beard</w:t>
      </w:r>
      <w:r>
        <w:rPr>
          <w:rFonts w:ascii="TimesNewRomanPSMT" w:hAnsi="TimesNewRomanPSMT" w:cs="TimesNewRomanPSMT"/>
        </w:rPr>
        <w:t>, J.B. 2002. Turfgrass management for golf courses. Ann Arbor Press, Chelsea, MI.</w:t>
      </w:r>
    </w:p>
    <w:p w:rsidR="00067052" w:rsidRPr="006B3388" w:rsidRDefault="00067052" w:rsidP="00067052">
      <w:pPr>
        <w:spacing w:line="480" w:lineRule="auto"/>
        <w:ind w:left="720" w:hanging="720"/>
        <w:rPr>
          <w:color w:val="222222"/>
        </w:rPr>
      </w:pPr>
      <w:r>
        <w:rPr>
          <w:color w:val="222222"/>
        </w:rPr>
        <w:t xml:space="preserve">Beard, J.B. 2005. Turfgrass encyclopedia for golf courses, grounds, lawns, sports fields. Michigan State University Press. East Lansing, MI. </w:t>
      </w:r>
    </w:p>
    <w:p w:rsidR="00067052" w:rsidRPr="003D7113" w:rsidRDefault="00067052" w:rsidP="00067052">
      <w:pPr>
        <w:spacing w:line="480" w:lineRule="auto"/>
        <w:ind w:left="720" w:hanging="720"/>
        <w:contextualSpacing/>
        <w:rPr>
          <w:color w:val="222222"/>
        </w:rPr>
      </w:pPr>
      <w:r w:rsidRPr="003D7113">
        <w:rPr>
          <w:color w:val="222222"/>
        </w:rPr>
        <w:t>Beard,</w:t>
      </w:r>
      <w:r>
        <w:rPr>
          <w:color w:val="222222"/>
        </w:rPr>
        <w:t xml:space="preserve"> </w:t>
      </w:r>
      <w:r w:rsidRPr="003D7113">
        <w:rPr>
          <w:color w:val="222222"/>
        </w:rPr>
        <w:t>J.B</w:t>
      </w:r>
      <w:r>
        <w:rPr>
          <w:color w:val="222222"/>
        </w:rPr>
        <w:t>.</w:t>
      </w:r>
      <w:r w:rsidRPr="003D7113">
        <w:rPr>
          <w:color w:val="222222"/>
        </w:rPr>
        <w:t>, and W.H. Daniel. 1965. Effect of temperature and cutting on the growth of creeping bentgrass roots Agron. J. 5:249-250.</w:t>
      </w:r>
    </w:p>
    <w:p w:rsidR="00067052" w:rsidRPr="003D7113" w:rsidRDefault="00067052" w:rsidP="00067052">
      <w:pPr>
        <w:pStyle w:val="Default"/>
        <w:spacing w:line="480" w:lineRule="auto"/>
        <w:ind w:left="720" w:hanging="720"/>
        <w:contextualSpacing/>
      </w:pPr>
      <w:r w:rsidRPr="003D7113">
        <w:rPr>
          <w:color w:val="222222"/>
        </w:rPr>
        <w:t>Beasley, J.S., and B.E. Branham. 2007. Trinexa</w:t>
      </w:r>
      <w:r>
        <w:rPr>
          <w:color w:val="222222"/>
        </w:rPr>
        <w:t>pac-ethyl and paclobutrazol affect k</w:t>
      </w:r>
      <w:r w:rsidRPr="003D7113">
        <w:rPr>
          <w:color w:val="222222"/>
        </w:rPr>
        <w:t>entucky bluegrass single-leaf carbon exchange rates and plant growth. Crop Sci. 47:132–138.</w:t>
      </w:r>
    </w:p>
    <w:p w:rsidR="00067052" w:rsidRPr="003D7113" w:rsidRDefault="00067052" w:rsidP="00067052">
      <w:pPr>
        <w:autoSpaceDE w:val="0"/>
        <w:autoSpaceDN w:val="0"/>
        <w:adjustRightInd w:val="0"/>
        <w:spacing w:line="480" w:lineRule="auto"/>
        <w:ind w:left="720" w:hanging="720"/>
        <w:contextualSpacing/>
      </w:pPr>
      <w:r w:rsidRPr="003D7113">
        <w:t>Bell, G.E., B.M. Howell, G.V. Johnson, W.R. Raun, J.B. Solie, and M.L. Stone. 2004. Optical sensing of turfgrass chlorophyll content and tissue nitrogen. HortScience 39:1130–1132.</w:t>
      </w:r>
    </w:p>
    <w:p w:rsidR="00067052" w:rsidRDefault="00067052" w:rsidP="00067052">
      <w:pPr>
        <w:spacing w:line="480" w:lineRule="auto"/>
        <w:ind w:left="720" w:hanging="720"/>
        <w:contextualSpacing/>
      </w:pPr>
      <w:r>
        <w:t xml:space="preserve">Bonos, </w:t>
      </w:r>
      <w:r w:rsidRPr="003D7113">
        <w:t>S.A., and J.A. Murphy. 1999. Growth responses and performance</w:t>
      </w:r>
      <w:r>
        <w:t xml:space="preserve"> of k</w:t>
      </w:r>
      <w:r w:rsidRPr="003D7113">
        <w:t>entucky bluegrass under summer stress.</w:t>
      </w:r>
      <w:r>
        <w:t xml:space="preserve"> </w:t>
      </w:r>
      <w:r w:rsidRPr="003D7113">
        <w:t>Crop Sci. 39:770-774</w:t>
      </w:r>
      <w:r>
        <w:t>.</w:t>
      </w:r>
    </w:p>
    <w:p w:rsidR="001B790D" w:rsidRPr="003D7113" w:rsidRDefault="00DB0480" w:rsidP="005C1987">
      <w:pPr>
        <w:spacing w:line="480" w:lineRule="auto"/>
        <w:ind w:left="720" w:hanging="720"/>
        <w:contextualSpacing/>
      </w:pPr>
      <w:r>
        <w:t xml:space="preserve">Bremer, D.J., H. Lee, K. Su, and S.J. Keeley. 2011. Relationships between normalized difference vegetation index and visual quality in cool-season turfgrass: I. Variation among species and cultivars. </w:t>
      </w:r>
      <w:r w:rsidR="001B790D">
        <w:t xml:space="preserve">Crop Sci. 51:2212-2218. </w:t>
      </w:r>
    </w:p>
    <w:p w:rsidR="00067052" w:rsidRPr="003D7113" w:rsidRDefault="00067052" w:rsidP="00067052">
      <w:pPr>
        <w:pStyle w:val="Default"/>
        <w:spacing w:line="480" w:lineRule="auto"/>
        <w:ind w:left="720" w:hanging="720"/>
        <w:contextualSpacing/>
      </w:pPr>
      <w:r w:rsidRPr="003D7113">
        <w:t xml:space="preserve">Bryson, R.J., </w:t>
      </w:r>
      <w:r>
        <w:t xml:space="preserve">L. Leandro, and D.R. Jones. </w:t>
      </w:r>
      <w:r w:rsidRPr="003D7113">
        <w:t xml:space="preserve">2000. The physiological effects of kresoxim-methyl on wheat leaf greenness and the implication for crop yield. </w:t>
      </w:r>
      <w:r w:rsidRPr="00CC726E">
        <w:rPr>
          <w:i/>
        </w:rPr>
        <w:t>In</w:t>
      </w:r>
      <w:r w:rsidRPr="003D7113">
        <w:t xml:space="preserve"> Proc</w:t>
      </w:r>
      <w:r>
        <w:t xml:space="preserve">. </w:t>
      </w:r>
      <w:r w:rsidRPr="003D7113">
        <w:t xml:space="preserve">of the Brighton </w:t>
      </w:r>
      <w:r>
        <w:t>c</w:t>
      </w:r>
      <w:r w:rsidRPr="003D7113">
        <w:t xml:space="preserve">rop </w:t>
      </w:r>
      <w:r>
        <w:t>p</w:t>
      </w:r>
      <w:r w:rsidRPr="003D7113">
        <w:t>rotecti</w:t>
      </w:r>
      <w:r>
        <w:t xml:space="preserve">on conference. Pests and Disease. British Crop Protection Council, Farnham, UK. </w:t>
      </w:r>
    </w:p>
    <w:p w:rsidR="00067052" w:rsidRDefault="00067052" w:rsidP="00067052">
      <w:pPr>
        <w:autoSpaceDE w:val="0"/>
        <w:autoSpaceDN w:val="0"/>
        <w:adjustRightInd w:val="0"/>
        <w:spacing w:line="480" w:lineRule="auto"/>
        <w:ind w:left="720" w:hanging="720"/>
        <w:contextualSpacing/>
      </w:pPr>
      <w:r w:rsidRPr="003D7113">
        <w:t xml:space="preserve">Brosnan, J.T, B.J. Horvath, M.T. Elmore, G.K. Breeden, and J.C. Sorochan. 2010. Greenhouse investigation of strobilurin fungicide applications on creeping </w:t>
      </w:r>
      <w:r w:rsidRPr="003D7113">
        <w:lastRenderedPageBreak/>
        <w:t>bentgrass root characteristics under two irrigation regimes. Crop Sci. 50:26</w:t>
      </w:r>
      <w:r>
        <w:t>05-</w:t>
      </w:r>
      <w:r w:rsidRPr="003D7113">
        <w:t>2610.</w:t>
      </w:r>
    </w:p>
    <w:p w:rsidR="001327AF" w:rsidRDefault="001327AF" w:rsidP="00067052">
      <w:pPr>
        <w:autoSpaceDE w:val="0"/>
        <w:autoSpaceDN w:val="0"/>
        <w:adjustRightInd w:val="0"/>
        <w:spacing w:line="480" w:lineRule="auto"/>
        <w:ind w:left="720" w:hanging="720"/>
        <w:contextualSpacing/>
      </w:pPr>
      <w:r>
        <w:t xml:space="preserve">Bunderson, L.D., P.G. Johnson, L.K. Kopp, and A. Van Dyke. 2009. Tools for evaluating native grasses as low maintenance turf. Horttechnology. 19: 626-632. </w:t>
      </w:r>
    </w:p>
    <w:p w:rsidR="00067052" w:rsidRDefault="00067052" w:rsidP="00067052">
      <w:pPr>
        <w:autoSpaceDE w:val="0"/>
        <w:autoSpaceDN w:val="0"/>
        <w:adjustRightInd w:val="0"/>
        <w:spacing w:line="480" w:lineRule="auto"/>
        <w:ind w:left="720" w:hanging="720"/>
        <w:contextualSpacing/>
      </w:pPr>
      <w:r>
        <w:t xml:space="preserve">Burpee, L.L., and B. Martin. 1992. Biology of </w:t>
      </w:r>
      <w:r w:rsidRPr="00741388">
        <w:rPr>
          <w:i/>
        </w:rPr>
        <w:t>Rhizoctonia</w:t>
      </w:r>
      <w:r>
        <w:t xml:space="preserve"> species associated with turfgrasses. Plant Dis. 76:112-117. </w:t>
      </w:r>
    </w:p>
    <w:p w:rsidR="00067052" w:rsidRDefault="00067052" w:rsidP="00067052">
      <w:pPr>
        <w:autoSpaceDE w:val="0"/>
        <w:autoSpaceDN w:val="0"/>
        <w:adjustRightInd w:val="0"/>
        <w:spacing w:line="480" w:lineRule="auto"/>
        <w:ind w:left="720" w:hanging="720"/>
        <w:contextualSpacing/>
      </w:pPr>
      <w:r>
        <w:t xml:space="preserve">Carrow, R.N. 1996. Drought resistance aspects of turfgrasses in the southeast: root-shoot responses. Crop Sci. 36:687-694. </w:t>
      </w:r>
    </w:p>
    <w:p w:rsidR="00067052" w:rsidRDefault="00067052" w:rsidP="00067052">
      <w:pPr>
        <w:autoSpaceDE w:val="0"/>
        <w:autoSpaceDN w:val="0"/>
        <w:adjustRightInd w:val="0"/>
        <w:spacing w:line="480" w:lineRule="auto"/>
        <w:ind w:left="720" w:hanging="720"/>
        <w:contextualSpacing/>
        <w:rPr>
          <w:color w:val="222222"/>
        </w:rPr>
      </w:pPr>
      <w:r>
        <w:t xml:space="preserve">Casler, M.D., and R.R. Duncan. 2003. Turfgrass biology, genetics, and breeding. </w:t>
      </w:r>
      <w:r w:rsidRPr="003D7113">
        <w:rPr>
          <w:color w:val="222222"/>
        </w:rPr>
        <w:t>John Wiley &amp; Sons, Hoboken, NJ.</w:t>
      </w:r>
    </w:p>
    <w:p w:rsidR="00067052" w:rsidRDefault="00067052" w:rsidP="00067052">
      <w:pPr>
        <w:autoSpaceDE w:val="0"/>
        <w:autoSpaceDN w:val="0"/>
        <w:adjustRightInd w:val="0"/>
        <w:spacing w:line="480" w:lineRule="auto"/>
        <w:ind w:left="720" w:hanging="720"/>
        <w:contextualSpacing/>
        <w:rPr>
          <w:color w:val="222222"/>
        </w:rPr>
      </w:pPr>
      <w:r>
        <w:rPr>
          <w:color w:val="222222"/>
        </w:rPr>
        <w:t>Couch, H.B. 1995. Diseases of turfgrasses, 3</w:t>
      </w:r>
      <w:r w:rsidRPr="006B3388">
        <w:rPr>
          <w:color w:val="222222"/>
          <w:vertAlign w:val="superscript"/>
        </w:rPr>
        <w:t>rd</w:t>
      </w:r>
      <w:r>
        <w:rPr>
          <w:color w:val="222222"/>
        </w:rPr>
        <w:t xml:space="preserve"> edition. Krieger Publishing, Malabar, FL. </w:t>
      </w:r>
    </w:p>
    <w:p w:rsidR="00067052" w:rsidRDefault="00067052" w:rsidP="00067052">
      <w:pPr>
        <w:autoSpaceDE w:val="0"/>
        <w:autoSpaceDN w:val="0"/>
        <w:adjustRightInd w:val="0"/>
        <w:spacing w:line="480" w:lineRule="auto"/>
        <w:ind w:left="720" w:hanging="720"/>
        <w:contextualSpacing/>
        <w:rPr>
          <w:color w:val="222222"/>
        </w:rPr>
      </w:pPr>
      <w:r>
        <w:rPr>
          <w:color w:val="222222"/>
        </w:rPr>
        <w:t xml:space="preserve">Delvalle, T.C., P.J. Landschoot, and J.E. Kaminski. 2011. Effects of dew removal and mowing frequency on fungicide performance for dollar spot control. Plant Dis. 95:1427-1432. </w:t>
      </w:r>
    </w:p>
    <w:p w:rsidR="00067052" w:rsidRPr="001E2509" w:rsidRDefault="00067052" w:rsidP="00067052">
      <w:pPr>
        <w:autoSpaceDE w:val="0"/>
        <w:autoSpaceDN w:val="0"/>
        <w:adjustRightInd w:val="0"/>
        <w:spacing w:line="480" w:lineRule="auto"/>
        <w:ind w:left="720" w:hanging="720"/>
        <w:contextualSpacing/>
      </w:pPr>
      <w:r>
        <w:t xml:space="preserve">Dernoeden, P.H. 1989. Symptomatology and management of common turfgrass diseases in transition zone and northern areas. </w:t>
      </w:r>
      <w:r>
        <w:rPr>
          <w:i/>
        </w:rPr>
        <w:t>I</w:t>
      </w:r>
      <w:r w:rsidRPr="001E2509">
        <w:rPr>
          <w:i/>
        </w:rPr>
        <w:t>n</w:t>
      </w:r>
      <w:r>
        <w:t xml:space="preserve"> Integrated Pest Management Methods for Turfgrass and Ornamentals. A. R. Leslie and R.L. Metcalf, eds. U.S. Environmental Protection Agency, Washington, DC. </w:t>
      </w:r>
    </w:p>
    <w:p w:rsidR="00067052" w:rsidRDefault="00067052" w:rsidP="00067052">
      <w:pPr>
        <w:autoSpaceDE w:val="0"/>
        <w:autoSpaceDN w:val="0"/>
        <w:adjustRightInd w:val="0"/>
        <w:spacing w:line="480" w:lineRule="auto"/>
        <w:ind w:left="720" w:hanging="720"/>
        <w:contextualSpacing/>
        <w:rPr>
          <w:color w:val="222222"/>
        </w:rPr>
      </w:pPr>
      <w:r w:rsidRPr="003D7113">
        <w:rPr>
          <w:color w:val="222222"/>
        </w:rPr>
        <w:t xml:space="preserve">Dernoeden, P.H. 2002. </w:t>
      </w:r>
      <w:r>
        <w:rPr>
          <w:color w:val="222222"/>
        </w:rPr>
        <w:t>Creeping bentgrass management: s</w:t>
      </w:r>
      <w:r w:rsidRPr="003D7113">
        <w:rPr>
          <w:color w:val="222222"/>
        </w:rPr>
        <w:t>ummer stresses, weeds, and selected maladies. John Wiley &amp; Sons, Hoboken, NJ.</w:t>
      </w:r>
    </w:p>
    <w:p w:rsidR="00067052" w:rsidRDefault="00067052" w:rsidP="00067052">
      <w:pPr>
        <w:autoSpaceDE w:val="0"/>
        <w:autoSpaceDN w:val="0"/>
        <w:adjustRightInd w:val="0"/>
        <w:spacing w:line="480" w:lineRule="auto"/>
        <w:ind w:left="720" w:hanging="720"/>
        <w:contextualSpacing/>
        <w:rPr>
          <w:color w:val="222222"/>
        </w:rPr>
      </w:pPr>
      <w:r w:rsidRPr="008A3AA2">
        <w:rPr>
          <w:color w:val="222222"/>
        </w:rPr>
        <w:t>Dunn, J.H., and K. Diesburg. 2004. Turf management in the transition</w:t>
      </w:r>
      <w:r>
        <w:rPr>
          <w:color w:val="222222"/>
        </w:rPr>
        <w:t xml:space="preserve"> </w:t>
      </w:r>
      <w:r w:rsidRPr="008A3AA2">
        <w:rPr>
          <w:color w:val="222222"/>
        </w:rPr>
        <w:t>zone. John Wiley &amp; Sons, Hoboken, NJ.</w:t>
      </w:r>
    </w:p>
    <w:p w:rsidR="00067052" w:rsidRDefault="00067052" w:rsidP="00067052">
      <w:pPr>
        <w:autoSpaceDE w:val="0"/>
        <w:autoSpaceDN w:val="0"/>
        <w:adjustRightInd w:val="0"/>
        <w:spacing w:line="480" w:lineRule="auto"/>
        <w:ind w:left="720" w:hanging="720"/>
        <w:contextualSpacing/>
        <w:rPr>
          <w:color w:val="222222"/>
        </w:rPr>
      </w:pPr>
      <w:r w:rsidRPr="000B290A">
        <w:rPr>
          <w:color w:val="222222"/>
        </w:rPr>
        <w:lastRenderedPageBreak/>
        <w:t>Ellram, A., B. Horgan, and B. Hulke. 2007. Mowing strategies and</w:t>
      </w:r>
      <w:r>
        <w:rPr>
          <w:color w:val="222222"/>
        </w:rPr>
        <w:t xml:space="preserve"> </w:t>
      </w:r>
      <w:r w:rsidRPr="000B290A">
        <w:rPr>
          <w:color w:val="222222"/>
        </w:rPr>
        <w:t>dew removal to minimize dollar spot on creeping bentgrass.</w:t>
      </w:r>
      <w:r>
        <w:rPr>
          <w:color w:val="222222"/>
        </w:rPr>
        <w:t xml:space="preserve"> </w:t>
      </w:r>
      <w:r w:rsidRPr="000B290A">
        <w:rPr>
          <w:color w:val="222222"/>
        </w:rPr>
        <w:t>Crop Sci. 47:2129–2137.</w:t>
      </w:r>
    </w:p>
    <w:p w:rsidR="008F536C" w:rsidRDefault="008F536C" w:rsidP="00067052">
      <w:pPr>
        <w:autoSpaceDE w:val="0"/>
        <w:autoSpaceDN w:val="0"/>
        <w:adjustRightInd w:val="0"/>
        <w:spacing w:line="480" w:lineRule="auto"/>
        <w:ind w:left="720" w:hanging="720"/>
        <w:contextualSpacing/>
        <w:rPr>
          <w:color w:val="222222"/>
        </w:rPr>
      </w:pPr>
      <w:r>
        <w:rPr>
          <w:color w:val="222222"/>
        </w:rPr>
        <w:t xml:space="preserve">Fagerness, M.J., and F.H. Yelverton. 2001. Plant growth regulator and mowing height effects on seasonal root growth of penncross creeping bentgrass. Crop Sci. 41: 1901-1905. </w:t>
      </w:r>
    </w:p>
    <w:p w:rsidR="00067052" w:rsidRPr="003D7113" w:rsidRDefault="00067052" w:rsidP="00067052">
      <w:pPr>
        <w:autoSpaceDE w:val="0"/>
        <w:autoSpaceDN w:val="0"/>
        <w:adjustRightInd w:val="0"/>
        <w:spacing w:line="480" w:lineRule="auto"/>
        <w:ind w:left="720" w:hanging="720"/>
        <w:contextualSpacing/>
        <w:rPr>
          <w:color w:val="222222"/>
        </w:rPr>
      </w:pPr>
      <w:r>
        <w:rPr>
          <w:color w:val="222222"/>
        </w:rPr>
        <w:t xml:space="preserve">Fallon, R. E. 1975. </w:t>
      </w:r>
      <w:r w:rsidRPr="00953E50">
        <w:rPr>
          <w:i/>
          <w:color w:val="222222"/>
        </w:rPr>
        <w:t>Curvularia trifolii</w:t>
      </w:r>
      <w:r>
        <w:rPr>
          <w:color w:val="222222"/>
        </w:rPr>
        <w:t xml:space="preserve"> as a high-temperature turfgrass pathogen. N.Z J. Agric. Res. 19:243-248. </w:t>
      </w:r>
    </w:p>
    <w:p w:rsidR="00067052" w:rsidRDefault="00067052" w:rsidP="00067052">
      <w:pPr>
        <w:pStyle w:val="Default"/>
        <w:spacing w:line="480" w:lineRule="auto"/>
        <w:ind w:left="720" w:hanging="720"/>
        <w:contextualSpacing/>
      </w:pPr>
      <w:r w:rsidRPr="003D7113">
        <w:t>Fenstermaker-Shaulis, L.K.,</w:t>
      </w:r>
      <w:r>
        <w:t xml:space="preserve"> </w:t>
      </w:r>
      <w:r w:rsidRPr="003D7113">
        <w:t>A.Leskys, and D.A. Devitt. 1997. Utilization of remotely sensed data to map and evaluate turfgrass stress associated with drought. J. Turfgrass Manage. 2:65-81.</w:t>
      </w:r>
    </w:p>
    <w:p w:rsidR="00067052" w:rsidRDefault="00067052" w:rsidP="00067052">
      <w:pPr>
        <w:pStyle w:val="Default"/>
        <w:spacing w:line="480" w:lineRule="auto"/>
        <w:ind w:left="720" w:hanging="720"/>
        <w:contextualSpacing/>
      </w:pPr>
      <w:r>
        <w:t>Fidanza, M.A., and P.H. Dernoeden. 1996. Brown patch severity in perennial ryegrass as influenced by irrigation, fungicides, and fertilizers. Crop Sci. 36:1631–1638.</w:t>
      </w:r>
    </w:p>
    <w:p w:rsidR="00067052" w:rsidRDefault="00067052" w:rsidP="00067052">
      <w:pPr>
        <w:pStyle w:val="Default"/>
        <w:spacing w:line="480" w:lineRule="auto"/>
        <w:ind w:left="720" w:hanging="720"/>
        <w:contextualSpacing/>
      </w:pPr>
      <w:r>
        <w:t xml:space="preserve">Fidanza, M.A., and A. Bagwell. 2005. Evaluation of fungicides and a soil surfactant for curative type-II fairy ring control in creeping bentgrass, 2004. Fungic. Nematicide Tests 60:1. </w:t>
      </w:r>
    </w:p>
    <w:p w:rsidR="00067052" w:rsidRPr="003D7113" w:rsidRDefault="00067052" w:rsidP="00067052">
      <w:pPr>
        <w:pStyle w:val="Default"/>
        <w:spacing w:line="480" w:lineRule="auto"/>
        <w:ind w:left="720" w:hanging="720"/>
        <w:contextualSpacing/>
      </w:pPr>
      <w:r w:rsidRPr="00B65D7B">
        <w:t>Fry, J.D., and B. Huang. 2004. Applied turfgrass science and physiology.</w:t>
      </w:r>
      <w:r>
        <w:t xml:space="preserve"> </w:t>
      </w:r>
      <w:r w:rsidRPr="00B65D7B">
        <w:t>John Wiley &amp; Sons, Hoboken, NJ.</w:t>
      </w:r>
    </w:p>
    <w:p w:rsidR="00067052" w:rsidRDefault="00067052" w:rsidP="00067052">
      <w:pPr>
        <w:pStyle w:val="Default"/>
        <w:spacing w:line="480" w:lineRule="auto"/>
        <w:ind w:left="720" w:hanging="720"/>
        <w:contextualSpacing/>
      </w:pPr>
      <w:r>
        <w:t>Glaab, J. and W.M. Kaiser. 1999.</w:t>
      </w:r>
      <w:r w:rsidRPr="003D7113">
        <w:t xml:space="preserve"> Increased nitrate reductase activity in leaf tissue after application of the fungicide kresoxim</w:t>
      </w:r>
      <w:r>
        <w:t>-methyl. Planta. 207:</w:t>
      </w:r>
      <w:r w:rsidRPr="003D7113">
        <w:t>442–448</w:t>
      </w:r>
      <w:r>
        <w:t>.</w:t>
      </w:r>
    </w:p>
    <w:p w:rsidR="00067052" w:rsidRPr="003D7113" w:rsidRDefault="00067052" w:rsidP="00067052">
      <w:pPr>
        <w:pStyle w:val="Default"/>
        <w:spacing w:line="480" w:lineRule="auto"/>
        <w:ind w:left="720" w:hanging="720"/>
        <w:contextualSpacing/>
      </w:pPr>
      <w:r>
        <w:t xml:space="preserve">Godfrey, G. H. 1925. Bulletin of the green section of the U.S. Golf Association. 5: 83-87. </w:t>
      </w:r>
    </w:p>
    <w:p w:rsidR="00067052" w:rsidRPr="003D7113" w:rsidRDefault="00067052" w:rsidP="00067052">
      <w:pPr>
        <w:pStyle w:val="Default"/>
        <w:spacing w:line="480" w:lineRule="auto"/>
        <w:ind w:left="720" w:hanging="720"/>
        <w:contextualSpacing/>
      </w:pPr>
      <w:r w:rsidRPr="003D7113">
        <w:t xml:space="preserve">Godwin, J.R., D.W. Bartlett, J.M. Clough, A.R.A. Godfrey, E.G. Harrison, and S. Maund. 2000. Picoxystrobin: A new strobilurin fungicide for use on cereals. </w:t>
      </w:r>
      <w:r w:rsidRPr="00953E50">
        <w:rPr>
          <w:i/>
        </w:rPr>
        <w:t>In</w:t>
      </w:r>
      <w:r>
        <w:t xml:space="preserve"> </w:t>
      </w:r>
      <w:r w:rsidRPr="003D7113">
        <w:lastRenderedPageBreak/>
        <w:t xml:space="preserve">Brighton Crop Protection Conference: Pests and Diseases. British Crop Protection Council, Farnham, UK. </w:t>
      </w:r>
    </w:p>
    <w:p w:rsidR="00067052" w:rsidRDefault="00067052" w:rsidP="00067052">
      <w:pPr>
        <w:pStyle w:val="Default"/>
        <w:spacing w:line="480" w:lineRule="auto"/>
        <w:ind w:left="720" w:hanging="720"/>
        <w:contextualSpacing/>
      </w:pPr>
      <w:r w:rsidRPr="003D7113">
        <w:t xml:space="preserve">Gortz, A., E.C. Oerke, T. Thomas, and U. Steiner. 2008. Effect of environmental conditions on plant growth regulator activity of fungicidal seed treatments of barley. Journal of applied botany and food quality. 82: 60-68. </w:t>
      </w:r>
    </w:p>
    <w:p w:rsidR="00334DE7" w:rsidRPr="003D7113" w:rsidRDefault="00334DE7" w:rsidP="00067052">
      <w:pPr>
        <w:pStyle w:val="Default"/>
        <w:spacing w:line="480" w:lineRule="auto"/>
        <w:ind w:left="720" w:hanging="720"/>
        <w:contextualSpacing/>
      </w:pPr>
      <w:r>
        <w:t xml:space="preserve">Green, D.E., L.L. Burpee, and K.L. Stevenson. 1998. Canopy reflectance as a measure of disease in tall fescue. Crop Sci. Vol: 38 1603-1613. </w:t>
      </w:r>
    </w:p>
    <w:p w:rsidR="00067052" w:rsidRPr="003D7113" w:rsidRDefault="00067052" w:rsidP="00067052">
      <w:pPr>
        <w:pStyle w:val="Default"/>
        <w:spacing w:line="480" w:lineRule="auto"/>
        <w:ind w:left="720" w:hanging="720"/>
        <w:contextualSpacing/>
      </w:pPr>
      <w:r w:rsidRPr="003D7113">
        <w:t>Grossman</w:t>
      </w:r>
      <w:r>
        <w:t>, K., J.</w:t>
      </w:r>
      <w:r w:rsidRPr="003D7113">
        <w:t xml:space="preserve"> Kwiatkowski</w:t>
      </w:r>
      <w:r>
        <w:t>, and G. Caspar</w:t>
      </w:r>
      <w:r w:rsidRPr="003D7113">
        <w:t>. 1999. Regulation of phytohormone levels, leaf senescence and transpiration by the strob</w:t>
      </w:r>
      <w:r>
        <w:t xml:space="preserve">ilurin kresoxim-methyl in wheat. </w:t>
      </w:r>
      <w:r w:rsidRPr="003D7113">
        <w:t>J Plant Physiol</w:t>
      </w:r>
      <w:r>
        <w:t>.</w:t>
      </w:r>
      <w:r w:rsidRPr="003D7113">
        <w:t>154: 805–808.</w:t>
      </w:r>
    </w:p>
    <w:p w:rsidR="00067052" w:rsidRPr="003D7113" w:rsidRDefault="00067052" w:rsidP="00067052">
      <w:pPr>
        <w:pStyle w:val="Default"/>
        <w:spacing w:line="480" w:lineRule="auto"/>
        <w:ind w:left="720" w:hanging="720"/>
        <w:contextualSpacing/>
      </w:pPr>
      <w:r w:rsidRPr="003D7113">
        <w:t>Grossmann, K. and G. Retzlaff. 1997.  Bioregulatory effects of the fungicidal strob</w:t>
      </w:r>
      <w:r>
        <w:t xml:space="preserve">ilurin kresoxim-methyl in wheat. </w:t>
      </w:r>
      <w:r w:rsidRPr="003D7113">
        <w:t>Pestic. Sci. 50:11–20</w:t>
      </w:r>
    </w:p>
    <w:p w:rsidR="00067052" w:rsidRDefault="00067052" w:rsidP="00067052">
      <w:pPr>
        <w:pStyle w:val="Default"/>
        <w:spacing w:line="480" w:lineRule="auto"/>
        <w:ind w:left="720" w:hanging="720"/>
        <w:contextualSpacing/>
      </w:pPr>
      <w:r w:rsidRPr="003D7113">
        <w:t>Halliwell</w:t>
      </w:r>
      <w:r>
        <w:t>,</w:t>
      </w:r>
      <w:r w:rsidRPr="003D7113">
        <w:t xml:space="preserve"> B</w:t>
      </w:r>
      <w:r>
        <w:t>.</w:t>
      </w:r>
      <w:r w:rsidRPr="003D7113">
        <w:t xml:space="preserve">, </w:t>
      </w:r>
      <w:r>
        <w:t xml:space="preserve">and J. Gutteridge. 2007. </w:t>
      </w:r>
      <w:r w:rsidRPr="003D7113">
        <w:t>Free Radica</w:t>
      </w:r>
      <w:r>
        <w:t>ls in Biology and Medicine</w:t>
      </w:r>
      <w:r w:rsidRPr="003D7113">
        <w:t>. Oxford University Press, Oxford</w:t>
      </w:r>
      <w:r>
        <w:t xml:space="preserve">, UK. </w:t>
      </w:r>
    </w:p>
    <w:p w:rsidR="00067052" w:rsidRDefault="00067052" w:rsidP="00067052">
      <w:pPr>
        <w:pStyle w:val="Default"/>
        <w:spacing w:line="480" w:lineRule="auto"/>
        <w:ind w:left="720" w:hanging="720"/>
        <w:contextualSpacing/>
      </w:pPr>
      <w:r>
        <w:t xml:space="preserve">Harrington, G.E. 1942.Thiram sulfide for turf diseases. The greenkeepers reporter. 10:p. 28. </w:t>
      </w:r>
    </w:p>
    <w:p w:rsidR="00067052" w:rsidRDefault="00067052" w:rsidP="00067052">
      <w:pPr>
        <w:pStyle w:val="Default"/>
        <w:spacing w:line="480" w:lineRule="auto"/>
        <w:ind w:left="720" w:hanging="720"/>
        <w:contextualSpacing/>
        <w:rPr>
          <w:rFonts w:ascii="TimesNewRomanPSMT" w:hAnsi="TimesNewRomanPSMT" w:cs="TimesNewRomanPSMT"/>
        </w:rPr>
      </w:pPr>
      <w:r w:rsidRPr="004F0AE1">
        <w:t xml:space="preserve">Hawkins, Lon Adrian. </w:t>
      </w:r>
      <w:r>
        <w:t xml:space="preserve">1912. </w:t>
      </w:r>
      <w:r w:rsidRPr="004F0AE1">
        <w:rPr>
          <w:i/>
          <w:iCs/>
        </w:rPr>
        <w:t>Some factors influencing the efficiency of Bordeaux mixture</w:t>
      </w:r>
      <w:r w:rsidRPr="004F0AE1">
        <w:t>. N</w:t>
      </w:r>
      <w:r>
        <w:t>o. 265. Govt. print. off.</w:t>
      </w:r>
    </w:p>
    <w:p w:rsidR="00067052" w:rsidRDefault="00067052" w:rsidP="00067052">
      <w:pPr>
        <w:pStyle w:val="Default"/>
        <w:spacing w:line="480" w:lineRule="auto"/>
        <w:contextualSpacing/>
        <w:rPr>
          <w:rFonts w:ascii="TimesNewRomanPSMT" w:hAnsi="TimesNewRomanPSMT" w:cs="TimesNewRomanPSMT"/>
        </w:rPr>
      </w:pPr>
      <w:r>
        <w:rPr>
          <w:rFonts w:ascii="TimesNewRomanPSMT" w:hAnsi="TimesNewRomanPSMT" w:cs="TimesNewRomanPSMT"/>
        </w:rPr>
        <w:t>Harlan, J.R. 1992. Crops and Man, 2nd ed. American Soc. of Agron. Madison, WI.</w:t>
      </w:r>
    </w:p>
    <w:p w:rsidR="00067052" w:rsidRDefault="00067052" w:rsidP="00067052">
      <w:pPr>
        <w:pStyle w:val="Default"/>
        <w:spacing w:line="480" w:lineRule="auto"/>
        <w:ind w:left="720" w:hanging="720"/>
        <w:contextualSpacing/>
        <w:rPr>
          <w:rFonts w:ascii="TimesNewRomanPSMT" w:hAnsi="TimesNewRomanPSMT" w:cs="TimesNewRomanPSMT"/>
        </w:rPr>
      </w:pPr>
      <w:r>
        <w:rPr>
          <w:rFonts w:ascii="TimesNewRomanPSMT" w:hAnsi="TimesNewRomanPSMT" w:cs="TimesNewRomanPSMT"/>
        </w:rPr>
        <w:t>H</w:t>
      </w:r>
      <w:r>
        <w:t>ä</w:t>
      </w:r>
      <w:r>
        <w:rPr>
          <w:rFonts w:ascii="TimesNewRomanPSMT" w:hAnsi="TimesNewRomanPSMT" w:cs="TimesNewRomanPSMT"/>
        </w:rPr>
        <w:t xml:space="preserve">user-Hahn, I., P. Baur, and W. Schmitt. 2004. Fluoxastrobin (HEC 5725) – biochemistry and chemodynamic behavior of a new leaf systemic strobilurin fungicide. Pflanzenschutz-Nachrichten Bayer. 57: 437-450. </w:t>
      </w:r>
    </w:p>
    <w:p w:rsidR="004C3764" w:rsidRDefault="004C3764" w:rsidP="00067052">
      <w:pPr>
        <w:pStyle w:val="Default"/>
        <w:spacing w:line="480" w:lineRule="auto"/>
        <w:ind w:left="720" w:hanging="720"/>
        <w:contextualSpacing/>
        <w:rPr>
          <w:rFonts w:ascii="TimesNewRomanPSMT" w:hAnsi="TimesNewRomanPSMT" w:cs="TimesNewRomanPSMT"/>
        </w:rPr>
      </w:pPr>
      <w:r>
        <w:rPr>
          <w:rFonts w:ascii="TimesNewRomanPSMT" w:hAnsi="TimesNewRomanPSMT" w:cs="TimesNewRomanPSMT"/>
        </w:rPr>
        <w:lastRenderedPageBreak/>
        <w:t>Horst, G. L., M.C. Engelke, and W. Meyers. 1984. Assessment of visual evaluation techniques. Agron. J. 76: 619-622.</w:t>
      </w:r>
    </w:p>
    <w:p w:rsidR="00067052" w:rsidRPr="003D7113" w:rsidRDefault="00067052" w:rsidP="00067052">
      <w:pPr>
        <w:pStyle w:val="Default"/>
        <w:spacing w:line="480" w:lineRule="auto"/>
        <w:ind w:left="720" w:hanging="720"/>
        <w:contextualSpacing/>
      </w:pPr>
      <w:r>
        <w:t>Horvath, B., and J. Vargas</w:t>
      </w:r>
      <w:r w:rsidRPr="000B290A">
        <w:t>. 2005. Analysis of dollar spot disease</w:t>
      </w:r>
      <w:r>
        <w:t xml:space="preserve"> </w:t>
      </w:r>
      <w:r w:rsidRPr="000B290A">
        <w:t>using digital image analysis. Int. Turfgrass Soc. Res. J.</w:t>
      </w:r>
      <w:r>
        <w:t xml:space="preserve"> </w:t>
      </w:r>
      <w:r w:rsidRPr="000B290A">
        <w:t>10:196–201.</w:t>
      </w:r>
    </w:p>
    <w:p w:rsidR="00067052" w:rsidRDefault="00067052" w:rsidP="00067052">
      <w:pPr>
        <w:autoSpaceDE w:val="0"/>
        <w:autoSpaceDN w:val="0"/>
        <w:adjustRightInd w:val="0"/>
        <w:spacing w:line="480" w:lineRule="auto"/>
        <w:ind w:left="720" w:hanging="720"/>
        <w:contextualSpacing/>
        <w:rPr>
          <w:color w:val="222222"/>
        </w:rPr>
      </w:pPr>
      <w:r w:rsidRPr="003D7113">
        <w:rPr>
          <w:color w:val="222222"/>
        </w:rPr>
        <w:t>Huang, B.,</w:t>
      </w:r>
      <w:r>
        <w:rPr>
          <w:color w:val="222222"/>
        </w:rPr>
        <w:t xml:space="preserve"> </w:t>
      </w:r>
      <w:r w:rsidRPr="003D7113">
        <w:rPr>
          <w:color w:val="222222"/>
        </w:rPr>
        <w:t>and H.Gao.2000.Growth and carbohydrate metabolism of creeping bentgrass cultivars in response to increasing temperatures. Crop Sci. 40:1115-1120.</w:t>
      </w:r>
    </w:p>
    <w:p w:rsidR="00067052" w:rsidRDefault="00067052" w:rsidP="00067052">
      <w:pPr>
        <w:autoSpaceDE w:val="0"/>
        <w:autoSpaceDN w:val="0"/>
        <w:adjustRightInd w:val="0"/>
        <w:spacing w:line="480" w:lineRule="auto"/>
        <w:ind w:left="720" w:hanging="720"/>
        <w:contextualSpacing/>
        <w:rPr>
          <w:color w:val="222222"/>
        </w:rPr>
      </w:pPr>
      <w:r>
        <w:rPr>
          <w:color w:val="222222"/>
        </w:rPr>
        <w:t xml:space="preserve">Inguagiato, J.C., J.A. Murphy, and B.B. Clarke. 2008. Anthracnose severity on annual bluegrass influenced by nitrogen fertilization, growth regulators, and verticutting. Crop Sci. 48:1595-1607. </w:t>
      </w:r>
    </w:p>
    <w:p w:rsidR="00067052" w:rsidRDefault="00067052" w:rsidP="00067052">
      <w:pPr>
        <w:autoSpaceDE w:val="0"/>
        <w:autoSpaceDN w:val="0"/>
        <w:adjustRightInd w:val="0"/>
        <w:spacing w:line="480" w:lineRule="auto"/>
        <w:ind w:left="720" w:hanging="720"/>
        <w:contextualSpacing/>
        <w:rPr>
          <w:color w:val="222222"/>
        </w:rPr>
      </w:pPr>
      <w:r w:rsidRPr="00D11DF4">
        <w:rPr>
          <w:color w:val="222222"/>
        </w:rPr>
        <w:t>Inguagiato, J.C., J.A. Murphy, and B.B. Clarke. 2009. Anthracnose</w:t>
      </w:r>
      <w:r>
        <w:rPr>
          <w:color w:val="222222"/>
        </w:rPr>
        <w:t xml:space="preserve"> </w:t>
      </w:r>
      <w:r w:rsidRPr="00D11DF4">
        <w:rPr>
          <w:color w:val="222222"/>
        </w:rPr>
        <w:t>disease and annual bluegrass putting green performance</w:t>
      </w:r>
      <w:r>
        <w:rPr>
          <w:color w:val="222222"/>
        </w:rPr>
        <w:t xml:space="preserve"> affected by mowing practices and </w:t>
      </w:r>
      <w:r w:rsidRPr="00D11DF4">
        <w:rPr>
          <w:color w:val="222222"/>
        </w:rPr>
        <w:t>lightweight rolling. Crop</w:t>
      </w:r>
      <w:r>
        <w:rPr>
          <w:color w:val="222222"/>
        </w:rPr>
        <w:t xml:space="preserve"> </w:t>
      </w:r>
      <w:r w:rsidRPr="00D11DF4">
        <w:rPr>
          <w:color w:val="222222"/>
        </w:rPr>
        <w:t xml:space="preserve">Sci. 49:1454–1462. </w:t>
      </w:r>
    </w:p>
    <w:p w:rsidR="00067052" w:rsidRDefault="00067052" w:rsidP="00067052">
      <w:pPr>
        <w:autoSpaceDE w:val="0"/>
        <w:autoSpaceDN w:val="0"/>
        <w:adjustRightInd w:val="0"/>
        <w:spacing w:line="480" w:lineRule="auto"/>
        <w:ind w:left="720" w:hanging="720"/>
        <w:contextualSpacing/>
        <w:rPr>
          <w:color w:val="222222"/>
        </w:rPr>
      </w:pPr>
      <w:r>
        <w:rPr>
          <w:color w:val="222222"/>
        </w:rPr>
        <w:t xml:space="preserve">Jackson, N. 1964. Turf disease notes. The journal of the sports turf research institute. 40: 76-80. </w:t>
      </w:r>
    </w:p>
    <w:p w:rsidR="00067052" w:rsidRPr="003D7113" w:rsidRDefault="00067052" w:rsidP="00067052">
      <w:pPr>
        <w:autoSpaceDE w:val="0"/>
        <w:autoSpaceDN w:val="0"/>
        <w:adjustRightInd w:val="0"/>
        <w:spacing w:line="480" w:lineRule="auto"/>
        <w:ind w:left="720" w:hanging="720"/>
        <w:contextualSpacing/>
      </w:pPr>
      <w:r w:rsidRPr="003D7113">
        <w:t xml:space="preserve">Jensen, J.R. 2007. Remote sensing of vegetation. </w:t>
      </w:r>
      <w:r w:rsidRPr="003D7113">
        <w:rPr>
          <w:i/>
        </w:rPr>
        <w:t>In</w:t>
      </w:r>
      <w:r w:rsidRPr="003D7113">
        <w:t xml:space="preserve"> Remote sensing of the environment</w:t>
      </w:r>
      <w:r>
        <w:t>; An earth resource perspective</w:t>
      </w:r>
      <w:r w:rsidRPr="003D7113">
        <w:t xml:space="preserve">. Pearson Prentice Hall, Upper Saddle River, NJ. </w:t>
      </w:r>
    </w:p>
    <w:p w:rsidR="00067052" w:rsidRPr="003D7113" w:rsidRDefault="00067052" w:rsidP="00067052">
      <w:pPr>
        <w:autoSpaceDE w:val="0"/>
        <w:autoSpaceDN w:val="0"/>
        <w:adjustRightInd w:val="0"/>
        <w:spacing w:line="480" w:lineRule="auto"/>
        <w:ind w:left="720" w:hanging="720"/>
        <w:contextualSpacing/>
      </w:pPr>
      <w:r w:rsidRPr="003D7113">
        <w:t xml:space="preserve">Jiang, Y., H. Liu, and V. Cline. 2009. Correlations of leaf relative water content, canopy temperature, and spectral reflectance in perennial ryegrass under </w:t>
      </w:r>
      <w:r>
        <w:t>water deficit conditions. Hort</w:t>
      </w:r>
      <w:r w:rsidRPr="003D7113">
        <w:t>Science 44:459–462.</w:t>
      </w:r>
    </w:p>
    <w:p w:rsidR="00067052" w:rsidRDefault="00067052" w:rsidP="00067052">
      <w:pPr>
        <w:autoSpaceDE w:val="0"/>
        <w:autoSpaceDN w:val="0"/>
        <w:adjustRightInd w:val="0"/>
        <w:spacing w:line="480" w:lineRule="auto"/>
        <w:ind w:left="720" w:hanging="720"/>
        <w:contextualSpacing/>
        <w:rPr>
          <w:color w:val="222222"/>
        </w:rPr>
      </w:pPr>
      <w:r w:rsidRPr="003D7113">
        <w:rPr>
          <w:color w:val="222222"/>
        </w:rPr>
        <w:t xml:space="preserve">Karcher, D.E., and M.D. Richardson. 2003. Quantifying turfgrass color </w:t>
      </w:r>
      <w:r>
        <w:rPr>
          <w:color w:val="222222"/>
        </w:rPr>
        <w:t xml:space="preserve">using digital image analysis. </w:t>
      </w:r>
      <w:r w:rsidRPr="003D7113">
        <w:rPr>
          <w:color w:val="222222"/>
        </w:rPr>
        <w:t>Crop Sci. 43:943–95</w:t>
      </w:r>
      <w:r>
        <w:rPr>
          <w:color w:val="222222"/>
        </w:rPr>
        <w:t>.</w:t>
      </w:r>
    </w:p>
    <w:p w:rsidR="00067052" w:rsidRDefault="00067052" w:rsidP="00067052">
      <w:pPr>
        <w:autoSpaceDE w:val="0"/>
        <w:autoSpaceDN w:val="0"/>
        <w:adjustRightInd w:val="0"/>
        <w:spacing w:line="480" w:lineRule="auto"/>
        <w:ind w:left="720" w:hanging="720"/>
        <w:contextualSpacing/>
        <w:rPr>
          <w:color w:val="222222"/>
        </w:rPr>
      </w:pPr>
      <w:r w:rsidRPr="007E39AA">
        <w:rPr>
          <w:color w:val="222222"/>
        </w:rPr>
        <w:lastRenderedPageBreak/>
        <w:t>Karcher, D.E., M.D. Richardson, K. Hignight, and D. Rush. 2008.</w:t>
      </w:r>
      <w:r>
        <w:rPr>
          <w:color w:val="222222"/>
        </w:rPr>
        <w:t xml:space="preserve"> </w:t>
      </w:r>
      <w:r w:rsidRPr="007E39AA">
        <w:rPr>
          <w:color w:val="222222"/>
        </w:rPr>
        <w:t>Drought tolerance of tall fescue populations selected for high</w:t>
      </w:r>
      <w:r>
        <w:rPr>
          <w:color w:val="222222"/>
        </w:rPr>
        <w:t xml:space="preserve"> </w:t>
      </w:r>
      <w:r w:rsidRPr="007E39AA">
        <w:rPr>
          <w:color w:val="222222"/>
        </w:rPr>
        <w:t>root/shoot ratios and summer survival. Crop Sci. 48:771–777.</w:t>
      </w:r>
    </w:p>
    <w:p w:rsidR="00067052" w:rsidRPr="003D7113" w:rsidRDefault="00067052" w:rsidP="00067052">
      <w:pPr>
        <w:autoSpaceDE w:val="0"/>
        <w:autoSpaceDN w:val="0"/>
        <w:adjustRightInd w:val="0"/>
        <w:spacing w:line="480" w:lineRule="auto"/>
        <w:ind w:left="720" w:hanging="720"/>
        <w:rPr>
          <w:color w:val="222222"/>
        </w:rPr>
      </w:pPr>
      <w:r w:rsidRPr="00E87A77">
        <w:rPr>
          <w:rFonts w:eastAsia="Calibri"/>
        </w:rPr>
        <w:t xml:space="preserve">Kerns, J.P., M.D. Soika and L.P. Tredway. 2009. Preventive control of </w:t>
      </w:r>
      <w:r w:rsidRPr="00A501BC">
        <w:rPr>
          <w:rFonts w:eastAsia="Calibri"/>
          <w:i/>
        </w:rPr>
        <w:t>Pythium</w:t>
      </w:r>
      <w:r w:rsidRPr="00E87A77">
        <w:rPr>
          <w:rFonts w:eastAsia="Calibri"/>
        </w:rPr>
        <w:t xml:space="preserve"> root dysfunction in creeping bentgrass putting greens and sensitivity of </w:t>
      </w:r>
      <w:r w:rsidRPr="00A501BC">
        <w:rPr>
          <w:rFonts w:eastAsia="Calibri"/>
          <w:i/>
        </w:rPr>
        <w:t>Pythium volutum</w:t>
      </w:r>
      <w:r w:rsidRPr="00E87A77">
        <w:rPr>
          <w:rFonts w:eastAsia="Calibri"/>
        </w:rPr>
        <w:t xml:space="preserve"> to fungicides. Plant Disease 93:1275-1280. </w:t>
      </w:r>
    </w:p>
    <w:p w:rsidR="00067052" w:rsidRPr="003D7113" w:rsidRDefault="00067052" w:rsidP="00067052">
      <w:pPr>
        <w:autoSpaceDE w:val="0"/>
        <w:autoSpaceDN w:val="0"/>
        <w:adjustRightInd w:val="0"/>
        <w:spacing w:line="480" w:lineRule="auto"/>
        <w:ind w:left="720" w:hanging="720"/>
        <w:contextualSpacing/>
      </w:pPr>
      <w:r w:rsidRPr="003D7113">
        <w:t xml:space="preserve">Knipling, E.B. 1970. Physical and physiological basis for the reflectance of visible and near-infrared radiation from vegetation. Remote Sens. Environ. 1:155-159. </w:t>
      </w:r>
    </w:p>
    <w:p w:rsidR="00067052" w:rsidRDefault="00067052" w:rsidP="00067052">
      <w:pPr>
        <w:pStyle w:val="Default"/>
        <w:spacing w:line="480" w:lineRule="auto"/>
        <w:ind w:left="720" w:hanging="720"/>
        <w:contextualSpacing/>
        <w:rPr>
          <w:color w:val="auto"/>
        </w:rPr>
      </w:pPr>
      <w:r w:rsidRPr="003D7113">
        <w:rPr>
          <w:color w:val="auto"/>
        </w:rPr>
        <w:t>Köhle, H., K. Grossmann, T. Jabs, M. Gerhard, W. Kaiser, J. Glaab, U. Conrath, K. Seehaus, and S. Herms. 2002. Physiological effects of the strobilurin F500 on plants. In H.W. Dehne, U. Gisi, and K.H. Kuck (ed.) Modern fungicides and antifungal compounds III. AgroConcept, Bonn, Germany.</w:t>
      </w:r>
    </w:p>
    <w:p w:rsidR="00067052" w:rsidRDefault="00067052" w:rsidP="00067052">
      <w:pPr>
        <w:pStyle w:val="Default"/>
        <w:spacing w:line="480" w:lineRule="auto"/>
        <w:ind w:left="720" w:hanging="720"/>
        <w:contextualSpacing/>
        <w:rPr>
          <w:color w:val="auto"/>
        </w:rPr>
      </w:pPr>
      <w:r>
        <w:rPr>
          <w:color w:val="auto"/>
        </w:rPr>
        <w:t xml:space="preserve">Kramer, W., U. Schirmer, P. Jeschke, and M. Witschel. 2012. Modern crop protection compounds. Wiley-VCH Verlag, Weinheim, Germany. </w:t>
      </w:r>
    </w:p>
    <w:p w:rsidR="00471E47" w:rsidRPr="003D7113" w:rsidRDefault="00471E47" w:rsidP="00067052">
      <w:pPr>
        <w:pStyle w:val="Default"/>
        <w:spacing w:line="480" w:lineRule="auto"/>
        <w:ind w:left="720" w:hanging="720"/>
        <w:contextualSpacing/>
        <w:rPr>
          <w:color w:val="auto"/>
        </w:rPr>
      </w:pPr>
      <w:r>
        <w:rPr>
          <w:color w:val="auto"/>
        </w:rPr>
        <w:t xml:space="preserve">Landschoot, P.J., and C.F. Mancino. 2000. A comparison of visual vs. instrumental measurement of color differences in bentgrass turf. HortScience. 35:914-916. </w:t>
      </w:r>
    </w:p>
    <w:p w:rsidR="00067052" w:rsidRDefault="00067052" w:rsidP="00067052">
      <w:pPr>
        <w:pStyle w:val="Default"/>
        <w:spacing w:line="480" w:lineRule="auto"/>
        <w:ind w:left="720" w:hanging="720"/>
        <w:contextualSpacing/>
      </w:pPr>
      <w:r w:rsidRPr="003D7113">
        <w:t xml:space="preserve">Larkindale, J., </w:t>
      </w:r>
      <w:r>
        <w:t>and B. Huang.</w:t>
      </w:r>
      <w:r w:rsidRPr="003D7113">
        <w:t xml:space="preserve"> 2005. Effects of abscisic acid, salicylic acid, ethylene and hydrogen peroxide in thermotolerance and recovery for creeping ben</w:t>
      </w:r>
      <w:r>
        <w:t>tgrass. Plant Growth Regul. 47:</w:t>
      </w:r>
      <w:r w:rsidRPr="003D7113">
        <w:t>17–28.</w:t>
      </w:r>
    </w:p>
    <w:p w:rsidR="00067052" w:rsidRPr="003D7113" w:rsidRDefault="00067052" w:rsidP="00067052">
      <w:pPr>
        <w:pStyle w:val="Default"/>
        <w:spacing w:line="480" w:lineRule="auto"/>
        <w:ind w:left="720" w:hanging="720"/>
        <w:contextualSpacing/>
      </w:pPr>
      <w:r>
        <w:t xml:space="preserve">Latin, R. 2006. Residual efficacy of fungicides for control of dollar spot on creeping bentgrass. Plant Dis. 90:571-575. </w:t>
      </w:r>
    </w:p>
    <w:p w:rsidR="00067052" w:rsidRDefault="00067052" w:rsidP="00067052">
      <w:pPr>
        <w:pStyle w:val="Default"/>
        <w:spacing w:line="480" w:lineRule="auto"/>
        <w:ind w:left="720" w:hanging="720"/>
        <w:contextualSpacing/>
      </w:pPr>
      <w:r>
        <w:t>Latin, R. 2011. A practical guide to turfgrass f</w:t>
      </w:r>
      <w:r w:rsidRPr="003D7113">
        <w:t>ungic</w:t>
      </w:r>
      <w:r>
        <w:t>id</w:t>
      </w:r>
      <w:r w:rsidRPr="003D7113">
        <w:t>es. The American Phytopathological Society, St. Paul, MN.</w:t>
      </w:r>
    </w:p>
    <w:p w:rsidR="00067052" w:rsidRDefault="00067052" w:rsidP="00067052">
      <w:pPr>
        <w:pStyle w:val="Default"/>
        <w:spacing w:line="480" w:lineRule="auto"/>
        <w:ind w:left="720" w:hanging="720"/>
        <w:contextualSpacing/>
      </w:pPr>
      <w:r w:rsidRPr="003D7113">
        <w:lastRenderedPageBreak/>
        <w:t xml:space="preserve">Leshem, Y.Y., </w:t>
      </w:r>
      <w:r>
        <w:t xml:space="preserve">and Y. Pinchasov. </w:t>
      </w:r>
      <w:r w:rsidRPr="003D7113">
        <w:t>2000. Non-invasive photoacoustic spectroscopic determination of relative endogenous nitric oxide and ethylene content stoichiometry durin</w:t>
      </w:r>
      <w:r>
        <w:t>g the ripening of strawberries and avocados</w:t>
      </w:r>
      <w:r w:rsidRPr="003D7113">
        <w:t>. J. Exp. Bot.</w:t>
      </w:r>
      <w:r>
        <w:t xml:space="preserve"> 51:</w:t>
      </w:r>
      <w:r w:rsidRPr="003D7113">
        <w:t xml:space="preserve"> 1471–1473.</w:t>
      </w:r>
    </w:p>
    <w:p w:rsidR="00067052" w:rsidRDefault="00067052" w:rsidP="00067052">
      <w:pPr>
        <w:spacing w:line="480" w:lineRule="auto"/>
        <w:ind w:left="720" w:hanging="720"/>
      </w:pPr>
      <w:r w:rsidRPr="003A366F">
        <w:t>Lyman, G. T., C.S., Throssell, M.E. Johnson, G.A. Stacey, and C. D. Brown. 2007. Golf course profile describes turfgrass, landscape and environmental stewardship features. Online. Applied Turfgrass Science d</w:t>
      </w:r>
      <w:r>
        <w:t>oi:10.1094/ATS-2007-1107-01-RS.</w:t>
      </w:r>
    </w:p>
    <w:p w:rsidR="00067052" w:rsidRDefault="00067052" w:rsidP="00067052">
      <w:pPr>
        <w:spacing w:line="480" w:lineRule="auto"/>
        <w:ind w:left="720" w:hanging="720"/>
      </w:pPr>
      <w:r w:rsidRPr="00433EC3">
        <w:t xml:space="preserve">Lucas, L.T. 1996. Update on management of summer decline of bentgrass. </w:t>
      </w:r>
      <w:r w:rsidRPr="00433EC3">
        <w:rPr>
          <w:i/>
        </w:rPr>
        <w:t>66</w:t>
      </w:r>
      <w:r w:rsidRPr="00433EC3">
        <w:rPr>
          <w:i/>
          <w:vertAlign w:val="superscript"/>
        </w:rPr>
        <w:t>th</w:t>
      </w:r>
      <w:r w:rsidRPr="00433EC3">
        <w:rPr>
          <w:i/>
        </w:rPr>
        <w:t xml:space="preserve"> Annual Michigan Turfgrass Conference Proceedings</w:t>
      </w:r>
      <w:r w:rsidRPr="00433EC3">
        <w:t xml:space="preserve"> 25:111-112. </w:t>
      </w:r>
    </w:p>
    <w:p w:rsidR="00067052" w:rsidRDefault="00067052" w:rsidP="00067052">
      <w:pPr>
        <w:spacing w:line="480" w:lineRule="auto"/>
        <w:ind w:left="720" w:hanging="720"/>
        <w:contextualSpacing/>
      </w:pPr>
      <w:r>
        <w:t xml:space="preserve">Mitkowski, N.A., and M. Browning. 2004. </w:t>
      </w:r>
      <w:r>
        <w:rPr>
          <w:i/>
          <w:iCs/>
        </w:rPr>
        <w:t>Leptosphaerulina australis</w:t>
      </w:r>
      <w:r>
        <w:t xml:space="preserve"> associated with intensively managed stands of </w:t>
      </w:r>
      <w:r>
        <w:rPr>
          <w:i/>
          <w:iCs/>
        </w:rPr>
        <w:t>Poa annua</w:t>
      </w:r>
      <w:r>
        <w:t xml:space="preserve"> and </w:t>
      </w:r>
      <w:r>
        <w:rPr>
          <w:i/>
          <w:iCs/>
        </w:rPr>
        <w:t>Agrostis palustris</w:t>
      </w:r>
      <w:r>
        <w:t>. Can. J. Plant Pathol. 26:193-198.</w:t>
      </w:r>
    </w:p>
    <w:p w:rsidR="00067052" w:rsidRDefault="00067052" w:rsidP="00067052">
      <w:pPr>
        <w:spacing w:line="480" w:lineRule="auto"/>
        <w:ind w:left="720" w:hanging="720"/>
        <w:contextualSpacing/>
      </w:pPr>
      <w:r>
        <w:t xml:space="preserve">McDonald, S. J., P.H. Dernoeden, and C.A. Bigelow. 2006. Dollar spot and gray leaf spot severity as influenced by irrigation, chlorothalonil, paclobutrazol, and a wetting agent. Crop Sci. 46:2675-2684. </w:t>
      </w:r>
    </w:p>
    <w:p w:rsidR="00893A50" w:rsidRPr="00893A50" w:rsidRDefault="00893A50" w:rsidP="00893A50">
      <w:pPr>
        <w:spacing w:after="200" w:line="480" w:lineRule="auto"/>
        <w:ind w:left="720" w:hanging="720"/>
        <w:rPr>
          <w:rFonts w:eastAsia="Calibri"/>
          <w:color w:val="000000"/>
        </w:rPr>
      </w:pPr>
      <w:r>
        <w:rPr>
          <w:rFonts w:eastAsia="Calibri"/>
          <w:color w:val="000000"/>
        </w:rPr>
        <w:t>National Turfgrass Evaluation Program</w:t>
      </w:r>
      <w:r w:rsidRPr="00E87A77">
        <w:rPr>
          <w:rFonts w:eastAsia="Calibri"/>
          <w:color w:val="000000"/>
        </w:rPr>
        <w:t>. 20</w:t>
      </w:r>
      <w:r>
        <w:rPr>
          <w:rFonts w:eastAsia="Calibri"/>
          <w:color w:val="000000"/>
        </w:rPr>
        <w:t>13</w:t>
      </w:r>
      <w:r w:rsidRPr="00E87A77">
        <w:rPr>
          <w:rFonts w:eastAsia="Calibri"/>
          <w:color w:val="000000"/>
        </w:rPr>
        <w:t xml:space="preserve">. </w:t>
      </w:r>
      <w:r>
        <w:rPr>
          <w:rFonts w:eastAsia="Calibri"/>
          <w:color w:val="000000"/>
        </w:rPr>
        <w:t xml:space="preserve">NTEP turfgrass evaluation guidelines </w:t>
      </w:r>
      <w:r w:rsidRPr="00E87A77">
        <w:rPr>
          <w:rFonts w:eastAsia="Calibri"/>
          <w:color w:val="000000"/>
        </w:rPr>
        <w:t xml:space="preserve">Available at:  </w:t>
      </w:r>
      <w:r w:rsidR="00460CEE" w:rsidRPr="00460CEE">
        <w:rPr>
          <w:rFonts w:eastAsia="Calibri"/>
          <w:color w:val="000000"/>
        </w:rPr>
        <w:t>http://www.ntep.org/pdf/ratings.pdf</w:t>
      </w:r>
      <w:r w:rsidRPr="00E87A77">
        <w:rPr>
          <w:rFonts w:eastAsia="Calibri"/>
          <w:color w:val="000000"/>
        </w:rPr>
        <w:t xml:space="preserve">/ (verified </w:t>
      </w:r>
      <w:r w:rsidR="00460CEE">
        <w:rPr>
          <w:rFonts w:eastAsia="Calibri"/>
          <w:color w:val="000000"/>
        </w:rPr>
        <w:t>6</w:t>
      </w:r>
      <w:r w:rsidRPr="00E87A77">
        <w:rPr>
          <w:rFonts w:eastAsia="Calibri"/>
          <w:color w:val="000000"/>
        </w:rPr>
        <w:t xml:space="preserve"> </w:t>
      </w:r>
      <w:r w:rsidR="00460CEE">
        <w:rPr>
          <w:rFonts w:eastAsia="Calibri"/>
          <w:color w:val="000000"/>
        </w:rPr>
        <w:t>Mar</w:t>
      </w:r>
      <w:r w:rsidRPr="00E87A77">
        <w:rPr>
          <w:rFonts w:eastAsia="Calibri"/>
          <w:color w:val="000000"/>
        </w:rPr>
        <w:t>. 201</w:t>
      </w:r>
      <w:r w:rsidR="00460CEE">
        <w:rPr>
          <w:rFonts w:eastAsia="Calibri"/>
          <w:color w:val="000000"/>
        </w:rPr>
        <w:t>3</w:t>
      </w:r>
      <w:r w:rsidRPr="00E87A77">
        <w:rPr>
          <w:rFonts w:eastAsia="Calibri"/>
          <w:color w:val="000000"/>
        </w:rPr>
        <w:t xml:space="preserve">). </w:t>
      </w:r>
      <w:r w:rsidR="00460CEE">
        <w:rPr>
          <w:rFonts w:eastAsia="Calibri"/>
          <w:color w:val="000000"/>
        </w:rPr>
        <w:t>National Turfgrass Evaluation Program, Beltsville, MD.</w:t>
      </w:r>
    </w:p>
    <w:p w:rsidR="00067052" w:rsidRDefault="00067052" w:rsidP="00067052">
      <w:pPr>
        <w:spacing w:line="480" w:lineRule="auto"/>
        <w:ind w:left="720" w:hanging="720"/>
        <w:contextualSpacing/>
      </w:pPr>
      <w:r w:rsidRPr="003D7113">
        <w:t xml:space="preserve">North, H.F.A., and T.E. Odland. 1934. Putting green grasses and their management. </w:t>
      </w:r>
      <w:r w:rsidRPr="00620340">
        <w:rPr>
          <w:i/>
        </w:rPr>
        <w:t>In</w:t>
      </w:r>
      <w:r w:rsidRPr="003D7113">
        <w:t xml:space="preserve"> Rhode Island Agricultural Experimental Station Bulletin. </w:t>
      </w:r>
    </w:p>
    <w:p w:rsidR="00067052" w:rsidRDefault="00067052" w:rsidP="00067052">
      <w:pPr>
        <w:spacing w:line="480" w:lineRule="auto"/>
        <w:ind w:left="720" w:hanging="720"/>
        <w:contextualSpacing/>
      </w:pPr>
      <w:r w:rsidRPr="003D7113">
        <w:lastRenderedPageBreak/>
        <w:t xml:space="preserve">Orendi G., </w:t>
      </w:r>
      <w:r>
        <w:t>P. Zimmermann</w:t>
      </w:r>
      <w:r w:rsidRPr="003D7113">
        <w:t xml:space="preserve">, </w:t>
      </w:r>
      <w:r>
        <w:t>C. Baar, and U. Zentgraf. 2001.</w:t>
      </w:r>
      <w:r w:rsidRPr="003D7113">
        <w:t xml:space="preserve"> Loss of stress</w:t>
      </w:r>
      <w:r>
        <w:t>-induced expression of catalase</w:t>
      </w:r>
      <w:r w:rsidRPr="003D7113">
        <w:t xml:space="preserve"> during leaf senescence in </w:t>
      </w:r>
      <w:r w:rsidRPr="00620340">
        <w:rPr>
          <w:i/>
        </w:rPr>
        <w:t>Arabidopsis thaliana</w:t>
      </w:r>
      <w:r w:rsidRPr="003D7113">
        <w:t xml:space="preserve"> is restricted to oxidative stress. Plant Science</w:t>
      </w:r>
      <w:r>
        <w:t>. 161:</w:t>
      </w:r>
      <w:r w:rsidRPr="003D7113">
        <w:t xml:space="preserve"> 301–314.</w:t>
      </w:r>
    </w:p>
    <w:p w:rsidR="00067052" w:rsidRPr="003D7113" w:rsidRDefault="00067052" w:rsidP="00067052">
      <w:pPr>
        <w:spacing w:line="480" w:lineRule="auto"/>
        <w:ind w:left="720" w:hanging="720"/>
        <w:contextualSpacing/>
      </w:pPr>
      <w:r w:rsidRPr="007E39AA">
        <w:t>Patton, A.J., and Z.J. Reicher. 2007. Zoysiagrass species and genotypes</w:t>
      </w:r>
      <w:r>
        <w:t xml:space="preserve"> diff</w:t>
      </w:r>
      <w:r w:rsidRPr="007E39AA">
        <w:t>er in their winter injury and freeze tolerance. Crop</w:t>
      </w:r>
      <w:r>
        <w:t xml:space="preserve"> </w:t>
      </w:r>
      <w:r w:rsidRPr="007E39AA">
        <w:t>Sci. 47:1619–1627.</w:t>
      </w:r>
    </w:p>
    <w:p w:rsidR="00067052" w:rsidRPr="003D7113" w:rsidRDefault="00067052" w:rsidP="00067052">
      <w:pPr>
        <w:autoSpaceDE w:val="0"/>
        <w:autoSpaceDN w:val="0"/>
        <w:adjustRightInd w:val="0"/>
        <w:spacing w:line="480" w:lineRule="auto"/>
        <w:ind w:left="720" w:hanging="720"/>
        <w:contextualSpacing/>
      </w:pPr>
      <w:r w:rsidRPr="003D7113">
        <w:t xml:space="preserve">Penuelas, J., I. Filella, C. Biel, L. Serrano, and R. Save. 1993. The reflectance at the 950-970 nm region is an indicator of plant water stress. Int. J. Remote Sens. 14:1887-1995. </w:t>
      </w:r>
    </w:p>
    <w:p w:rsidR="00067052" w:rsidRPr="003D7113" w:rsidRDefault="00067052" w:rsidP="00067052">
      <w:pPr>
        <w:autoSpaceDE w:val="0"/>
        <w:autoSpaceDN w:val="0"/>
        <w:adjustRightInd w:val="0"/>
        <w:spacing w:line="480" w:lineRule="auto"/>
        <w:ind w:left="720" w:hanging="720"/>
        <w:contextualSpacing/>
      </w:pPr>
      <w:r w:rsidRPr="003D7113">
        <w:t>Purcell, L.C. 2000. Soybean canopy coverage and light interception measurement using digital imagery. Crop Sci. 40:834-837</w:t>
      </w:r>
    </w:p>
    <w:p w:rsidR="00067052" w:rsidRDefault="00067052" w:rsidP="00067052">
      <w:pPr>
        <w:autoSpaceDE w:val="0"/>
        <w:autoSpaceDN w:val="0"/>
        <w:adjustRightInd w:val="0"/>
        <w:spacing w:line="480" w:lineRule="auto"/>
        <w:ind w:left="720" w:hanging="720"/>
        <w:contextualSpacing/>
      </w:pPr>
      <w:r>
        <w:t>Purvis, A. C. 1997.</w:t>
      </w:r>
      <w:r w:rsidRPr="003D7113">
        <w:t xml:space="preserve"> Role of the alternative oxidase in limiting superoxide production by plant mitochondria. Physiologia Plantarum, 100: 165–170. </w:t>
      </w:r>
    </w:p>
    <w:p w:rsidR="00067052" w:rsidRDefault="00067052" w:rsidP="00067052">
      <w:pPr>
        <w:autoSpaceDE w:val="0"/>
        <w:autoSpaceDN w:val="0"/>
        <w:adjustRightInd w:val="0"/>
        <w:spacing w:line="480" w:lineRule="auto"/>
        <w:ind w:left="720" w:hanging="720"/>
        <w:contextualSpacing/>
      </w:pPr>
      <w:r w:rsidRPr="003D7113">
        <w:t>Richardson, M.D., D.E. Karcher, and L.C. Purcell. 2001. Quantifying turfgrass cover using digital image analysis. Crop Sci. 41:1884–1888.</w:t>
      </w:r>
    </w:p>
    <w:p w:rsidR="00067052" w:rsidRDefault="00067052" w:rsidP="00067052">
      <w:pPr>
        <w:autoSpaceDE w:val="0"/>
        <w:autoSpaceDN w:val="0"/>
        <w:adjustRightInd w:val="0"/>
        <w:spacing w:line="480" w:lineRule="auto"/>
        <w:ind w:left="720" w:hanging="720"/>
        <w:contextualSpacing/>
      </w:pPr>
      <w:r w:rsidRPr="007E39AA">
        <w:t>Richardson, M.D., D.E. Karcher, K. Hignight, and D. Rush.</w:t>
      </w:r>
      <w:r>
        <w:t xml:space="preserve"> </w:t>
      </w:r>
      <w:r w:rsidRPr="007E39AA">
        <w:t>2008. Drought tolerance and rooting capacity of Kentucky</w:t>
      </w:r>
      <w:r>
        <w:t xml:space="preserve"> </w:t>
      </w:r>
      <w:r w:rsidRPr="007E39AA">
        <w:t>bluegrass cultivars. Crop Sci. 48:2429–2436.</w:t>
      </w:r>
    </w:p>
    <w:p w:rsidR="00067052" w:rsidRDefault="00067052" w:rsidP="00067052">
      <w:pPr>
        <w:pStyle w:val="Default"/>
        <w:spacing w:line="480" w:lineRule="auto"/>
        <w:ind w:left="720" w:hanging="720"/>
        <w:contextualSpacing/>
      </w:pPr>
      <w:r w:rsidRPr="003D7113">
        <w:t>Singsaas</w:t>
      </w:r>
      <w:r>
        <w:t>,</w:t>
      </w:r>
      <w:r w:rsidRPr="003D7113">
        <w:t xml:space="preserve"> E</w:t>
      </w:r>
      <w:r>
        <w:t>.L., and T.D. Sharkey TD. 1998.</w:t>
      </w:r>
      <w:r w:rsidRPr="003D7113">
        <w:t xml:space="preserve"> The regulation of isoprene emission responses to rapid leaf temperature fluctuations. Plant Cell Environ</w:t>
      </w:r>
      <w:r>
        <w:t>. 21: 1181-</w:t>
      </w:r>
      <w:r w:rsidRPr="003D7113">
        <w:t xml:space="preserve">1188. </w:t>
      </w:r>
    </w:p>
    <w:p w:rsidR="00067052" w:rsidRDefault="00067052" w:rsidP="00067052">
      <w:pPr>
        <w:pStyle w:val="Default"/>
        <w:spacing w:line="480" w:lineRule="auto"/>
        <w:ind w:left="720" w:hanging="720"/>
        <w:contextualSpacing/>
      </w:pPr>
      <w:r>
        <w:t xml:space="preserve">Smiley, R.W., P.H. Dernoeden, and B.B. Clarke. 1992. Compendium of turfgrass diseases. The American Phytopathological Society, St. Paul, MN. </w:t>
      </w:r>
    </w:p>
    <w:p w:rsidR="00067052" w:rsidRDefault="00067052" w:rsidP="00067052">
      <w:pPr>
        <w:autoSpaceDE w:val="0"/>
        <w:autoSpaceDN w:val="0"/>
        <w:adjustRightInd w:val="0"/>
        <w:spacing w:line="480" w:lineRule="auto"/>
        <w:ind w:left="720" w:hanging="720"/>
        <w:rPr>
          <w:rFonts w:eastAsia="Calibri"/>
        </w:rPr>
      </w:pPr>
      <w:r w:rsidRPr="00E87A77">
        <w:rPr>
          <w:rFonts w:eastAsia="Calibri"/>
        </w:rPr>
        <w:lastRenderedPageBreak/>
        <w:t>Soika, M.</w:t>
      </w:r>
      <w:r>
        <w:rPr>
          <w:rFonts w:eastAsia="Calibri"/>
        </w:rPr>
        <w:t>,</w:t>
      </w:r>
      <w:r w:rsidRPr="00E87A77">
        <w:rPr>
          <w:rFonts w:eastAsia="Calibri"/>
        </w:rPr>
        <w:t xml:space="preserve"> and </w:t>
      </w:r>
      <w:r>
        <w:rPr>
          <w:rFonts w:eastAsia="Calibri"/>
        </w:rPr>
        <w:t xml:space="preserve">L.P. Tredway. </w:t>
      </w:r>
      <w:r w:rsidRPr="00E87A77">
        <w:rPr>
          <w:rFonts w:eastAsia="Calibri"/>
        </w:rPr>
        <w:t>2010. Control of brown patch with fungicides on a creeping bentgrass putting green in Jackson Springs, NC, 2009. Plant Disease Management Reports 4:T024. Online publication Doi:10.1094/PDMR04.</w:t>
      </w:r>
    </w:p>
    <w:p w:rsidR="00067052" w:rsidRPr="00977081" w:rsidRDefault="00067052" w:rsidP="00067052">
      <w:pPr>
        <w:autoSpaceDE w:val="0"/>
        <w:autoSpaceDN w:val="0"/>
        <w:adjustRightInd w:val="0"/>
        <w:spacing w:line="480" w:lineRule="auto"/>
        <w:ind w:left="720" w:hanging="720"/>
        <w:rPr>
          <w:rFonts w:eastAsia="Calibri"/>
        </w:rPr>
      </w:pPr>
      <w:r>
        <w:rPr>
          <w:rFonts w:eastAsia="Calibri"/>
        </w:rPr>
        <w:t xml:space="preserve">Stierl, R., E. Ammermann, G. Lorenz, and K. Schelberger. 2002. </w:t>
      </w:r>
      <w:r w:rsidRPr="00334DE7">
        <w:rPr>
          <w:rFonts w:eastAsia="Calibri"/>
          <w:i/>
        </w:rPr>
        <w:t>In</w:t>
      </w:r>
      <w:r>
        <w:rPr>
          <w:rFonts w:eastAsia="Calibri"/>
          <w:i/>
        </w:rPr>
        <w:t xml:space="preserve"> </w:t>
      </w:r>
      <w:r>
        <w:rPr>
          <w:rFonts w:eastAsia="Calibri"/>
        </w:rPr>
        <w:t>Moden fungicide and antifungal compounds III, Proceeedings 13</w:t>
      </w:r>
      <w:r w:rsidRPr="00334DE7">
        <w:rPr>
          <w:rFonts w:eastAsia="Calibri"/>
          <w:vertAlign w:val="superscript"/>
        </w:rPr>
        <w:t>th</w:t>
      </w:r>
      <w:r>
        <w:rPr>
          <w:rFonts w:eastAsia="Calibri"/>
        </w:rPr>
        <w:t xml:space="preserve"> internal reinhardsbrunn symposium. AgroConcept, Bonn. 49-59. </w:t>
      </w:r>
    </w:p>
    <w:p w:rsidR="00067052" w:rsidRPr="003D7113" w:rsidRDefault="00067052" w:rsidP="00067052">
      <w:pPr>
        <w:pStyle w:val="Default"/>
        <w:spacing w:line="480" w:lineRule="auto"/>
        <w:ind w:left="720" w:hanging="720"/>
        <w:contextualSpacing/>
      </w:pPr>
      <w:r w:rsidRPr="003D7113">
        <w:t xml:space="preserve">Taiz, L., and </w:t>
      </w:r>
      <w:r>
        <w:t>E. Zeiger. 1998.</w:t>
      </w:r>
      <w:r w:rsidRPr="003D7113">
        <w:t xml:space="preserve"> Plant Physiology. Sinauer Associates Publishers, Sunderland, MA</w:t>
      </w:r>
      <w:r>
        <w:t>.</w:t>
      </w:r>
    </w:p>
    <w:p w:rsidR="00067052" w:rsidRPr="003D7113" w:rsidRDefault="00067052" w:rsidP="00067052">
      <w:pPr>
        <w:pStyle w:val="Default"/>
        <w:spacing w:line="480" w:lineRule="auto"/>
        <w:ind w:left="720" w:hanging="720"/>
        <w:contextualSpacing/>
      </w:pPr>
      <w:r w:rsidRPr="003D7113">
        <w:t>Trenholm, L.E. 1999. Relationship of multispectral radiometry data to qualitative data in turfgrass research.</w:t>
      </w:r>
      <w:r>
        <w:t xml:space="preserve"> </w:t>
      </w:r>
      <w:r w:rsidRPr="003D7113">
        <w:t>Crop Sci. 39:763–769</w:t>
      </w:r>
    </w:p>
    <w:p w:rsidR="00067052" w:rsidRDefault="00067052" w:rsidP="00067052">
      <w:pPr>
        <w:pStyle w:val="Default"/>
        <w:spacing w:line="480" w:lineRule="auto"/>
        <w:ind w:left="720" w:hanging="720"/>
        <w:contextualSpacing/>
      </w:pPr>
      <w:r w:rsidRPr="003D7113">
        <w:t>Turgeon, A.J. T</w:t>
      </w:r>
      <w:r>
        <w:t>urfgrass Management. 1999. Pre</w:t>
      </w:r>
      <w:r w:rsidRPr="003D7113">
        <w:t xml:space="preserve">ntice Hall, Englewood Cliffs, NJ. </w:t>
      </w:r>
    </w:p>
    <w:p w:rsidR="00067052" w:rsidRDefault="00067052" w:rsidP="00067052">
      <w:pPr>
        <w:pStyle w:val="Default"/>
        <w:spacing w:line="480" w:lineRule="auto"/>
        <w:ind w:left="720" w:hanging="720"/>
        <w:contextualSpacing/>
        <w:rPr>
          <w:rFonts w:eastAsia="Calibri"/>
        </w:rPr>
      </w:pPr>
      <w:r w:rsidRPr="00E87A77">
        <w:rPr>
          <w:rFonts w:eastAsia="Calibri"/>
        </w:rPr>
        <w:t>Uddin, W., J.J. Benelli, B. Aynardi, and M. Hussain. 2010. Fungicidal control of brown patch in colonial bentgrass fairway, 2009. Plant Disease Management Reports 4:T052. Online publication Doi:10.1094/PDMR04.</w:t>
      </w:r>
    </w:p>
    <w:p w:rsidR="00067052" w:rsidRDefault="00067052" w:rsidP="00067052">
      <w:pPr>
        <w:pStyle w:val="Default"/>
        <w:spacing w:line="480" w:lineRule="auto"/>
        <w:ind w:left="720" w:hanging="720"/>
        <w:contextualSpacing/>
        <w:rPr>
          <w:rFonts w:eastAsia="Calibri"/>
        </w:rPr>
      </w:pPr>
      <w:r>
        <w:rPr>
          <w:rFonts w:eastAsia="Calibri"/>
        </w:rPr>
        <w:t>Vincelli, P., E.Dixon, and D. Williams. 2001. Efficacy of fungicides for control of brown patch of creeping bentgrass, 2000. Fungicide and Nematicide Tests 56:T25.</w:t>
      </w:r>
    </w:p>
    <w:p w:rsidR="00067052" w:rsidRDefault="00067052" w:rsidP="00067052">
      <w:pPr>
        <w:pStyle w:val="Default"/>
        <w:spacing w:line="480" w:lineRule="auto"/>
        <w:ind w:left="720" w:hanging="720"/>
        <w:contextualSpacing/>
      </w:pPr>
      <w:r w:rsidRPr="003D7113">
        <w:t>Wagner, A. M.</w:t>
      </w:r>
      <w:r>
        <w:t>,</w:t>
      </w:r>
      <w:r w:rsidRPr="003D7113">
        <w:t xml:space="preserve"> and </w:t>
      </w:r>
      <w:r>
        <w:t>K. Krab. 1995.</w:t>
      </w:r>
      <w:r w:rsidRPr="003D7113">
        <w:t xml:space="preserve"> The alternative </w:t>
      </w:r>
      <w:r>
        <w:t>respiration pathway in plants: r</w:t>
      </w:r>
      <w:r w:rsidRPr="003D7113">
        <w:t>ole and regulation. Physiologia Plantarum, 95: 318–325. doi: 10.1111/j.1399-3054.1995.tb00844.x</w:t>
      </w:r>
    </w:p>
    <w:p w:rsidR="00067052" w:rsidRDefault="00067052" w:rsidP="00067052">
      <w:pPr>
        <w:pStyle w:val="Default"/>
        <w:spacing w:line="480" w:lineRule="auto"/>
        <w:ind w:left="720" w:hanging="720"/>
        <w:contextualSpacing/>
      </w:pPr>
      <w:r w:rsidRPr="003D7113">
        <w:t>Wahid A</w:t>
      </w:r>
      <w:r>
        <w:t>.</w:t>
      </w:r>
      <w:r w:rsidRPr="003D7113">
        <w:t xml:space="preserve">, </w:t>
      </w:r>
      <w:r>
        <w:t xml:space="preserve">S. </w:t>
      </w:r>
      <w:r w:rsidRPr="003D7113">
        <w:t>Gelan</w:t>
      </w:r>
      <w:r>
        <w:t>i</w:t>
      </w:r>
      <w:r w:rsidRPr="003D7113">
        <w:t xml:space="preserve">, </w:t>
      </w:r>
      <w:r>
        <w:t>M. Ashraf</w:t>
      </w:r>
      <w:r w:rsidRPr="003D7113">
        <w:t xml:space="preserve">, </w:t>
      </w:r>
      <w:r>
        <w:t>and M.R. Foolad. 2007.</w:t>
      </w:r>
      <w:r w:rsidRPr="003D7113">
        <w:t xml:space="preserve"> Heat tolerance in plants: an overview. Environ</w:t>
      </w:r>
      <w:r>
        <w:t>.</w:t>
      </w:r>
      <w:r w:rsidRPr="003D7113">
        <w:t xml:space="preserve"> Exp</w:t>
      </w:r>
      <w:r>
        <w:t>.</w:t>
      </w:r>
      <w:r w:rsidRPr="003D7113">
        <w:t xml:space="preserve"> Bot</w:t>
      </w:r>
      <w:r>
        <w:t>.</w:t>
      </w:r>
      <w:r w:rsidRPr="003D7113">
        <w:t xml:space="preserve"> 61: 199–223.</w:t>
      </w:r>
    </w:p>
    <w:p w:rsidR="008B03CB" w:rsidRDefault="00067052" w:rsidP="00067052">
      <w:pPr>
        <w:pStyle w:val="Default"/>
        <w:spacing w:line="480" w:lineRule="auto"/>
        <w:ind w:left="720" w:hanging="720"/>
        <w:contextualSpacing/>
      </w:pPr>
      <w:r w:rsidRPr="003D7113">
        <w:lastRenderedPageBreak/>
        <w:t xml:space="preserve">Wang, D., </w:t>
      </w:r>
      <w:r>
        <w:t xml:space="preserve">and D.S. Luthe. </w:t>
      </w:r>
      <w:r w:rsidRPr="003D7113">
        <w:t>2003. Heat sensitivity in a bentgrass variant: failure to accumulate a chloroplast heat shock protein isoform implicated in heat tole</w:t>
      </w:r>
      <w:r>
        <w:t>rance. Plant Physiol. 133:</w:t>
      </w:r>
      <w:r w:rsidRPr="003D7113">
        <w:t>319–327.</w:t>
      </w:r>
    </w:p>
    <w:p w:rsidR="008B03CB" w:rsidRDefault="008B03CB" w:rsidP="00067052">
      <w:pPr>
        <w:pStyle w:val="Default"/>
        <w:spacing w:line="480" w:lineRule="auto"/>
        <w:ind w:left="720" w:hanging="720"/>
        <w:contextualSpacing/>
      </w:pPr>
      <w:r>
        <w:t xml:space="preserve">Watson, J., F. Hebert, E.M. Lyons, T. Blom, and K.S. Jordan. 2012. Velvet bentgrass and creeping bentgrass growth, rooting, and quality with different root zone media and fertility regimes. HortScience 47:205-211. </w:t>
      </w:r>
    </w:p>
    <w:p w:rsidR="00067052" w:rsidRDefault="00067052" w:rsidP="00067052">
      <w:pPr>
        <w:pStyle w:val="Default"/>
        <w:spacing w:line="480" w:lineRule="auto"/>
        <w:ind w:left="720" w:hanging="720"/>
        <w:contextualSpacing/>
      </w:pPr>
      <w:r w:rsidRPr="003D7113">
        <w:t xml:space="preserve">Wiegand, C. L., and </w:t>
      </w:r>
      <w:r>
        <w:t>A.J. Richardson. 1984.</w:t>
      </w:r>
      <w:r w:rsidRPr="003D7113">
        <w:t xml:space="preserve"> Leaf area, light interception and yield estimates from spectral components analysis, Agron. J. 76:543-548.</w:t>
      </w:r>
    </w:p>
    <w:p w:rsidR="00067052" w:rsidRPr="00C53AED" w:rsidRDefault="00067052" w:rsidP="00067052">
      <w:pPr>
        <w:autoSpaceDE w:val="0"/>
        <w:autoSpaceDN w:val="0"/>
        <w:adjustRightInd w:val="0"/>
        <w:spacing w:line="480" w:lineRule="auto"/>
        <w:ind w:left="720" w:hanging="720"/>
        <w:rPr>
          <w:rFonts w:eastAsia="Calibri"/>
          <w:color w:val="000000"/>
        </w:rPr>
      </w:pPr>
      <w:r w:rsidRPr="008A4237">
        <w:rPr>
          <w:rFonts w:eastAsia="Calibri"/>
          <w:color w:val="000000"/>
        </w:rPr>
        <w:t>Wong, F.P., S.L. Midland, and</w:t>
      </w:r>
      <w:r>
        <w:rPr>
          <w:rFonts w:eastAsia="Calibri"/>
          <w:color w:val="000000"/>
        </w:rPr>
        <w:t xml:space="preserve"> K.A. d</w:t>
      </w:r>
      <w:r w:rsidRPr="00E87A77">
        <w:rPr>
          <w:rFonts w:eastAsia="Calibri"/>
          <w:color w:val="000000"/>
        </w:rPr>
        <w:t>e la Cerda. 2006. Occurrence and distribut</w:t>
      </w:r>
      <w:r>
        <w:rPr>
          <w:rFonts w:eastAsia="Calibri"/>
          <w:color w:val="000000"/>
        </w:rPr>
        <w:t>ion of Q</w:t>
      </w:r>
      <w:r w:rsidRPr="00E87A77">
        <w:rPr>
          <w:rFonts w:eastAsia="Calibri"/>
          <w:color w:val="000000"/>
        </w:rPr>
        <w:t xml:space="preserve">oI-resistant isolates of </w:t>
      </w:r>
      <w:r w:rsidRPr="00E87A77">
        <w:rPr>
          <w:rFonts w:eastAsia="Calibri"/>
          <w:i/>
          <w:color w:val="000000"/>
        </w:rPr>
        <w:t>Colletotricum cereale</w:t>
      </w:r>
      <w:r w:rsidRPr="00E87A77">
        <w:rPr>
          <w:rFonts w:eastAsia="Calibri"/>
          <w:color w:val="000000"/>
        </w:rPr>
        <w:t xml:space="preserve"> from annual bluegrass in California. Plant Dis. 91:1536-1546. </w:t>
      </w:r>
    </w:p>
    <w:p w:rsidR="00067052" w:rsidRDefault="00067052" w:rsidP="00067052">
      <w:pPr>
        <w:pStyle w:val="Default"/>
        <w:spacing w:line="480" w:lineRule="auto"/>
        <w:ind w:left="720" w:hanging="720"/>
        <w:contextualSpacing/>
      </w:pPr>
      <w:r w:rsidRPr="003D7113">
        <w:t>Wu</w:t>
      </w:r>
      <w:r>
        <w:t>, Y.X.,</w:t>
      </w:r>
      <w:r w:rsidRPr="003D7113">
        <w:t xml:space="preserve"> and</w:t>
      </w:r>
      <w:r>
        <w:t xml:space="preserve"> A.V. </w:t>
      </w:r>
      <w:r w:rsidRPr="003D7113">
        <w:t>Tiedemann</w:t>
      </w:r>
      <w:r>
        <w:t>. 2001.</w:t>
      </w:r>
      <w:r w:rsidRPr="003D7113">
        <w:t xml:space="preserve"> </w:t>
      </w:r>
      <w:r>
        <w:t xml:space="preserve">Physiological effects of azoxystrobin and epoxiconazole on senescence and the oxidative status of wheat. </w:t>
      </w:r>
      <w:r w:rsidRPr="003D7113">
        <w:t>Pesticide Biochemistry and Physiology</w:t>
      </w:r>
      <w:r>
        <w:t>. 71:1–10.</w:t>
      </w:r>
    </w:p>
    <w:p w:rsidR="00827703" w:rsidRDefault="00827703" w:rsidP="00827703">
      <w:pPr>
        <w:pStyle w:val="Default"/>
        <w:spacing w:line="480" w:lineRule="auto"/>
        <w:ind w:left="720" w:hanging="720"/>
        <w:contextualSpacing/>
      </w:pPr>
      <w:r>
        <w:t xml:space="preserve">Xu, Q., and B. Huang. 2000. Growth and physiological response of creeping bentgrass to changes in air and soil temperature. Crop Sci. 40:1363-1368. </w:t>
      </w:r>
    </w:p>
    <w:p w:rsidR="00827703" w:rsidRDefault="00827703" w:rsidP="003B7820">
      <w:pPr>
        <w:pStyle w:val="Default"/>
        <w:spacing w:line="480" w:lineRule="auto"/>
        <w:ind w:left="720" w:hanging="720"/>
        <w:contextualSpacing/>
      </w:pPr>
      <w:r>
        <w:rPr>
          <w:rFonts w:ascii="TimesNewRomanPSMT" w:hAnsi="TimesNewRomanPSMT" w:cs="TimesNewRomanPSMT"/>
        </w:rPr>
        <w:t xml:space="preserve">Xu, Q., and B. Huang. 2001. Morphological and physiological characteristics associated with heat tolerance in creeping bentgrass. </w:t>
      </w:r>
      <w:r>
        <w:rPr>
          <w:iCs/>
        </w:rPr>
        <w:t>Crop Sci.</w:t>
      </w:r>
      <w:r w:rsidRPr="00C53AED">
        <w:rPr>
          <w:i/>
          <w:iCs/>
        </w:rPr>
        <w:t xml:space="preserve"> </w:t>
      </w:r>
      <w:r>
        <w:rPr>
          <w:iCs/>
        </w:rPr>
        <w:t>41:</w:t>
      </w:r>
      <w:r w:rsidRPr="00C53AED">
        <w:t xml:space="preserve"> 127-133.</w:t>
      </w:r>
    </w:p>
    <w:p w:rsidR="00067052" w:rsidRDefault="00067052" w:rsidP="00067052">
      <w:pPr>
        <w:pStyle w:val="Default"/>
        <w:spacing w:line="480" w:lineRule="auto"/>
        <w:ind w:left="720" w:hanging="720"/>
        <w:contextualSpacing/>
      </w:pPr>
      <w:r w:rsidRPr="003D7113">
        <w:t>Yamasaki</w:t>
      </w:r>
      <w:r>
        <w:t>,</w:t>
      </w:r>
      <w:r w:rsidRPr="003D7113">
        <w:t xml:space="preserve"> H</w:t>
      </w:r>
      <w:r>
        <w:t>.</w:t>
      </w:r>
      <w:r w:rsidRPr="003D7113">
        <w:t xml:space="preserve">, </w:t>
      </w:r>
      <w:r>
        <w:t>Y. Sakihama</w:t>
      </w:r>
      <w:r w:rsidRPr="003D7113">
        <w:t>,</w:t>
      </w:r>
      <w:r>
        <w:t xml:space="preserve"> and S. Takahashi. </w:t>
      </w:r>
      <w:r w:rsidRPr="003D7113">
        <w:t>1999. An alternative pathway for nitric oxide production in plants: new features of an old enzyme. Trends in Plant Sciences 4: 128–129.</w:t>
      </w:r>
    </w:p>
    <w:p w:rsidR="00067052" w:rsidRPr="003D7113" w:rsidRDefault="00067052" w:rsidP="00067052">
      <w:pPr>
        <w:pStyle w:val="Default"/>
        <w:spacing w:line="480" w:lineRule="auto"/>
        <w:ind w:left="720" w:hanging="720"/>
        <w:contextualSpacing/>
      </w:pPr>
      <w:r>
        <w:t>Zhang, L.</w:t>
      </w:r>
      <w:r w:rsidRPr="003D7113">
        <w:t xml:space="preserve">T., </w:t>
      </w:r>
      <w:r>
        <w:t>S.Z. Zhang, H.Y. Gao, Z.C. Xue, C. Yang, X.L. Meng, and Q.W. Meng. 2011.</w:t>
      </w:r>
      <w:r w:rsidRPr="003D7113">
        <w:t xml:space="preserve"> Mitochondrial alternative oxidase pathway protects plants against </w:t>
      </w:r>
      <w:r w:rsidRPr="003D7113">
        <w:lastRenderedPageBreak/>
        <w:t xml:space="preserve">photoinhibition by alleviating inhibition of the repair of photodamaged PSII through preventing formation of reactive oxygen species in </w:t>
      </w:r>
      <w:r w:rsidRPr="003D7113">
        <w:rPr>
          <w:i/>
          <w:iCs/>
        </w:rPr>
        <w:t>Rumex</w:t>
      </w:r>
      <w:r w:rsidRPr="003D7113">
        <w:t xml:space="preserve"> K-1 leaves. Physiolo</w:t>
      </w:r>
      <w:r>
        <w:t xml:space="preserve">gia Plantarum. 143: 396–407. </w:t>
      </w:r>
    </w:p>
    <w:p w:rsidR="00067052" w:rsidRDefault="00067052" w:rsidP="00067052">
      <w:pPr>
        <w:spacing w:after="200" w:line="276" w:lineRule="auto"/>
        <w:rPr>
          <w:rFonts w:eastAsia="Calibri"/>
        </w:rPr>
      </w:pPr>
    </w:p>
    <w:p w:rsidR="00067052" w:rsidRDefault="00067052" w:rsidP="00067052">
      <w:pPr>
        <w:spacing w:after="200" w:line="276" w:lineRule="auto"/>
        <w:jc w:val="center"/>
        <w:rPr>
          <w:rFonts w:eastAsia="Calibri"/>
        </w:rPr>
      </w:pPr>
    </w:p>
    <w:p w:rsidR="00067052" w:rsidRDefault="00067052" w:rsidP="00067052">
      <w:pPr>
        <w:spacing w:after="200" w:line="276" w:lineRule="auto"/>
        <w:jc w:val="center"/>
        <w:rPr>
          <w:rFonts w:eastAsia="Calibri"/>
        </w:rPr>
      </w:pPr>
    </w:p>
    <w:p w:rsidR="00067052" w:rsidRDefault="00067052" w:rsidP="00067052">
      <w:pPr>
        <w:spacing w:after="200" w:line="276" w:lineRule="auto"/>
        <w:jc w:val="center"/>
        <w:rPr>
          <w:rFonts w:eastAsia="Calibri"/>
        </w:rPr>
      </w:pPr>
    </w:p>
    <w:p w:rsidR="00067052" w:rsidRDefault="00067052"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E27DC7" w:rsidRDefault="00E27DC7" w:rsidP="00067052">
      <w:pPr>
        <w:spacing w:after="200" w:line="276" w:lineRule="auto"/>
        <w:jc w:val="center"/>
        <w:rPr>
          <w:rFonts w:eastAsia="Calibri"/>
        </w:rPr>
      </w:pPr>
    </w:p>
    <w:p w:rsidR="00C55BEE" w:rsidRDefault="00C55BEE" w:rsidP="00067052">
      <w:pPr>
        <w:autoSpaceDE w:val="0"/>
        <w:autoSpaceDN w:val="0"/>
        <w:adjustRightInd w:val="0"/>
        <w:jc w:val="center"/>
        <w:rPr>
          <w:b/>
          <w:bCs/>
          <w:sz w:val="32"/>
          <w:szCs w:val="32"/>
        </w:rPr>
      </w:pPr>
    </w:p>
    <w:p w:rsidR="00C55BEE" w:rsidRDefault="00C55BEE" w:rsidP="00067052">
      <w:pPr>
        <w:autoSpaceDE w:val="0"/>
        <w:autoSpaceDN w:val="0"/>
        <w:adjustRightInd w:val="0"/>
        <w:jc w:val="center"/>
        <w:rPr>
          <w:b/>
          <w:bCs/>
          <w:sz w:val="32"/>
          <w:szCs w:val="32"/>
        </w:rPr>
      </w:pPr>
    </w:p>
    <w:p w:rsidR="00C55BEE" w:rsidRDefault="00C55BEE" w:rsidP="00067052">
      <w:pPr>
        <w:autoSpaceDE w:val="0"/>
        <w:autoSpaceDN w:val="0"/>
        <w:adjustRightInd w:val="0"/>
        <w:jc w:val="center"/>
        <w:rPr>
          <w:b/>
          <w:bCs/>
          <w:sz w:val="32"/>
          <w:szCs w:val="32"/>
        </w:rPr>
      </w:pPr>
    </w:p>
    <w:p w:rsidR="00067052" w:rsidRPr="009B2EE6" w:rsidRDefault="00067052" w:rsidP="00EB30A2">
      <w:pPr>
        <w:pStyle w:val="Heading1"/>
      </w:pPr>
      <w:bookmarkStart w:id="35" w:name="_Toc353890881"/>
      <w:bookmarkStart w:id="36" w:name="_Toc353892622"/>
      <w:r w:rsidRPr="009B2EE6">
        <w:t>CHAPTER II</w:t>
      </w:r>
      <w:bookmarkEnd w:id="35"/>
      <w:bookmarkEnd w:id="36"/>
    </w:p>
    <w:p w:rsidR="00067052" w:rsidRPr="009B2EE6" w:rsidRDefault="00067052" w:rsidP="00EB30A2">
      <w:pPr>
        <w:pStyle w:val="Heading1"/>
      </w:pPr>
    </w:p>
    <w:p w:rsidR="00EB30A2" w:rsidRDefault="003B7820" w:rsidP="00EB30A2">
      <w:pPr>
        <w:pStyle w:val="Heading1"/>
      </w:pPr>
      <w:bookmarkStart w:id="37" w:name="_Toc353874669"/>
      <w:bookmarkStart w:id="38" w:name="_Toc353875011"/>
      <w:bookmarkStart w:id="39" w:name="_Toc353890882"/>
      <w:bookmarkStart w:id="40" w:name="_Toc353892623"/>
      <w:r>
        <w:t>PHYSIOLOGICAL EFFECTS</w:t>
      </w:r>
      <w:r w:rsidR="00067052" w:rsidRPr="009B2EE6">
        <w:t xml:space="preserve"> OF STROBILURIN</w:t>
      </w:r>
      <w:bookmarkEnd w:id="37"/>
      <w:bookmarkEnd w:id="38"/>
      <w:bookmarkEnd w:id="39"/>
      <w:bookmarkEnd w:id="40"/>
      <w:r w:rsidR="00067052" w:rsidRPr="009B2EE6">
        <w:t xml:space="preserve"> </w:t>
      </w:r>
    </w:p>
    <w:p w:rsidR="00EB30A2" w:rsidRPr="00EB30A2" w:rsidRDefault="00EB30A2" w:rsidP="00EB30A2"/>
    <w:p w:rsidR="00EB30A2" w:rsidRDefault="00067052" w:rsidP="00EB30A2">
      <w:pPr>
        <w:pStyle w:val="Heading1"/>
      </w:pPr>
      <w:bookmarkStart w:id="41" w:name="_Toc353874670"/>
      <w:bookmarkStart w:id="42" w:name="_Toc353875012"/>
      <w:bookmarkStart w:id="43" w:name="_Toc353890883"/>
      <w:bookmarkStart w:id="44" w:name="_Toc353892624"/>
      <w:r w:rsidRPr="009B2EE6">
        <w:t>FUNGICIDE APPLICATIONS INCORPORATED WITH</w:t>
      </w:r>
      <w:r>
        <w:t>IN</w:t>
      </w:r>
      <w:bookmarkEnd w:id="41"/>
      <w:bookmarkEnd w:id="42"/>
      <w:bookmarkEnd w:id="43"/>
      <w:bookmarkEnd w:id="44"/>
      <w:r w:rsidRPr="009B2EE6">
        <w:t xml:space="preserve"> </w:t>
      </w:r>
    </w:p>
    <w:p w:rsidR="00EB30A2" w:rsidRPr="00EB30A2" w:rsidRDefault="00EB30A2" w:rsidP="00EB30A2"/>
    <w:p w:rsidR="00EB30A2" w:rsidRDefault="00067052" w:rsidP="00EB30A2">
      <w:pPr>
        <w:pStyle w:val="Heading1"/>
      </w:pPr>
      <w:bookmarkStart w:id="45" w:name="_Toc353874671"/>
      <w:bookmarkStart w:id="46" w:name="_Toc353875013"/>
      <w:bookmarkStart w:id="47" w:name="_Toc353890884"/>
      <w:bookmarkStart w:id="48" w:name="_Toc353892625"/>
      <w:r w:rsidRPr="009B2EE6">
        <w:t>A PROGRAMMATIC FUNGICIDE APPROACH ON</w:t>
      </w:r>
      <w:bookmarkEnd w:id="45"/>
      <w:bookmarkEnd w:id="46"/>
      <w:bookmarkEnd w:id="47"/>
      <w:bookmarkEnd w:id="48"/>
      <w:r w:rsidRPr="009B2EE6">
        <w:t xml:space="preserve"> </w:t>
      </w:r>
    </w:p>
    <w:p w:rsidR="00EB30A2" w:rsidRDefault="00EB30A2" w:rsidP="00EB30A2">
      <w:pPr>
        <w:pStyle w:val="Heading1"/>
      </w:pPr>
    </w:p>
    <w:p w:rsidR="00067052" w:rsidRPr="009B2EE6" w:rsidRDefault="00067052" w:rsidP="00EB30A2">
      <w:pPr>
        <w:pStyle w:val="Heading1"/>
      </w:pPr>
      <w:bookmarkStart w:id="49" w:name="_Toc353874672"/>
      <w:bookmarkStart w:id="50" w:name="_Toc353875014"/>
      <w:bookmarkStart w:id="51" w:name="_Toc353890885"/>
      <w:bookmarkStart w:id="52" w:name="_Toc353892626"/>
      <w:r w:rsidRPr="009B2EE6">
        <w:t>CREEPING BENTGRASS</w:t>
      </w:r>
      <w:bookmarkEnd w:id="49"/>
      <w:bookmarkEnd w:id="50"/>
      <w:bookmarkEnd w:id="51"/>
      <w:bookmarkEnd w:id="52"/>
    </w:p>
    <w:p w:rsidR="00067052" w:rsidRDefault="00067052" w:rsidP="00067052">
      <w:pPr>
        <w:spacing w:after="200" w:line="480" w:lineRule="auto"/>
        <w:jc w:val="center"/>
        <w:rPr>
          <w:b/>
        </w:rPr>
      </w:pPr>
    </w:p>
    <w:p w:rsidR="00067052" w:rsidRDefault="00067052" w:rsidP="00067052">
      <w:pPr>
        <w:spacing w:after="200" w:line="480" w:lineRule="auto"/>
        <w:jc w:val="center"/>
        <w:rPr>
          <w:b/>
        </w:rPr>
      </w:pPr>
    </w:p>
    <w:p w:rsidR="00067052" w:rsidRDefault="00067052" w:rsidP="00067052">
      <w:pPr>
        <w:spacing w:after="200" w:line="480" w:lineRule="auto"/>
        <w:jc w:val="center"/>
        <w:rPr>
          <w:b/>
        </w:rPr>
      </w:pPr>
    </w:p>
    <w:p w:rsidR="00067052" w:rsidRDefault="00067052" w:rsidP="00067052">
      <w:pPr>
        <w:spacing w:after="200" w:line="480" w:lineRule="auto"/>
        <w:jc w:val="center"/>
        <w:rPr>
          <w:b/>
        </w:rPr>
      </w:pPr>
    </w:p>
    <w:p w:rsidR="00EB30A2" w:rsidRDefault="00EB30A2" w:rsidP="00067052">
      <w:pPr>
        <w:spacing w:after="200" w:line="480" w:lineRule="auto"/>
        <w:jc w:val="center"/>
        <w:rPr>
          <w:b/>
        </w:rPr>
      </w:pPr>
    </w:p>
    <w:p w:rsidR="00C55BEE" w:rsidRDefault="00C55BEE" w:rsidP="00FF0399">
      <w:pPr>
        <w:autoSpaceDE w:val="0"/>
        <w:autoSpaceDN w:val="0"/>
        <w:adjustRightInd w:val="0"/>
        <w:spacing w:line="480" w:lineRule="auto"/>
        <w:jc w:val="center"/>
      </w:pPr>
    </w:p>
    <w:p w:rsidR="00C55BEE" w:rsidRDefault="00C55BEE" w:rsidP="00FF0399">
      <w:pPr>
        <w:autoSpaceDE w:val="0"/>
        <w:autoSpaceDN w:val="0"/>
        <w:adjustRightInd w:val="0"/>
        <w:spacing w:line="480" w:lineRule="auto"/>
        <w:jc w:val="center"/>
      </w:pPr>
    </w:p>
    <w:p w:rsidR="00FF0399" w:rsidRDefault="00FF0399" w:rsidP="00FF0399">
      <w:pPr>
        <w:autoSpaceDE w:val="0"/>
        <w:autoSpaceDN w:val="0"/>
        <w:adjustRightInd w:val="0"/>
        <w:spacing w:line="480" w:lineRule="auto"/>
        <w:jc w:val="center"/>
      </w:pPr>
      <w:r>
        <w:lastRenderedPageBreak/>
        <w:t xml:space="preserve">The intent of this manuscript is to </w:t>
      </w:r>
      <w:r w:rsidRPr="000549B1">
        <w:t>publis</w:t>
      </w:r>
      <w:r>
        <w:t>h</w:t>
      </w:r>
      <w:r w:rsidRPr="000549B1">
        <w:t xml:space="preserve"> </w:t>
      </w:r>
      <w:r>
        <w:t>articles in the peer-reviewed literature. This work</w:t>
      </w:r>
      <w:r w:rsidRPr="000549B1">
        <w:t xml:space="preserve"> is based on contributions by </w:t>
      </w:r>
      <w:r>
        <w:t>Jesse Benelli</w:t>
      </w:r>
      <w:r w:rsidRPr="000549B1">
        <w:t>, Brandon</w:t>
      </w:r>
      <w:r>
        <w:t xml:space="preserve"> Horvath, Jim Brosnan, and Dean Kopsell:</w:t>
      </w:r>
    </w:p>
    <w:p w:rsidR="00067052" w:rsidRDefault="00FF0399" w:rsidP="00A55756">
      <w:pPr>
        <w:autoSpaceDE w:val="0"/>
        <w:autoSpaceDN w:val="0"/>
        <w:adjustRightInd w:val="0"/>
        <w:spacing w:line="480" w:lineRule="auto"/>
        <w:jc w:val="center"/>
      </w:pPr>
      <w:r w:rsidRPr="000549B1">
        <w:t xml:space="preserve">My primary contributions to this paper include (i) </w:t>
      </w:r>
      <w:r>
        <w:t>designing and c</w:t>
      </w:r>
      <w:r w:rsidRPr="000549B1">
        <w:t xml:space="preserve">onducting the experiments, (ii) analyzing and interpreting data, (iii) </w:t>
      </w:r>
      <w:r>
        <w:t>literature review</w:t>
      </w:r>
      <w:r w:rsidRPr="000549B1">
        <w:t>,</w:t>
      </w:r>
      <w:r>
        <w:t xml:space="preserve"> and</w:t>
      </w:r>
      <w:r w:rsidRPr="000549B1">
        <w:t xml:space="preserve"> (iv) writing the manuscript.</w:t>
      </w:r>
    </w:p>
    <w:p w:rsidR="00A55756" w:rsidRPr="00A55756" w:rsidRDefault="00A55756" w:rsidP="00A55756">
      <w:pPr>
        <w:autoSpaceDE w:val="0"/>
        <w:autoSpaceDN w:val="0"/>
        <w:adjustRightInd w:val="0"/>
        <w:spacing w:line="480" w:lineRule="auto"/>
        <w:jc w:val="center"/>
      </w:pPr>
    </w:p>
    <w:p w:rsidR="00067052" w:rsidRDefault="00067052" w:rsidP="00EB30A2">
      <w:pPr>
        <w:pStyle w:val="Heading2"/>
      </w:pPr>
      <w:bookmarkStart w:id="53" w:name="_Toc353890886"/>
      <w:bookmarkStart w:id="54" w:name="_Toc353892627"/>
      <w:r w:rsidRPr="009B2EE6">
        <w:t>ABSTRACT</w:t>
      </w:r>
      <w:bookmarkEnd w:id="53"/>
      <w:bookmarkEnd w:id="54"/>
    </w:p>
    <w:p w:rsidR="00EB30A2" w:rsidRPr="00EB30A2" w:rsidRDefault="00EB30A2" w:rsidP="00EB30A2"/>
    <w:p w:rsidR="00067052" w:rsidRDefault="00A55756"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r>
        <w:tab/>
      </w:r>
      <w:r>
        <w:tab/>
      </w:r>
      <w:r>
        <w:tab/>
      </w:r>
      <w:r>
        <w:tab/>
      </w:r>
      <w:r>
        <w:tab/>
      </w:r>
      <w:r w:rsidR="00067052" w:rsidRPr="005B6D4C">
        <w:t>Prior research indicates that strobilurin fungicides may mitigate creeping bentgrass</w:t>
      </w:r>
      <w:r w:rsidR="00495D3A">
        <w:t xml:space="preserve"> </w:t>
      </w:r>
      <w:r w:rsidR="00495D3A" w:rsidRPr="005B6D4C">
        <w:rPr>
          <w:color w:val="000000"/>
        </w:rPr>
        <w:t>(</w:t>
      </w:r>
      <w:r w:rsidR="00495D3A" w:rsidRPr="005B6D4C">
        <w:rPr>
          <w:i/>
          <w:color w:val="000000"/>
        </w:rPr>
        <w:t xml:space="preserve">Agrostis stolonifera </w:t>
      </w:r>
      <w:r w:rsidR="00495D3A" w:rsidRPr="005B6D4C">
        <w:rPr>
          <w:color w:val="000000"/>
        </w:rPr>
        <w:t>L.)</w:t>
      </w:r>
      <w:r w:rsidR="00067052" w:rsidRPr="005B6D4C">
        <w:t xml:space="preserve"> stress through disease control and </w:t>
      </w:r>
      <w:r w:rsidR="00011FF8">
        <w:t xml:space="preserve">a </w:t>
      </w:r>
      <w:r w:rsidR="00011FF8" w:rsidRPr="005B6D4C">
        <w:t xml:space="preserve">promotion </w:t>
      </w:r>
      <w:r w:rsidR="00011FF8">
        <w:t xml:space="preserve">of </w:t>
      </w:r>
      <w:r w:rsidR="00011FF8" w:rsidRPr="005B6D4C">
        <w:t>plant physiological effects</w:t>
      </w:r>
      <w:r w:rsidR="00067052" w:rsidRPr="005B6D4C">
        <w:t xml:space="preserve">. </w:t>
      </w:r>
      <w:r w:rsidR="00067052" w:rsidRPr="005B6D4C">
        <w:rPr>
          <w:color w:val="000000"/>
        </w:rPr>
        <w:t>A 2-year field experiment was conducted on a ‘Southern dominant’ creeping</w:t>
      </w:r>
      <w:r w:rsidR="00495D3A">
        <w:rPr>
          <w:color w:val="000000"/>
        </w:rPr>
        <w:t xml:space="preserve"> </w:t>
      </w:r>
      <w:r w:rsidR="00495D3A" w:rsidRPr="005B6D4C">
        <w:rPr>
          <w:color w:val="000000"/>
        </w:rPr>
        <w:t>bentgrass</w:t>
      </w:r>
      <w:r w:rsidR="00067052" w:rsidRPr="005B6D4C">
        <w:rPr>
          <w:color w:val="000000"/>
        </w:rPr>
        <w:t xml:space="preserve"> putting green in Strawberry Plains, TN, to examine disease control </w:t>
      </w:r>
      <w:r w:rsidR="00495D3A">
        <w:rPr>
          <w:color w:val="000000"/>
        </w:rPr>
        <w:t>efficacy and</w:t>
      </w:r>
      <w:r w:rsidR="00495D3A" w:rsidRPr="005B6D4C">
        <w:rPr>
          <w:color w:val="000000"/>
        </w:rPr>
        <w:t xml:space="preserve"> </w:t>
      </w:r>
      <w:r w:rsidR="00495D3A">
        <w:rPr>
          <w:color w:val="000000"/>
        </w:rPr>
        <w:t>turf</w:t>
      </w:r>
      <w:r w:rsidR="00495D3A" w:rsidRPr="005B6D4C">
        <w:rPr>
          <w:color w:val="000000"/>
        </w:rPr>
        <w:t xml:space="preserve"> </w:t>
      </w:r>
      <w:r w:rsidR="00067052" w:rsidRPr="005B6D4C">
        <w:rPr>
          <w:color w:val="000000"/>
        </w:rPr>
        <w:t xml:space="preserve">quality </w:t>
      </w:r>
      <w:r w:rsidR="00495D3A">
        <w:rPr>
          <w:color w:val="000000"/>
        </w:rPr>
        <w:t>following treatment with</w:t>
      </w:r>
      <w:r w:rsidR="00067052" w:rsidRPr="005B6D4C">
        <w:rPr>
          <w:color w:val="000000"/>
        </w:rPr>
        <w:t xml:space="preserve"> fungicide programs featuring either azoxystrobin, pyraclostrobin, fluoxastrobin, and trifloxystrobin</w:t>
      </w:r>
      <w:r w:rsidR="00067052" w:rsidRPr="005B6D4C">
        <w:rPr>
          <w:rFonts w:eastAsia="Calibri"/>
          <w:color w:val="000033"/>
        </w:rPr>
        <w:t xml:space="preserve"> at rates of 0.55, 0.61, 0.55, and 0.38 kg ha</w:t>
      </w:r>
      <w:r w:rsidR="00067052" w:rsidRPr="005B6D4C">
        <w:rPr>
          <w:rFonts w:eastAsia="Calibri"/>
          <w:color w:val="000033"/>
          <w:vertAlign w:val="superscript"/>
        </w:rPr>
        <w:t>-1</w:t>
      </w:r>
      <w:r w:rsidR="00067052" w:rsidRPr="005B6D4C">
        <w:rPr>
          <w:rFonts w:eastAsia="Calibri"/>
          <w:color w:val="000033"/>
        </w:rPr>
        <w:t>, respectively</w:t>
      </w:r>
      <w:r w:rsidR="00067052" w:rsidRPr="005B6D4C">
        <w:rPr>
          <w:color w:val="000000"/>
        </w:rPr>
        <w:t xml:space="preserve">. Programs consisted of </w:t>
      </w:r>
      <w:r w:rsidR="00495D3A">
        <w:rPr>
          <w:color w:val="000000"/>
        </w:rPr>
        <w:t>five</w:t>
      </w:r>
      <w:r w:rsidR="00495D3A" w:rsidRPr="005B6D4C">
        <w:rPr>
          <w:color w:val="000000"/>
        </w:rPr>
        <w:t xml:space="preserve"> </w:t>
      </w:r>
      <w:r w:rsidR="00067052" w:rsidRPr="005B6D4C">
        <w:rPr>
          <w:color w:val="000000"/>
        </w:rPr>
        <w:t>spray application</w:t>
      </w:r>
      <w:r w:rsidR="00067052">
        <w:rPr>
          <w:color w:val="000000"/>
        </w:rPr>
        <w:t>s</w:t>
      </w:r>
      <w:r w:rsidR="00AD49DE">
        <w:rPr>
          <w:color w:val="000000"/>
        </w:rPr>
        <w:t xml:space="preserve"> from June to August at 14-day intervals. S</w:t>
      </w:r>
      <w:r w:rsidR="00067052" w:rsidRPr="005B6D4C">
        <w:rPr>
          <w:color w:val="000000"/>
        </w:rPr>
        <w:t>trobilurin fungicides were applied at the 2</w:t>
      </w:r>
      <w:r w:rsidR="00067052" w:rsidRPr="005B6D4C">
        <w:rPr>
          <w:color w:val="000000"/>
          <w:vertAlign w:val="superscript"/>
        </w:rPr>
        <w:t>nd</w:t>
      </w:r>
      <w:r w:rsidR="00067052" w:rsidRPr="005B6D4C">
        <w:rPr>
          <w:color w:val="000000"/>
        </w:rPr>
        <w:t xml:space="preserve"> and 5</w:t>
      </w:r>
      <w:r w:rsidR="00067052" w:rsidRPr="005B6D4C">
        <w:rPr>
          <w:color w:val="000000"/>
          <w:vertAlign w:val="superscript"/>
        </w:rPr>
        <w:t>th</w:t>
      </w:r>
      <w:r w:rsidR="00067052" w:rsidRPr="005B6D4C">
        <w:rPr>
          <w:color w:val="000000"/>
        </w:rPr>
        <w:t xml:space="preserve"> application interval with all other fungicide applications remaining </w:t>
      </w:r>
      <w:r w:rsidR="00067052">
        <w:rPr>
          <w:color w:val="000000"/>
        </w:rPr>
        <w:t>identical</w:t>
      </w:r>
      <w:r w:rsidR="00067052" w:rsidRPr="005B6D4C">
        <w:rPr>
          <w:color w:val="000000"/>
        </w:rPr>
        <w:t xml:space="preserve"> across treatments. Measurements of disease </w:t>
      </w:r>
      <w:r w:rsidR="00067052">
        <w:rPr>
          <w:color w:val="000000"/>
        </w:rPr>
        <w:t>severity</w:t>
      </w:r>
      <w:r w:rsidR="00067052" w:rsidRPr="005B6D4C">
        <w:rPr>
          <w:color w:val="000000"/>
        </w:rPr>
        <w:t xml:space="preserve">, </w:t>
      </w:r>
      <w:r w:rsidR="00495D3A">
        <w:rPr>
          <w:color w:val="000000"/>
        </w:rPr>
        <w:t>turf</w:t>
      </w:r>
      <w:r w:rsidR="00495D3A" w:rsidRPr="005B6D4C">
        <w:rPr>
          <w:color w:val="000000"/>
        </w:rPr>
        <w:t xml:space="preserve"> </w:t>
      </w:r>
      <w:r w:rsidR="00067052" w:rsidRPr="005B6D4C">
        <w:rPr>
          <w:color w:val="000000"/>
        </w:rPr>
        <w:t xml:space="preserve">quality, spectral reflectance, turf cover, and rooting </w:t>
      </w:r>
      <w:r w:rsidR="00495D3A">
        <w:rPr>
          <w:color w:val="000000"/>
        </w:rPr>
        <w:t>length</w:t>
      </w:r>
      <w:r w:rsidR="00495D3A" w:rsidRPr="005B6D4C">
        <w:rPr>
          <w:color w:val="000000"/>
        </w:rPr>
        <w:t xml:space="preserve"> </w:t>
      </w:r>
      <w:r w:rsidR="00067052" w:rsidRPr="005B6D4C">
        <w:rPr>
          <w:color w:val="000000"/>
        </w:rPr>
        <w:t xml:space="preserve">were </w:t>
      </w:r>
      <w:r w:rsidR="00AD49DE">
        <w:rPr>
          <w:color w:val="000000"/>
        </w:rPr>
        <w:t>evaluated every two weeks. A root</w:t>
      </w:r>
      <w:r w:rsidR="00CF6005">
        <w:rPr>
          <w:color w:val="000000"/>
        </w:rPr>
        <w:t>i</w:t>
      </w:r>
      <w:r w:rsidR="00AD49DE">
        <w:rPr>
          <w:color w:val="000000"/>
        </w:rPr>
        <w:t>n</w:t>
      </w:r>
      <w:r w:rsidR="00CF6005">
        <w:rPr>
          <w:color w:val="000000"/>
        </w:rPr>
        <w:t>g analysis was conducted at the termination of the trial period</w:t>
      </w:r>
      <w:r w:rsidR="00067052" w:rsidRPr="005B6D4C">
        <w:rPr>
          <w:color w:val="000000"/>
        </w:rPr>
        <w:t xml:space="preserve">. </w:t>
      </w:r>
      <w:r w:rsidR="00495D3A">
        <w:rPr>
          <w:color w:val="000000"/>
        </w:rPr>
        <w:t>In 2011, no significant differences were detected regardless of parameter.</w:t>
      </w:r>
      <w:r w:rsidR="00067052" w:rsidRPr="005B6D4C">
        <w:rPr>
          <w:color w:val="000000"/>
        </w:rPr>
        <w:t xml:space="preserve"> In 2012, all fungicide p</w:t>
      </w:r>
      <w:r w:rsidR="00CF6005">
        <w:rPr>
          <w:color w:val="000000"/>
        </w:rPr>
        <w:t>rograms reduced brown patch (</w:t>
      </w:r>
      <w:r w:rsidR="00CF6005" w:rsidRPr="00CF6005">
        <w:rPr>
          <w:i/>
          <w:color w:val="000000"/>
        </w:rPr>
        <w:t>Rhizoctonia solani</w:t>
      </w:r>
      <w:r w:rsidR="00CF6005">
        <w:rPr>
          <w:color w:val="000000"/>
        </w:rPr>
        <w:t xml:space="preserve"> Kühn) severity compared to the non-treated</w:t>
      </w:r>
      <w:r w:rsidR="00067052" w:rsidRPr="005B6D4C">
        <w:rPr>
          <w:color w:val="000000"/>
        </w:rPr>
        <w:t xml:space="preserve"> at 42 and 56 days after </w:t>
      </w:r>
      <w:r w:rsidR="00067052" w:rsidRPr="005B6D4C">
        <w:rPr>
          <w:color w:val="000000"/>
        </w:rPr>
        <w:lastRenderedPageBreak/>
        <w:t xml:space="preserve">initial treatment. </w:t>
      </w:r>
      <w:r w:rsidR="003B7820">
        <w:rPr>
          <w:color w:val="000000"/>
        </w:rPr>
        <w:t>Concomitantly</w:t>
      </w:r>
      <w:r w:rsidR="00067052" w:rsidRPr="005B6D4C">
        <w:rPr>
          <w:color w:val="000000"/>
        </w:rPr>
        <w:t xml:space="preserve">, </w:t>
      </w:r>
      <w:r w:rsidR="00495D3A">
        <w:rPr>
          <w:color w:val="000000"/>
        </w:rPr>
        <w:t>turf</w:t>
      </w:r>
      <w:r w:rsidR="00067052" w:rsidRPr="005B6D4C">
        <w:rPr>
          <w:color w:val="000000"/>
        </w:rPr>
        <w:t xml:space="preserve"> quality, </w:t>
      </w:r>
      <w:r w:rsidR="00495D3A">
        <w:rPr>
          <w:color w:val="000000"/>
        </w:rPr>
        <w:t xml:space="preserve">turf </w:t>
      </w:r>
      <w:r w:rsidR="00067052" w:rsidRPr="005B6D4C">
        <w:rPr>
          <w:color w:val="000000"/>
        </w:rPr>
        <w:t xml:space="preserve">cover, and spectral reflectance </w:t>
      </w:r>
      <w:r w:rsidR="00495D3A">
        <w:rPr>
          <w:color w:val="000000"/>
        </w:rPr>
        <w:t xml:space="preserve">were increased compared to </w:t>
      </w:r>
      <w:r w:rsidR="00067052" w:rsidRPr="005B6D4C">
        <w:rPr>
          <w:color w:val="000000"/>
        </w:rPr>
        <w:t xml:space="preserve">the non-treated control. Programs </w:t>
      </w:r>
      <w:r w:rsidR="00CF6005">
        <w:rPr>
          <w:color w:val="000000"/>
        </w:rPr>
        <w:t>containing</w:t>
      </w:r>
      <w:r w:rsidR="00067052" w:rsidRPr="005B6D4C">
        <w:rPr>
          <w:color w:val="000000"/>
        </w:rPr>
        <w:t xml:space="preserve"> pyraclostrobin and azoxystrobin </w:t>
      </w:r>
      <w:r w:rsidR="00CF6005">
        <w:rPr>
          <w:color w:val="000000"/>
        </w:rPr>
        <w:t xml:space="preserve">yielder higher turf cover </w:t>
      </w:r>
      <w:r w:rsidR="00C55BEE">
        <w:rPr>
          <w:color w:val="000000"/>
        </w:rPr>
        <w:t xml:space="preserve">values than the other strobilurin programs; however no differences in brown patch severity were detected among the strobilurins tested. </w:t>
      </w:r>
      <w:r w:rsidR="00067052" w:rsidRPr="005B6D4C">
        <w:rPr>
          <w:color w:val="000000"/>
        </w:rPr>
        <w:t>This work demonstrates that strobilurin fungicides perform well for disease control</w:t>
      </w:r>
      <w:r w:rsidR="000A6538">
        <w:rPr>
          <w:color w:val="000000"/>
        </w:rPr>
        <w:t>,</w:t>
      </w:r>
      <w:r w:rsidR="00067052" w:rsidRPr="005B6D4C">
        <w:rPr>
          <w:color w:val="000000"/>
        </w:rPr>
        <w:t xml:space="preserve"> </w:t>
      </w:r>
      <w:r w:rsidR="00067052">
        <w:rPr>
          <w:color w:val="000000"/>
        </w:rPr>
        <w:t>but</w:t>
      </w:r>
      <w:r w:rsidR="00067052" w:rsidRPr="005B6D4C">
        <w:rPr>
          <w:color w:val="000000"/>
        </w:rPr>
        <w:t xml:space="preserve"> observation</w:t>
      </w:r>
      <w:r w:rsidR="00067052">
        <w:rPr>
          <w:color w:val="000000"/>
        </w:rPr>
        <w:t>s</w:t>
      </w:r>
      <w:r w:rsidR="00067052" w:rsidRPr="005B6D4C">
        <w:rPr>
          <w:color w:val="000000"/>
        </w:rPr>
        <w:t xml:space="preserve"> of secondary pla</w:t>
      </w:r>
      <w:r w:rsidR="00067052">
        <w:rPr>
          <w:color w:val="000000"/>
        </w:rPr>
        <w:t>nt health effects were not observed.</w:t>
      </w:r>
    </w:p>
    <w:p w:rsidR="00011FF8" w:rsidRDefault="00011FF8"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A55756" w:rsidRDefault="00A55756"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C55BEE" w:rsidRPr="009A71A1" w:rsidRDefault="00C55BEE" w:rsidP="00067052">
      <w:pPr>
        <w:tabs>
          <w:tab w:val="left" w:pos="144"/>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 w:val="left" w:pos="2160"/>
          <w:tab w:val="left" w:pos="2304"/>
          <w:tab w:val="left" w:pos="2448"/>
          <w:tab w:val="left" w:pos="2592"/>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192"/>
          <w:tab w:val="left" w:pos="6336"/>
          <w:tab w:val="left" w:pos="6480"/>
          <w:tab w:val="left" w:pos="6624"/>
          <w:tab w:val="left" w:pos="6768"/>
          <w:tab w:val="left" w:pos="6912"/>
          <w:tab w:val="left" w:pos="7056"/>
          <w:tab w:val="left" w:pos="7200"/>
          <w:tab w:val="left" w:pos="7344"/>
          <w:tab w:val="left" w:pos="7488"/>
          <w:tab w:val="left" w:pos="7632"/>
          <w:tab w:val="left" w:pos="7776"/>
          <w:tab w:val="left" w:pos="7920"/>
          <w:tab w:val="left" w:pos="8064"/>
          <w:tab w:val="left" w:pos="8208"/>
          <w:tab w:val="left" w:pos="8352"/>
          <w:tab w:val="left" w:pos="8496"/>
          <w:tab w:val="left" w:pos="8640"/>
          <w:tab w:val="left" w:pos="8784"/>
        </w:tabs>
        <w:spacing w:after="200" w:line="480" w:lineRule="auto"/>
        <w:rPr>
          <w:color w:val="000000"/>
        </w:rPr>
      </w:pPr>
    </w:p>
    <w:p w:rsidR="00067052" w:rsidRDefault="00067052" w:rsidP="00EB30A2">
      <w:pPr>
        <w:pStyle w:val="Heading2"/>
      </w:pPr>
      <w:bookmarkStart w:id="55" w:name="_Toc353890887"/>
      <w:bookmarkStart w:id="56" w:name="_Toc353892628"/>
      <w:r w:rsidRPr="009B2EE6">
        <w:lastRenderedPageBreak/>
        <w:t>INTRODUCTION</w:t>
      </w:r>
      <w:bookmarkEnd w:id="55"/>
      <w:bookmarkEnd w:id="56"/>
    </w:p>
    <w:p w:rsidR="00EB30A2" w:rsidRPr="00EB30A2" w:rsidRDefault="00EB30A2" w:rsidP="00EB30A2"/>
    <w:p w:rsidR="00067052" w:rsidRPr="00D917D9" w:rsidRDefault="00067052" w:rsidP="00067052">
      <w:pPr>
        <w:spacing w:line="480" w:lineRule="auto"/>
        <w:ind w:firstLine="720"/>
      </w:pPr>
      <w:r w:rsidRPr="00D917D9">
        <w:t>Creeping bentgrass</w:t>
      </w:r>
      <w:r w:rsidR="00495D3A">
        <w:t xml:space="preserve"> </w:t>
      </w:r>
      <w:r w:rsidR="00495D3A" w:rsidRPr="005B6D4C">
        <w:rPr>
          <w:color w:val="000000"/>
        </w:rPr>
        <w:t>(</w:t>
      </w:r>
      <w:r w:rsidR="00495D3A" w:rsidRPr="005B6D4C">
        <w:rPr>
          <w:i/>
          <w:color w:val="000000"/>
        </w:rPr>
        <w:t xml:space="preserve">Agrostis stolonifera </w:t>
      </w:r>
      <w:r w:rsidR="00495D3A" w:rsidRPr="005B6D4C">
        <w:rPr>
          <w:color w:val="000000"/>
        </w:rPr>
        <w:t>L.)</w:t>
      </w:r>
      <w:r w:rsidR="00495D3A" w:rsidRPr="005B6D4C">
        <w:t xml:space="preserve"> </w:t>
      </w:r>
      <w:r w:rsidRPr="00D917D9">
        <w:t xml:space="preserve"> putting greens grown in </w:t>
      </w:r>
      <w:r w:rsidR="00495D3A">
        <w:t xml:space="preserve">the </w:t>
      </w:r>
      <w:r w:rsidRPr="00D917D9">
        <w:t>transition zone are susceptible to a number of abiotic and biotic stressors during summer months (</w:t>
      </w:r>
      <w:r w:rsidRPr="00667568">
        <w:t>Dernoeden, 2002</w:t>
      </w:r>
      <w:r w:rsidRPr="00D917D9">
        <w:t xml:space="preserve">). Exposure to supraoptimal air and soil temperatures, </w:t>
      </w:r>
      <w:r w:rsidR="00216734" w:rsidRPr="0057258F">
        <w:t>ultraviolet light radiation</w:t>
      </w:r>
      <w:r w:rsidRPr="00D917D9">
        <w:t xml:space="preserve">, and moisture stress can </w:t>
      </w:r>
      <w:r w:rsidR="00495D3A">
        <w:t>cause</w:t>
      </w:r>
      <w:r w:rsidRPr="00D917D9">
        <w:t xml:space="preserve"> significant </w:t>
      </w:r>
      <w:r w:rsidR="00495D3A">
        <w:t xml:space="preserve">physiological </w:t>
      </w:r>
      <w:r w:rsidRPr="00D917D9">
        <w:t>damage to creeping bentgrass (</w:t>
      </w:r>
      <w:r w:rsidRPr="00667568">
        <w:t>Huang and Gao, 2000; Brennan and Halisky, 1970; Schmidt</w:t>
      </w:r>
      <w:r w:rsidRPr="00667568">
        <w:rPr>
          <w:rFonts w:eastAsia="Calibri"/>
        </w:rPr>
        <w:t xml:space="preserve"> and Snyder, 1984</w:t>
      </w:r>
      <w:r w:rsidRPr="00D917D9">
        <w:rPr>
          <w:rFonts w:eastAsia="Calibri"/>
        </w:rPr>
        <w:t>)</w:t>
      </w:r>
      <w:r w:rsidRPr="00D917D9">
        <w:t xml:space="preserve">. In addition, </w:t>
      </w:r>
      <w:r w:rsidR="00495D3A">
        <w:t xml:space="preserve">creeping bentgrass putting greens are susceptible to </w:t>
      </w:r>
      <w:r w:rsidRPr="00D917D9">
        <w:t>diseases such as brown patch (</w:t>
      </w:r>
      <w:r w:rsidRPr="00A06417">
        <w:rPr>
          <w:i/>
        </w:rPr>
        <w:t>Rhizoct</w:t>
      </w:r>
      <w:r>
        <w:rPr>
          <w:i/>
        </w:rPr>
        <w:t>o</w:t>
      </w:r>
      <w:r w:rsidRPr="00A06417">
        <w:rPr>
          <w:i/>
        </w:rPr>
        <w:t>nia solani</w:t>
      </w:r>
      <w:r>
        <w:rPr>
          <w:i/>
        </w:rPr>
        <w:t xml:space="preserve"> </w:t>
      </w:r>
      <w:r>
        <w:t>Kühn</w:t>
      </w:r>
      <w:r w:rsidRPr="00D917D9">
        <w:t>), dollar spot (</w:t>
      </w:r>
      <w:r>
        <w:rPr>
          <w:i/>
        </w:rPr>
        <w:t>S</w:t>
      </w:r>
      <w:r w:rsidRPr="00085090">
        <w:rPr>
          <w:i/>
        </w:rPr>
        <w:t>clerotinia homoeocarpa</w:t>
      </w:r>
      <w:r>
        <w:rPr>
          <w:i/>
        </w:rPr>
        <w:t xml:space="preserve"> </w:t>
      </w:r>
      <w:r w:rsidRPr="00D917D9">
        <w:t>F.T. Bennet</w:t>
      </w:r>
      <w:r>
        <w:t>t</w:t>
      </w:r>
      <w:r w:rsidRPr="00D917D9">
        <w:t>), anthracnose (</w:t>
      </w:r>
      <w:r w:rsidRPr="00085090">
        <w:rPr>
          <w:i/>
        </w:rPr>
        <w:t>Colletotrichum cereale</w:t>
      </w:r>
      <w:r w:rsidRPr="00F62466">
        <w:rPr>
          <w:rFonts w:eastAsia="Calibri"/>
        </w:rPr>
        <w:t xml:space="preserve"> </w:t>
      </w:r>
      <w:r>
        <w:rPr>
          <w:rFonts w:eastAsia="Calibri"/>
        </w:rPr>
        <w:t>Manns sensu lato Crouch, Clarke, and Hillman</w:t>
      </w:r>
      <w:r w:rsidRPr="00D917D9">
        <w:t xml:space="preserve">), and </w:t>
      </w:r>
      <w:r w:rsidRPr="001F50D3">
        <w:rPr>
          <w:i/>
        </w:rPr>
        <w:t>Pythium</w:t>
      </w:r>
      <w:r w:rsidRPr="00D917D9">
        <w:t xml:space="preserve"> spp. (</w:t>
      </w:r>
      <w:r w:rsidRPr="00F62466">
        <w:t>Wong et al., 2006</w:t>
      </w:r>
      <w:r w:rsidRPr="00D917D9">
        <w:t>). To combat disease</w:t>
      </w:r>
      <w:r>
        <w:t xml:space="preserve">, </w:t>
      </w:r>
      <w:r w:rsidRPr="00D917D9">
        <w:t>turfgrass managers incorporate an integrated pest management approach including cultural and chemical programs. Irrigation scheduling, nutrient management and raising mowing heights are cultural practices known to affect disease development and plant vigor (</w:t>
      </w:r>
      <w:r w:rsidRPr="00F62466">
        <w:t>Jiang et al., 1998; Fidanza and Dernoeden 1996; Inquagiato et al., 2009</w:t>
      </w:r>
      <w:r w:rsidRPr="00D917D9">
        <w:t>)</w:t>
      </w:r>
      <w:r>
        <w:t>.</w:t>
      </w:r>
      <w:r w:rsidRPr="00D917D9">
        <w:t xml:space="preserve"> However, </w:t>
      </w:r>
      <w:r>
        <w:rPr>
          <w:rFonts w:eastAsia="Calibri"/>
        </w:rPr>
        <w:t>disease</w:t>
      </w:r>
      <w:r w:rsidR="00495D3A">
        <w:rPr>
          <w:rFonts w:eastAsia="Calibri"/>
        </w:rPr>
        <w:t>s</w:t>
      </w:r>
      <w:r>
        <w:rPr>
          <w:rFonts w:eastAsia="Calibri"/>
        </w:rPr>
        <w:t xml:space="preserve"> </w:t>
      </w:r>
      <w:r w:rsidR="00495D3A">
        <w:rPr>
          <w:rFonts w:eastAsia="Calibri"/>
        </w:rPr>
        <w:t>can still</w:t>
      </w:r>
      <w:r>
        <w:rPr>
          <w:rFonts w:eastAsia="Calibri"/>
        </w:rPr>
        <w:t xml:space="preserve"> occur when environmental </w:t>
      </w:r>
      <w:r w:rsidRPr="00BA3E06">
        <w:rPr>
          <w:rFonts w:eastAsia="Calibri"/>
        </w:rPr>
        <w:t>conditions remain conducive for disease development</w:t>
      </w:r>
      <w:r>
        <w:rPr>
          <w:rFonts w:eastAsia="Calibri"/>
        </w:rPr>
        <w:t xml:space="preserve"> </w:t>
      </w:r>
      <w:r>
        <w:t>(</w:t>
      </w:r>
      <w:r w:rsidRPr="00F62466">
        <w:rPr>
          <w:rFonts w:eastAsia="Calibri"/>
        </w:rPr>
        <w:t>McDonald et al., 2006; Delvalle et al., 2011</w:t>
      </w:r>
      <w:r>
        <w:rPr>
          <w:rFonts w:eastAsia="Calibri"/>
        </w:rPr>
        <w:t>)</w:t>
      </w:r>
      <w:r w:rsidRPr="00D917D9">
        <w:t xml:space="preserve">. </w:t>
      </w:r>
      <w:r w:rsidR="00495D3A">
        <w:t>Fungicide applications are often required</w:t>
      </w:r>
      <w:r w:rsidRPr="00D917D9">
        <w:t xml:space="preserve"> when environmental conditions </w:t>
      </w:r>
      <w:r w:rsidR="00495D3A">
        <w:t xml:space="preserve">both </w:t>
      </w:r>
      <w:r w:rsidRPr="00D917D9">
        <w:t xml:space="preserve">hinder </w:t>
      </w:r>
      <w:r w:rsidR="00495D3A">
        <w:t>creeping bentgrass growth</w:t>
      </w:r>
      <w:r w:rsidRPr="00D917D9">
        <w:t xml:space="preserve"> </w:t>
      </w:r>
      <w:r w:rsidR="00495D3A">
        <w:t>and</w:t>
      </w:r>
      <w:r w:rsidR="00495D3A" w:rsidRPr="00D917D9">
        <w:t xml:space="preserve"> </w:t>
      </w:r>
      <w:r w:rsidRPr="00D917D9">
        <w:t xml:space="preserve">promote disease development.  </w:t>
      </w:r>
    </w:p>
    <w:p w:rsidR="00067052" w:rsidRPr="00D917D9" w:rsidRDefault="009B129C" w:rsidP="00216734">
      <w:pPr>
        <w:spacing w:line="480" w:lineRule="auto"/>
        <w:ind w:firstLine="720"/>
      </w:pPr>
      <w:r w:rsidRPr="00D917D9">
        <w:t>Disease management using fungicides on creeping bentgrass greens consists of rotating between differing modes of action to help reduce fungicide resistance and to control a broader spectrum of diseases</w:t>
      </w:r>
      <w:r>
        <w:t xml:space="preserve"> (</w:t>
      </w:r>
      <w:r w:rsidRPr="00F62466">
        <w:t>Latin, 2011</w:t>
      </w:r>
      <w:r>
        <w:t>)</w:t>
      </w:r>
      <w:r w:rsidRPr="00D917D9">
        <w:t>. This is referred to as fungicide programming.</w:t>
      </w:r>
      <w:r w:rsidR="00216734">
        <w:t xml:space="preserve"> </w:t>
      </w:r>
      <w:r w:rsidR="00067052" w:rsidRPr="00D917D9">
        <w:t xml:space="preserve">Fungicide programs </w:t>
      </w:r>
      <w:r w:rsidR="00067052">
        <w:t>are</w:t>
      </w:r>
      <w:r w:rsidR="00067052" w:rsidRPr="00D917D9">
        <w:t xml:space="preserve"> developed to provide a scheduled application approach to combat diseases when they are most commonly observed in the field</w:t>
      </w:r>
      <w:r w:rsidR="008165AE">
        <w:t xml:space="preserve"> and are</w:t>
      </w:r>
      <w:r w:rsidR="00067052" w:rsidRPr="00D917D9">
        <w:t xml:space="preserve"> </w:t>
      </w:r>
      <w:r w:rsidR="00067052" w:rsidRPr="00D917D9">
        <w:lastRenderedPageBreak/>
        <w:t>only be applicable to areas that share a similar climatic zone. Fungicide programs have been developed for several agricultural crops including potato</w:t>
      </w:r>
      <w:r w:rsidR="00067052">
        <w:t xml:space="preserve"> (</w:t>
      </w:r>
      <w:r w:rsidR="00067052" w:rsidRPr="00F62466">
        <w:rPr>
          <w:i/>
        </w:rPr>
        <w:t>Solanum tuberosum</w:t>
      </w:r>
      <w:r w:rsidR="00067052">
        <w:t xml:space="preserve"> L.)</w:t>
      </w:r>
      <w:r w:rsidR="00067052" w:rsidRPr="00D917D9">
        <w:t>, wheat</w:t>
      </w:r>
      <w:r w:rsidR="00067052">
        <w:t xml:space="preserve"> (</w:t>
      </w:r>
      <w:r w:rsidR="00067052">
        <w:rPr>
          <w:rStyle w:val="Emphasis"/>
        </w:rPr>
        <w:t>Triticum</w:t>
      </w:r>
      <w:r w:rsidR="00067052">
        <w:rPr>
          <w:rStyle w:val="st"/>
        </w:rPr>
        <w:t xml:space="preserve"> </w:t>
      </w:r>
      <w:r w:rsidR="00067052" w:rsidRPr="00F62466">
        <w:rPr>
          <w:rStyle w:val="st"/>
          <w:i/>
        </w:rPr>
        <w:t>aestivum</w:t>
      </w:r>
      <w:r w:rsidR="00067052">
        <w:rPr>
          <w:rStyle w:val="st"/>
        </w:rPr>
        <w:t xml:space="preserve"> L.)</w:t>
      </w:r>
      <w:r w:rsidR="00067052" w:rsidRPr="00D917D9">
        <w:t>, peanut</w:t>
      </w:r>
      <w:r w:rsidR="00067052">
        <w:t xml:space="preserve"> (</w:t>
      </w:r>
      <w:r w:rsidR="00067052" w:rsidRPr="00F62466">
        <w:rPr>
          <w:i/>
        </w:rPr>
        <w:t>Arachis hypogaea</w:t>
      </w:r>
      <w:r w:rsidR="00067052">
        <w:t xml:space="preserve"> L.)</w:t>
      </w:r>
      <w:r w:rsidR="00067052" w:rsidRPr="00D917D9">
        <w:t xml:space="preserve">, and grapes </w:t>
      </w:r>
      <w:r w:rsidR="00067052">
        <w:t>(</w:t>
      </w:r>
      <w:r w:rsidR="00067052" w:rsidRPr="00F62466">
        <w:rPr>
          <w:i/>
        </w:rPr>
        <w:t xml:space="preserve">Vitis vinifera </w:t>
      </w:r>
      <w:r w:rsidR="00067052">
        <w:t xml:space="preserve">L.) </w:t>
      </w:r>
      <w:r w:rsidR="00067052" w:rsidRPr="00D917D9">
        <w:t>in addition to turfgrass (</w:t>
      </w:r>
      <w:r w:rsidR="00067052" w:rsidRPr="00F62466">
        <w:t xml:space="preserve">Rideout et al., 2012; Kirk et al., 2011; </w:t>
      </w:r>
      <w:r w:rsidR="00067052" w:rsidRPr="00F62466">
        <w:rPr>
          <w:rFonts w:eastAsia="Calibri"/>
        </w:rPr>
        <w:t>Wilcox and Riegel</w:t>
      </w:r>
      <w:r w:rsidR="00067052" w:rsidRPr="00F62466">
        <w:rPr>
          <w:shd w:val="clear" w:color="auto" w:fill="FFFFFF"/>
        </w:rPr>
        <w:t xml:space="preserve">, 2010; Hagan et al., 2009; </w:t>
      </w:r>
      <w:r w:rsidR="00067052" w:rsidRPr="00F62466">
        <w:rPr>
          <w:rFonts w:eastAsia="Calibri"/>
        </w:rPr>
        <w:t>Vincelli et al., 2009</w:t>
      </w:r>
      <w:r w:rsidR="00067052" w:rsidRPr="00D917D9">
        <w:rPr>
          <w:rFonts w:eastAsia="Calibri"/>
        </w:rPr>
        <w:t>).</w:t>
      </w:r>
      <w:r w:rsidR="00067052" w:rsidRPr="00D917D9">
        <w:rPr>
          <w:shd w:val="clear" w:color="auto" w:fill="FFFFFF"/>
        </w:rPr>
        <w:t xml:space="preserve"> Research </w:t>
      </w:r>
      <w:r w:rsidR="00067052" w:rsidRPr="00D917D9">
        <w:t xml:space="preserve">conducted in transition zone states such as Oklahoma, Kentucky, and Tennessee </w:t>
      </w:r>
      <w:r w:rsidR="008165AE">
        <w:t>has</w:t>
      </w:r>
      <w:r w:rsidR="008165AE" w:rsidRPr="00D917D9">
        <w:t xml:space="preserve"> </w:t>
      </w:r>
      <w:r w:rsidR="00067052" w:rsidRPr="00D917D9">
        <w:t>reported greater disease control and visual quality of creeping bentgrass and annual bluegrass putting green</w:t>
      </w:r>
      <w:r w:rsidR="00067052">
        <w:t>s</w:t>
      </w:r>
      <w:r w:rsidR="00067052" w:rsidRPr="00D917D9">
        <w:t xml:space="preserve"> when multiple strobilurin fungicides applications are incorporated within a summer fungicide program (</w:t>
      </w:r>
      <w:r w:rsidR="00067052" w:rsidRPr="00F62466">
        <w:t>Smith and Walk</w:t>
      </w:r>
      <w:r w:rsidR="00067052">
        <w:t>er, 2009; Vincelli et al., 2009</w:t>
      </w:r>
      <w:r w:rsidR="00067052" w:rsidRPr="00D917D9">
        <w:t xml:space="preserve">). </w:t>
      </w:r>
    </w:p>
    <w:p w:rsidR="00067052" w:rsidRPr="00D917D9" w:rsidRDefault="00977D7E" w:rsidP="00067052">
      <w:pPr>
        <w:spacing w:line="480" w:lineRule="auto"/>
        <w:ind w:firstLine="720"/>
      </w:pPr>
      <w:r>
        <w:t>Azoxystrobin was the first strobilurin fungicide introduced to the turfgrass marketplace in 1996 (</w:t>
      </w:r>
      <w:r w:rsidR="00216734">
        <w:t>Köhle, 2002</w:t>
      </w:r>
      <w:r>
        <w:t xml:space="preserve">). </w:t>
      </w:r>
      <w:r w:rsidR="00067052" w:rsidRPr="00D917D9">
        <w:t xml:space="preserve">As of the </w:t>
      </w:r>
      <w:r w:rsidR="00067052">
        <w:t>2012</w:t>
      </w:r>
      <w:r w:rsidR="00067052" w:rsidRPr="00D917D9">
        <w:t>, trifloxystrobin, pyraclostrobin, and fluoxastrobin</w:t>
      </w:r>
      <w:r>
        <w:t xml:space="preserve"> are all labeled for use in turf as well (</w:t>
      </w:r>
      <w:r w:rsidR="00216734">
        <w:t>Latin, 2011</w:t>
      </w:r>
      <w:r>
        <w:t>)</w:t>
      </w:r>
      <w:r w:rsidR="00067052" w:rsidRPr="00D917D9">
        <w:t>. These fungicides are often applied to creeping b</w:t>
      </w:r>
      <w:r w:rsidR="000A6538">
        <w:t xml:space="preserve">entgrass putting greens in warm, </w:t>
      </w:r>
      <w:r w:rsidR="00067052" w:rsidRPr="00D917D9">
        <w:t>humid environments to control diseases such</w:t>
      </w:r>
      <w:r w:rsidR="00067052">
        <w:t xml:space="preserve"> as brown patch and anthracnose</w:t>
      </w:r>
      <w:r w:rsidR="00067052" w:rsidRPr="00D917D9">
        <w:t xml:space="preserve"> (</w:t>
      </w:r>
      <w:r w:rsidR="00067052" w:rsidRPr="00F62466">
        <w:t>Latin, 2011</w:t>
      </w:r>
      <w:r w:rsidR="00067052" w:rsidRPr="00D917D9">
        <w:t xml:space="preserve">).  Strobilurin fungicides inhibit mitochondrial respiration in fungi by binding at the ubiquinone site located within the </w:t>
      </w:r>
      <w:r w:rsidR="00067052">
        <w:t>cytochrome bc</w:t>
      </w:r>
      <w:r w:rsidR="00067052" w:rsidRPr="000E5F66">
        <w:rPr>
          <w:vertAlign w:val="subscript"/>
        </w:rPr>
        <w:t>1</w:t>
      </w:r>
      <w:r w:rsidR="00067052" w:rsidRPr="00D917D9">
        <w:t xml:space="preserve"> comple</w:t>
      </w:r>
      <w:r w:rsidR="00067052">
        <w:t>x of the mitochondrial membrane</w:t>
      </w:r>
      <w:r w:rsidR="00067052" w:rsidRPr="00D917D9">
        <w:t xml:space="preserve"> (</w:t>
      </w:r>
      <w:r w:rsidR="00067052" w:rsidRPr="00F62466">
        <w:t>Bartlett et al., 200</w:t>
      </w:r>
      <w:r w:rsidR="00B82D0C">
        <w:t>1</w:t>
      </w:r>
      <w:r w:rsidR="00067052" w:rsidRPr="00D917D9">
        <w:t>). These fungicides are unique in that they are derived from a natural wood-rotting fungus (</w:t>
      </w:r>
      <w:r w:rsidR="00067052" w:rsidRPr="00D917D9">
        <w:rPr>
          <w:i/>
        </w:rPr>
        <w:t>Strobilurus tenacellus</w:t>
      </w:r>
      <w:r w:rsidR="00067052" w:rsidRPr="00D917D9">
        <w:t>) and are classified as reduced-risk fungicides by the Environmental Protection Agency</w:t>
      </w:r>
      <w:r w:rsidR="000A6538">
        <w:t xml:space="preserve"> (EPA)</w:t>
      </w:r>
      <w:r w:rsidR="00067052" w:rsidRPr="00D917D9">
        <w:t xml:space="preserve"> (</w:t>
      </w:r>
      <w:r w:rsidR="00067052" w:rsidRPr="00F62466">
        <w:rPr>
          <w:rFonts w:eastAsia="Calibri"/>
        </w:rPr>
        <w:t>K</w:t>
      </w:r>
      <w:r w:rsidR="00067052" w:rsidRPr="00F62466">
        <w:rPr>
          <w:rFonts w:eastAsia="MS Mincho"/>
        </w:rPr>
        <w:t>ö</w:t>
      </w:r>
      <w:r w:rsidR="00067052" w:rsidRPr="00F62466">
        <w:t>hle et al., 2002</w:t>
      </w:r>
      <w:r w:rsidR="00067052" w:rsidRPr="00D917D9">
        <w:t xml:space="preserve">). </w:t>
      </w:r>
    </w:p>
    <w:p w:rsidR="00067052" w:rsidRPr="00D917D9" w:rsidRDefault="00067052" w:rsidP="00067052">
      <w:pPr>
        <w:spacing w:line="480" w:lineRule="auto"/>
        <w:ind w:firstLine="720"/>
      </w:pPr>
      <w:r w:rsidRPr="00D917D9">
        <w:t>Strobilurin fungicides are labeled to control several diseases affecting creeping bentgrass putting greens during summer conditions</w:t>
      </w:r>
      <w:r w:rsidR="00977D7E">
        <w:t xml:space="preserve">, including </w:t>
      </w:r>
      <w:r w:rsidRPr="00D917D9">
        <w:t xml:space="preserve">brown patch. </w:t>
      </w:r>
      <w:r w:rsidR="00977D7E">
        <w:t>Strobilurin fungicide e</w:t>
      </w:r>
      <w:r w:rsidRPr="00D917D9">
        <w:t xml:space="preserve">fficacy </w:t>
      </w:r>
      <w:r w:rsidR="00977D7E">
        <w:t>for brown patch control</w:t>
      </w:r>
      <w:r w:rsidRPr="00D917D9">
        <w:t xml:space="preserve"> is well documented (</w:t>
      </w:r>
      <w:r w:rsidRPr="00F62466">
        <w:t>Uddin et al., 2010; Soika and Tredway, 2010</w:t>
      </w:r>
      <w:r w:rsidRPr="00D917D9">
        <w:t xml:space="preserve">). </w:t>
      </w:r>
      <w:r w:rsidR="006222B2">
        <w:t xml:space="preserve">Efficacy against </w:t>
      </w:r>
      <w:r w:rsidRPr="00D917D9">
        <w:t xml:space="preserve">dollar spot, anthracnose, and </w:t>
      </w:r>
      <w:r w:rsidRPr="00F62466">
        <w:rPr>
          <w:i/>
        </w:rPr>
        <w:t>Pythium</w:t>
      </w:r>
      <w:r w:rsidRPr="00D917D9">
        <w:t xml:space="preserve"> root diseases </w:t>
      </w:r>
      <w:r w:rsidR="006222B2">
        <w:lastRenderedPageBreak/>
        <w:t>can vary among strobilurins</w:t>
      </w:r>
      <w:r>
        <w:t xml:space="preserve"> (</w:t>
      </w:r>
      <w:r w:rsidRPr="00F62466">
        <w:t>Kerns et al. 2009</w:t>
      </w:r>
      <w:r>
        <w:t>)</w:t>
      </w:r>
      <w:r w:rsidRPr="00D917D9">
        <w:t xml:space="preserve">. In addition, pyraclostrobin </w:t>
      </w:r>
      <w:r w:rsidR="00451696">
        <w:t>is labeled for disease control as well as promotion of plant hea</w:t>
      </w:r>
      <w:r w:rsidR="003F5A59">
        <w:t>l</w:t>
      </w:r>
      <w:r w:rsidR="00451696">
        <w:t>th benefits.</w:t>
      </w:r>
      <w:r w:rsidRPr="00D917D9">
        <w:t xml:space="preserve"> (</w:t>
      </w:r>
      <w:r w:rsidRPr="00F62466">
        <w:t>Anonymous, 2010</w:t>
      </w:r>
      <w:r w:rsidRPr="00D917D9">
        <w:t xml:space="preserve">). </w:t>
      </w:r>
    </w:p>
    <w:p w:rsidR="00067052" w:rsidRPr="00D917D9" w:rsidRDefault="00451696" w:rsidP="00067052">
      <w:pPr>
        <w:spacing w:line="480" w:lineRule="auto"/>
        <w:ind w:firstLine="720"/>
      </w:pPr>
      <w:r>
        <w:t>S</w:t>
      </w:r>
      <w:r w:rsidR="00067052" w:rsidRPr="00D917D9">
        <w:t xml:space="preserve">trobilurin fungicides </w:t>
      </w:r>
      <w:r>
        <w:t>have been shown to affect an array of physiological processes in several</w:t>
      </w:r>
      <w:r w:rsidR="00067052" w:rsidRPr="00D917D9">
        <w:t xml:space="preserve"> cropping systems. Wu and Tiedemann (</w:t>
      </w:r>
      <w:r w:rsidR="00067052" w:rsidRPr="00F62466">
        <w:t>2002</w:t>
      </w:r>
      <w:r w:rsidR="00067052" w:rsidRPr="00D917D9">
        <w:t>) reported a 50</w:t>
      </w:r>
      <w:r w:rsidR="006F576A">
        <w:t xml:space="preserve"> to </w:t>
      </w:r>
      <w:r w:rsidR="00067052" w:rsidRPr="00D917D9">
        <w:t xml:space="preserve">60% </w:t>
      </w:r>
      <w:r w:rsidR="00067052">
        <w:t>reduction from</w:t>
      </w:r>
      <w:r w:rsidR="00067052" w:rsidRPr="00D917D9">
        <w:t xml:space="preserve"> </w:t>
      </w:r>
      <w:r w:rsidR="00420998">
        <w:t xml:space="preserve">fumigated </w:t>
      </w:r>
      <w:r w:rsidR="00067052" w:rsidRPr="00D917D9">
        <w:t>ozone injury in spring barle</w:t>
      </w:r>
      <w:r w:rsidR="00FA118C">
        <w:t>y</w:t>
      </w:r>
      <w:r w:rsidR="00216734" w:rsidRPr="00216734">
        <w:t xml:space="preserve"> </w:t>
      </w:r>
      <w:r w:rsidR="00216734">
        <w:t>(</w:t>
      </w:r>
      <w:r w:rsidR="00216734" w:rsidRPr="00216734">
        <w:rPr>
          <w:i/>
        </w:rPr>
        <w:t>Hordeum vulgare</w:t>
      </w:r>
      <w:r w:rsidR="00216734" w:rsidRPr="00216734">
        <w:t xml:space="preserve"> L</w:t>
      </w:r>
      <w:r w:rsidR="00216734">
        <w:t>.)</w:t>
      </w:r>
      <w:r w:rsidR="00067052" w:rsidRPr="00D917D9">
        <w:t xml:space="preserve"> plants in a greenhouse after a fo</w:t>
      </w:r>
      <w:r w:rsidR="00420998">
        <w:t>liar spray of azoxystrobin.  W</w:t>
      </w:r>
      <w:r w:rsidR="00067052" w:rsidRPr="00D917D9">
        <w:t>heat</w:t>
      </w:r>
      <w:r w:rsidR="00216734">
        <w:t xml:space="preserve"> </w:t>
      </w:r>
      <w:r w:rsidR="00FA118C">
        <w:t>(</w:t>
      </w:r>
      <w:r w:rsidR="00216734" w:rsidRPr="00FA118C">
        <w:rPr>
          <w:i/>
        </w:rPr>
        <w:t>Triticum aestivum</w:t>
      </w:r>
      <w:r w:rsidR="00216734" w:rsidRPr="00216734">
        <w:t xml:space="preserve"> L</w:t>
      </w:r>
      <w:r w:rsidR="00216734">
        <w:t>.)</w:t>
      </w:r>
      <w:r w:rsidR="00067052" w:rsidRPr="00D917D9">
        <w:t xml:space="preserve"> plants treated with </w:t>
      </w:r>
      <w:r w:rsidR="00420998">
        <w:t>the strobilurin kresoxim-methyl</w:t>
      </w:r>
      <w:r w:rsidR="00067052" w:rsidRPr="00D917D9">
        <w:t xml:space="preserve"> </w:t>
      </w:r>
      <w:r w:rsidR="00420998">
        <w:t>showed</w:t>
      </w:r>
      <w:r w:rsidR="00067052" w:rsidRPr="00D917D9">
        <w:t xml:space="preserve"> a 50% reduction in ethylene formation compared to non-treated plants</w:t>
      </w:r>
      <w:r w:rsidR="00420998">
        <w:t xml:space="preserve"> (Grossmann and Retzlaff, 1997)</w:t>
      </w:r>
      <w:r w:rsidR="00067052" w:rsidRPr="00D917D9">
        <w:t>. A partial inhibition of ethylene formation may explain the significant yield improvements observed in several cropping systems in the field after applications of strobilurin fungicides (</w:t>
      </w:r>
      <w:r w:rsidR="00067052" w:rsidRPr="00F62466">
        <w:rPr>
          <w:bCs/>
        </w:rPr>
        <w:t>Ammermann et al., 2000; Godwin et al., 2000; Bryson, 2000</w:t>
      </w:r>
      <w:r w:rsidR="00067052" w:rsidRPr="00D917D9">
        <w:rPr>
          <w:bCs/>
        </w:rPr>
        <w:t>)</w:t>
      </w:r>
      <w:r w:rsidR="00067052" w:rsidRPr="00D917D9">
        <w:t>. However, other studies suggest this increase in grain yield after strobilurin fungicide applications is much less pronounced in low disease pressure environments (</w:t>
      </w:r>
      <w:r w:rsidR="00067052" w:rsidRPr="00F62466">
        <w:t>Swoboda and Pedersen, 2009; Weisz et al.</w:t>
      </w:r>
      <w:r w:rsidR="00067052">
        <w:t>,</w:t>
      </w:r>
      <w:r w:rsidR="00067052" w:rsidRPr="00F62466">
        <w:t xml:space="preserve"> 2011</w:t>
      </w:r>
      <w:r w:rsidR="00067052" w:rsidRPr="00D917D9">
        <w:t>). In turfgrass, Brosnan et al. (</w:t>
      </w:r>
      <w:r w:rsidR="00067052" w:rsidRPr="00F62466">
        <w:t>2010</w:t>
      </w:r>
      <w:r w:rsidR="00067052" w:rsidRPr="00D917D9">
        <w:t>) observed significant increases in total root length and</w:t>
      </w:r>
      <w:r w:rsidR="006F576A">
        <w:t xml:space="preserve"> root</w:t>
      </w:r>
      <w:r w:rsidR="00067052" w:rsidRPr="00D917D9">
        <w:t xml:space="preserve"> biomass in ‘Penn A-1’ creeping bentgrass plants treated with pyraclostrobin compared to azoxystrobin or non-treated creeping bentgrass plants. </w:t>
      </w:r>
      <w:r w:rsidR="00067052">
        <w:t>However this effect was not observed on ‘Pe</w:t>
      </w:r>
      <w:r w:rsidR="006F576A">
        <w:t>n</w:t>
      </w:r>
      <w:r w:rsidR="00067052">
        <w:t>ncross’ creeping bentgrass.</w:t>
      </w:r>
      <w:r w:rsidR="00067052" w:rsidRPr="00D917D9">
        <w:t xml:space="preserve"> In this study, the creeping bentgrass plants were grown in a greenhouse and were subjected to temperature and moisture stress. However, at no time was turfgrass quality statistically different among treatments.</w:t>
      </w:r>
    </w:p>
    <w:p w:rsidR="00067052" w:rsidRDefault="006F576A" w:rsidP="00067052">
      <w:pPr>
        <w:spacing w:line="480" w:lineRule="auto"/>
        <w:ind w:firstLine="720"/>
      </w:pPr>
      <w:r>
        <w:t>S</w:t>
      </w:r>
      <w:r w:rsidR="00067052" w:rsidRPr="00D917D9">
        <w:t xml:space="preserve">trobilurin fungicides </w:t>
      </w:r>
      <w:r>
        <w:t xml:space="preserve">exhibit </w:t>
      </w:r>
      <w:r w:rsidR="00067052" w:rsidRPr="00D917D9">
        <w:t xml:space="preserve">efficacy </w:t>
      </w:r>
      <w:r>
        <w:t>for disease control</w:t>
      </w:r>
      <w:r w:rsidR="00067052" w:rsidRPr="00D917D9">
        <w:t xml:space="preserve">. </w:t>
      </w:r>
      <w:r>
        <w:t xml:space="preserve">In research trials, </w:t>
      </w:r>
      <w:r w:rsidR="00067052" w:rsidRPr="00D917D9">
        <w:t xml:space="preserve">disease </w:t>
      </w:r>
      <w:r>
        <w:t xml:space="preserve">control efficacy is often the primary means by which strobilurins are evaluated while effects </w:t>
      </w:r>
      <w:r w:rsidR="00067052" w:rsidRPr="00D917D9">
        <w:t xml:space="preserve">on turfgrass quality </w:t>
      </w:r>
      <w:r>
        <w:t>are</w:t>
      </w:r>
      <w:r w:rsidR="00067052" w:rsidRPr="00D917D9">
        <w:t xml:space="preserve"> secondary. Little published data exists where a </w:t>
      </w:r>
      <w:r w:rsidR="00067052" w:rsidRPr="00D917D9">
        <w:lastRenderedPageBreak/>
        <w:t>direct comparison is made between the performan</w:t>
      </w:r>
      <w:r w:rsidR="00067052">
        <w:t>ce of azoxystrobin, pyraclostrobi</w:t>
      </w:r>
      <w:r w:rsidR="00067052" w:rsidRPr="00D917D9">
        <w:t xml:space="preserve">n, fluoxastrobin, and trifloxystrobin when integrated in a summer fungicide program. Furthermore, data describing the plant </w:t>
      </w:r>
      <w:r w:rsidR="00B82D0C">
        <w:t>physiological</w:t>
      </w:r>
      <w:r w:rsidR="00067052" w:rsidRPr="00D917D9">
        <w:t xml:space="preserve"> effect</w:t>
      </w:r>
      <w:r w:rsidR="00067052">
        <w:t>s</w:t>
      </w:r>
      <w:r w:rsidR="00067052" w:rsidRPr="00D917D9">
        <w:t xml:space="preserve"> of these fungicides on turfgrass h</w:t>
      </w:r>
      <w:r w:rsidR="00420998">
        <w:t>ave</w:t>
      </w:r>
      <w:r w:rsidR="00067052" w:rsidRPr="00D917D9">
        <w:t xml:space="preserve"> never been closely examined in the field. The objective of this study </w:t>
      </w:r>
      <w:r w:rsidR="00420998">
        <w:t>was</w:t>
      </w:r>
      <w:r w:rsidR="00067052" w:rsidRPr="00D917D9">
        <w:t xml:space="preserve"> to examine disease control</w:t>
      </w:r>
      <w:r w:rsidR="00CA2EBA">
        <w:t xml:space="preserve"> efficacy</w:t>
      </w:r>
      <w:r w:rsidR="00067052" w:rsidRPr="00D917D9">
        <w:t xml:space="preserve"> and plant </w:t>
      </w:r>
      <w:r w:rsidR="00B82D0C">
        <w:t xml:space="preserve">physiological </w:t>
      </w:r>
      <w:r w:rsidR="00067052" w:rsidRPr="00D917D9">
        <w:t>effect</w:t>
      </w:r>
      <w:r w:rsidR="00CA2EBA">
        <w:t>s</w:t>
      </w:r>
      <w:r w:rsidR="00067052" w:rsidRPr="00D917D9" w:rsidDel="00F345E6">
        <w:t xml:space="preserve"> </w:t>
      </w:r>
      <w:r w:rsidR="00067052" w:rsidRPr="00D917D9">
        <w:t xml:space="preserve">of summer fungicide programs featuring azoxystrobin, pyraclostrobin, trifloxystrobin, and fluoxastrobin on a creeping bentgrass putting green in the transition zone. </w:t>
      </w:r>
    </w:p>
    <w:p w:rsidR="00AD6AEB" w:rsidRPr="00D917D9" w:rsidRDefault="00AD6AEB" w:rsidP="00315D93">
      <w:pPr>
        <w:spacing w:line="480" w:lineRule="auto"/>
        <w:ind w:firstLine="720"/>
      </w:pPr>
    </w:p>
    <w:p w:rsidR="00D917D9" w:rsidRDefault="00AD6AEB" w:rsidP="00EB30A2">
      <w:pPr>
        <w:pStyle w:val="Heading2"/>
      </w:pPr>
      <w:bookmarkStart w:id="57" w:name="_Toc353890888"/>
      <w:bookmarkStart w:id="58" w:name="_Toc353892629"/>
      <w:r w:rsidRPr="009B2EE6">
        <w:t>MATERIALS AND METHODS</w:t>
      </w:r>
      <w:bookmarkEnd w:id="57"/>
      <w:bookmarkEnd w:id="58"/>
    </w:p>
    <w:p w:rsidR="00EB30A2" w:rsidRPr="00EB30A2" w:rsidRDefault="00EB30A2" w:rsidP="00EB30A2"/>
    <w:p w:rsidR="00D917D9" w:rsidRPr="00D917D9" w:rsidRDefault="00D917D9" w:rsidP="00315D93">
      <w:pPr>
        <w:spacing w:line="480" w:lineRule="auto"/>
        <w:ind w:firstLine="720"/>
      </w:pPr>
      <w:r w:rsidRPr="00D917D9">
        <w:rPr>
          <w:i/>
        </w:rPr>
        <w:t>Research site.</w:t>
      </w:r>
      <w:r w:rsidRPr="00D917D9">
        <w:t xml:space="preserve"> This study was conducted in 2011 and 2012 at Ruggles Ferry Golf Club </w:t>
      </w:r>
      <w:r w:rsidR="00A71606">
        <w:t>(</w:t>
      </w:r>
      <w:r w:rsidRPr="00D917D9">
        <w:t>Strawberry Plains, TN</w:t>
      </w:r>
      <w:r w:rsidR="00A71606">
        <w:t>)</w:t>
      </w:r>
      <w:r w:rsidRPr="00D917D9">
        <w:t xml:space="preserve"> on a ‘Dominant </w:t>
      </w:r>
      <w:r w:rsidR="00FD4366">
        <w:t>S</w:t>
      </w:r>
      <w:r w:rsidRPr="00D917D9">
        <w:t xml:space="preserve">outhern’ </w:t>
      </w:r>
      <w:r w:rsidR="00EC540A">
        <w:t xml:space="preserve">(a blend consisting of SR1120 and </w:t>
      </w:r>
      <w:r w:rsidR="00EC540A" w:rsidRPr="00EC540A">
        <w:t>SR 1119</w:t>
      </w:r>
      <w:r w:rsidR="00EC540A">
        <w:t xml:space="preserve">) </w:t>
      </w:r>
      <w:r w:rsidRPr="00D917D9">
        <w:t>creeping bentgrass p</w:t>
      </w:r>
      <w:r w:rsidR="000E5F66">
        <w:t>utting green. The putting green</w:t>
      </w:r>
      <w:r w:rsidRPr="00D917D9">
        <w:t xml:space="preserve"> </w:t>
      </w:r>
      <w:r w:rsidR="000E5F66">
        <w:t>was</w:t>
      </w:r>
      <w:r w:rsidRPr="00D917D9">
        <w:t xml:space="preserve"> established according to United States Golf Association specifications (</w:t>
      </w:r>
      <w:r w:rsidRPr="00315D93">
        <w:t xml:space="preserve">United States </w:t>
      </w:r>
      <w:r w:rsidR="00FD4366">
        <w:t>Golf</w:t>
      </w:r>
      <w:r w:rsidR="00FD4366" w:rsidRPr="00315D93">
        <w:t xml:space="preserve"> </w:t>
      </w:r>
      <w:r w:rsidRPr="00315D93">
        <w:t>Association, 2007</w:t>
      </w:r>
      <w:r w:rsidRPr="00D917D9">
        <w:t>). This field trial was conducted in full sunlight and mowed 4 times weekly at 3</w:t>
      </w:r>
      <w:r w:rsidR="00A71606">
        <w:t xml:space="preserve"> </w:t>
      </w:r>
      <w:r w:rsidRPr="00D917D9">
        <w:t>mm</w:t>
      </w:r>
      <w:r w:rsidR="00A71606">
        <w:t xml:space="preserve"> with a reel mower</w:t>
      </w:r>
      <w:r w:rsidRPr="00D917D9">
        <w:t>. Irrigation was applied during morning hours</w:t>
      </w:r>
      <w:r w:rsidR="008D7ECA">
        <w:t xml:space="preserve"> as needed to prevent wilt. The</w:t>
      </w:r>
      <w:r w:rsidRPr="00D917D9">
        <w:t xml:space="preserve"> putting green received 25 kg N ha</w:t>
      </w:r>
      <w:r w:rsidRPr="00D917D9">
        <w:rPr>
          <w:vertAlign w:val="superscript"/>
        </w:rPr>
        <w:t>-1</w:t>
      </w:r>
      <w:r w:rsidRPr="00D917D9">
        <w:t xml:space="preserve"> </w:t>
      </w:r>
      <w:r w:rsidR="00EC540A">
        <w:t xml:space="preserve">of urea </w:t>
      </w:r>
      <w:r w:rsidRPr="00D917D9">
        <w:t>per month during the spring, fall, and winter months. During summer of both years 10 kg N ha</w:t>
      </w:r>
      <w:r w:rsidRPr="00D917D9">
        <w:rPr>
          <w:vertAlign w:val="superscript"/>
        </w:rPr>
        <w:t>-1</w:t>
      </w:r>
      <w:r w:rsidRPr="00D917D9">
        <w:t xml:space="preserve"> </w:t>
      </w:r>
      <w:r w:rsidR="00EC540A">
        <w:t xml:space="preserve">of urea </w:t>
      </w:r>
      <w:r w:rsidRPr="00D917D9">
        <w:t>was a</w:t>
      </w:r>
      <w:r w:rsidR="000E5F66">
        <w:t>pplied biweekly. The trial area was</w:t>
      </w:r>
      <w:r w:rsidR="00AB1C35">
        <w:t xml:space="preserve"> aerated and top</w:t>
      </w:r>
      <w:r w:rsidR="00AB1C35" w:rsidRPr="00D917D9">
        <w:t>dressed</w:t>
      </w:r>
      <w:r w:rsidRPr="00D917D9">
        <w:t xml:space="preserve"> with sand each spring and fall </w:t>
      </w:r>
      <w:r w:rsidR="00A71606">
        <w:t>each year</w:t>
      </w:r>
      <w:r w:rsidRPr="00D917D9">
        <w:t xml:space="preserve">. </w:t>
      </w:r>
      <w:r w:rsidRPr="001A31E2">
        <w:t>Chlorantraniliprole</w:t>
      </w:r>
      <w:r w:rsidR="00FD4366">
        <w:t xml:space="preserve"> (Acelepryn; Dupont Crop Protection, Wilmington, DE</w:t>
      </w:r>
      <w:r w:rsidR="00FD4366" w:rsidRPr="00FD4366">
        <w:t>)</w:t>
      </w:r>
      <w:r w:rsidRPr="00D917D9">
        <w:t xml:space="preserve"> was applied preventively during spring of both years to reduce insect populations. Triticonazole</w:t>
      </w:r>
      <w:r w:rsidR="00FD4366">
        <w:t xml:space="preserve"> (Trinity; </w:t>
      </w:r>
      <w:r w:rsidR="00FD4366" w:rsidRPr="00D917D9">
        <w:t>BASF Corporation, Research Triangle Park, NC</w:t>
      </w:r>
      <w:r w:rsidR="00FD4366">
        <w:t>)</w:t>
      </w:r>
      <w:r w:rsidRPr="00D917D9">
        <w:t xml:space="preserve"> was applied during early May of both years to reduce disease </w:t>
      </w:r>
      <w:r w:rsidR="00B82D0C">
        <w:t xml:space="preserve">severity </w:t>
      </w:r>
      <w:r w:rsidRPr="00D917D9">
        <w:t xml:space="preserve">before trial initiation. No </w:t>
      </w:r>
      <w:r w:rsidRPr="00D917D9">
        <w:lastRenderedPageBreak/>
        <w:t xml:space="preserve">additional environmental stress factor was artificially </w:t>
      </w:r>
      <w:r w:rsidR="00AB1C35">
        <w:t>imposed</w:t>
      </w:r>
      <w:r w:rsidRPr="00D917D9">
        <w:t xml:space="preserve"> and no inoculation procedure was administered.  </w:t>
      </w:r>
    </w:p>
    <w:p w:rsidR="00D917D9" w:rsidRPr="00D917D9" w:rsidRDefault="00D917D9" w:rsidP="00315D93">
      <w:pPr>
        <w:spacing w:line="480" w:lineRule="auto"/>
        <w:ind w:firstLine="720"/>
      </w:pPr>
      <w:r w:rsidRPr="00D917D9">
        <w:rPr>
          <w:i/>
        </w:rPr>
        <w:t>Treatments</w:t>
      </w:r>
      <w:r w:rsidRPr="00D917D9">
        <w:t>. Treatments were arranged in a randomized complete block design with four replications. Plots meas</w:t>
      </w:r>
      <w:r w:rsidR="00AB1C35">
        <w:t>ured 0.9 x 1.2 m</w:t>
      </w:r>
      <w:r w:rsidRPr="00D917D9">
        <w:t xml:space="preserve">. Fungicide programs were </w:t>
      </w:r>
      <w:r w:rsidR="005809F0">
        <w:t>initiated</w:t>
      </w:r>
      <w:r w:rsidR="00EC540A">
        <w:t xml:space="preserve"> on 31 May in 2011 and 1 </w:t>
      </w:r>
      <w:r w:rsidRPr="00D917D9">
        <w:t>June in 2012</w:t>
      </w:r>
      <w:r w:rsidR="006F4804">
        <w:t xml:space="preserve"> (</w:t>
      </w:r>
      <w:r w:rsidR="006F4804" w:rsidRPr="00315D93">
        <w:t>Table 2.1</w:t>
      </w:r>
      <w:r w:rsidR="006F4804">
        <w:t>)</w:t>
      </w:r>
      <w:r w:rsidRPr="00D917D9">
        <w:t>. Strobilurin treatments inclu</w:t>
      </w:r>
      <w:r w:rsidRPr="005B0288">
        <w:t>ded 1) azoxystrobin</w:t>
      </w:r>
      <w:r w:rsidR="00FD4366">
        <w:t xml:space="preserve"> (</w:t>
      </w:r>
      <w:r w:rsidR="00386BB5" w:rsidRPr="00D917D9">
        <w:t>Heritage</w:t>
      </w:r>
      <w:r w:rsidR="00386BB5">
        <w:t xml:space="preserve"> TL; </w:t>
      </w:r>
      <w:r w:rsidR="00386BB5" w:rsidRPr="00D917D9">
        <w:t>Syngenta Crop Protection, Greensboro, NC</w:t>
      </w:r>
      <w:r w:rsidR="00386BB5">
        <w:t>) at</w:t>
      </w:r>
      <w:r w:rsidRPr="005B0288">
        <w:t xml:space="preserve"> 0.61 kg ai ha</w:t>
      </w:r>
      <w:r w:rsidRPr="005B0288">
        <w:rPr>
          <w:vertAlign w:val="superscript"/>
        </w:rPr>
        <w:t>-1</w:t>
      </w:r>
      <w:r w:rsidRPr="005B0288">
        <w:t>; 2) pyraclostrobin</w:t>
      </w:r>
      <w:r w:rsidR="00386BB5">
        <w:t xml:space="preserve"> (Insignia SC; </w:t>
      </w:r>
      <w:r w:rsidR="00386BB5" w:rsidRPr="00D917D9">
        <w:t>BASF Corporation, Research Triangle Park, NC</w:t>
      </w:r>
      <w:r w:rsidR="00386BB5">
        <w:t>)</w:t>
      </w:r>
      <w:r w:rsidRPr="005B0288">
        <w:t xml:space="preserve"> at 0.55 kg ai ha</w:t>
      </w:r>
      <w:r w:rsidRPr="005B0288">
        <w:rPr>
          <w:vertAlign w:val="superscript"/>
        </w:rPr>
        <w:t>-1</w:t>
      </w:r>
      <w:r w:rsidRPr="005B0288">
        <w:t>; 3) fluoxastrobin</w:t>
      </w:r>
      <w:r w:rsidR="00386BB5">
        <w:t xml:space="preserve"> (Disarm</w:t>
      </w:r>
      <w:r w:rsidRPr="005B0288">
        <w:t xml:space="preserve">; Arysta LifeScience North </w:t>
      </w:r>
      <w:r w:rsidR="00386BB5" w:rsidRPr="005B0288">
        <w:t>America</w:t>
      </w:r>
      <w:r w:rsidRPr="005B0288">
        <w:t xml:space="preserve"> LLC, Cary, NC) at 0.55 kg ai ha</w:t>
      </w:r>
      <w:r w:rsidRPr="005B0288">
        <w:rPr>
          <w:vertAlign w:val="superscript"/>
        </w:rPr>
        <w:t>-1</w:t>
      </w:r>
      <w:r w:rsidRPr="005B0288">
        <w:t>; 4) trifloxystrobin</w:t>
      </w:r>
      <w:r w:rsidRPr="00D917D9">
        <w:t xml:space="preserve"> (Compass</w:t>
      </w:r>
      <w:r w:rsidR="00386BB5">
        <w:t>;</w:t>
      </w:r>
      <w:r w:rsidRPr="00D917D9">
        <w:t xml:space="preserve"> Bayer Environmental Science, Research Triangle Park, NC) at 0.38 kg ai ha</w:t>
      </w:r>
      <w:r w:rsidRPr="00D917D9">
        <w:rPr>
          <w:vertAlign w:val="superscript"/>
        </w:rPr>
        <w:t>-1</w:t>
      </w:r>
      <w:r w:rsidRPr="00D917D9">
        <w:t>; an</w:t>
      </w:r>
      <w:r w:rsidR="005809F0">
        <w:t>d 5) non-treated control</w:t>
      </w:r>
      <w:r w:rsidRPr="00D917D9">
        <w:t xml:space="preserve">. </w:t>
      </w:r>
      <w:r w:rsidR="00FA118C">
        <w:t xml:space="preserve">The rates of application represent the high labeled rates for each of the strobilurin fungicides. </w:t>
      </w:r>
      <w:r w:rsidRPr="00D917D9">
        <w:t xml:space="preserve">These treatments </w:t>
      </w:r>
      <w:r w:rsidR="00F345E6">
        <w:t>made</w:t>
      </w:r>
      <w:r w:rsidR="00F345E6" w:rsidRPr="00D917D9">
        <w:t xml:space="preserve"> </w:t>
      </w:r>
      <w:r w:rsidRPr="00D917D9">
        <w:t>up the 2</w:t>
      </w:r>
      <w:r w:rsidRPr="00D917D9">
        <w:rPr>
          <w:vertAlign w:val="superscript"/>
        </w:rPr>
        <w:t>nd</w:t>
      </w:r>
      <w:r w:rsidRPr="00D917D9">
        <w:t xml:space="preserve"> and 5</w:t>
      </w:r>
      <w:r w:rsidRPr="00D917D9">
        <w:rPr>
          <w:vertAlign w:val="superscript"/>
        </w:rPr>
        <w:t>th</w:t>
      </w:r>
      <w:r w:rsidRPr="00D917D9">
        <w:t xml:space="preserve"> application within </w:t>
      </w:r>
      <w:r w:rsidR="00A71606">
        <w:t>each</w:t>
      </w:r>
      <w:r w:rsidR="00A71606" w:rsidRPr="00D917D9">
        <w:t xml:space="preserve"> </w:t>
      </w:r>
      <w:r w:rsidRPr="00D917D9">
        <w:t xml:space="preserve">fungicide program. </w:t>
      </w:r>
      <w:r w:rsidR="00F345E6">
        <w:t xml:space="preserve">All </w:t>
      </w:r>
      <w:r w:rsidR="00D97263">
        <w:t>treatments within each fungicide program were the same except for the strobilurin treatments. T</w:t>
      </w:r>
      <w:r w:rsidRPr="00D917D9">
        <w:t xml:space="preserve">reatments </w:t>
      </w:r>
      <w:r w:rsidR="00E52D61">
        <w:t>were applied as a foliar spray using a spray boom</w:t>
      </w:r>
      <w:r w:rsidRPr="00D917D9">
        <w:t xml:space="preserve"> equipped with two, flat-fan, </w:t>
      </w:r>
      <w:r w:rsidRPr="005B0288">
        <w:t>nozzles</w:t>
      </w:r>
      <w:r w:rsidR="00386BB5">
        <w:t xml:space="preserve"> (</w:t>
      </w:r>
      <w:r w:rsidR="00386BB5">
        <w:rPr>
          <w:rFonts w:ascii="TimesNewRomanPSMT" w:hAnsi="TimesNewRomanPSMT" w:cs="TimesNewRomanPSMT"/>
        </w:rPr>
        <w:t>8004EVS; Spraying Systems Co., Roswell, GA)</w:t>
      </w:r>
      <w:r w:rsidRPr="00D917D9">
        <w:t xml:space="preserve"> calibrated to deliver a spray volume of 807 L per ha</w:t>
      </w:r>
      <w:r w:rsidRPr="00D917D9">
        <w:rPr>
          <w:vertAlign w:val="superscript"/>
        </w:rPr>
        <w:t>-1</w:t>
      </w:r>
      <w:r w:rsidRPr="00D917D9">
        <w:t xml:space="preserve">. </w:t>
      </w:r>
    </w:p>
    <w:p w:rsidR="00D917D9" w:rsidRPr="00D917D9" w:rsidRDefault="00D917D9" w:rsidP="00315D93">
      <w:pPr>
        <w:spacing w:line="480" w:lineRule="auto"/>
        <w:ind w:firstLine="720"/>
      </w:pPr>
      <w:r w:rsidRPr="00D917D9">
        <w:rPr>
          <w:i/>
        </w:rPr>
        <w:t>Data collection.</w:t>
      </w:r>
      <w:r w:rsidRPr="00D917D9">
        <w:t xml:space="preserve"> </w:t>
      </w:r>
      <w:r w:rsidR="00570960">
        <w:t>Turfgrass</w:t>
      </w:r>
      <w:r w:rsidR="00570960" w:rsidRPr="00D917D9">
        <w:t xml:space="preserve"> </w:t>
      </w:r>
      <w:r w:rsidRPr="00D917D9">
        <w:t xml:space="preserve">quality was assessed immediately </w:t>
      </w:r>
      <w:r w:rsidR="00E52D61">
        <w:t>prior to each spray application</w:t>
      </w:r>
      <w:r w:rsidRPr="00D917D9">
        <w:t>. Turfgrass quality was evaluated by estimating the overall color, density, uniformity, growth, and leaf texture using a 1</w:t>
      </w:r>
      <w:r w:rsidR="00570960">
        <w:t xml:space="preserve"> to </w:t>
      </w:r>
      <w:r w:rsidRPr="00D917D9">
        <w:t xml:space="preserve">9 scale where 1 = brown or dead turf and 9 = exceptional quality. A value of 6 </w:t>
      </w:r>
      <w:r w:rsidR="00570960">
        <w:t>was</w:t>
      </w:r>
      <w:r w:rsidR="00570960" w:rsidRPr="00D917D9">
        <w:t xml:space="preserve"> </w:t>
      </w:r>
      <w:r w:rsidRPr="00D917D9">
        <w:t xml:space="preserve">considered to be the minimum acceptable level of </w:t>
      </w:r>
      <w:r w:rsidR="00570960">
        <w:t xml:space="preserve">turfgrass </w:t>
      </w:r>
      <w:r w:rsidRPr="00D917D9">
        <w:t xml:space="preserve">quality for industry standards. Turfgrass quality data </w:t>
      </w:r>
      <w:r w:rsidR="00570960">
        <w:t>were</w:t>
      </w:r>
      <w:r w:rsidR="00570960" w:rsidRPr="00D917D9">
        <w:t xml:space="preserve"> </w:t>
      </w:r>
      <w:r w:rsidR="00570960">
        <w:t>collected</w:t>
      </w:r>
      <w:r w:rsidR="00570960" w:rsidRPr="00D917D9">
        <w:t xml:space="preserve"> </w:t>
      </w:r>
      <w:r w:rsidRPr="00D917D9">
        <w:t xml:space="preserve">by the same researcher in both experimental runs. </w:t>
      </w:r>
    </w:p>
    <w:p w:rsidR="00D917D9" w:rsidRPr="00D917D9" w:rsidRDefault="00D917D9" w:rsidP="00315D93">
      <w:pPr>
        <w:spacing w:line="480" w:lineRule="auto"/>
        <w:ind w:firstLine="720"/>
        <w:rPr>
          <w:color w:val="000000"/>
        </w:rPr>
      </w:pPr>
      <w:r w:rsidRPr="00D917D9">
        <w:rPr>
          <w:color w:val="000000"/>
        </w:rPr>
        <w:lastRenderedPageBreak/>
        <w:t>Spectral reflectance of the canopy was measured immediately prior to each spray application using a Crop Circle</w:t>
      </w:r>
      <w:r w:rsidRPr="00FA118C">
        <w:rPr>
          <w:color w:val="000000"/>
          <w:vertAlign w:val="superscript"/>
        </w:rPr>
        <w:t>TM</w:t>
      </w:r>
      <w:r w:rsidRPr="00D917D9">
        <w:rPr>
          <w:color w:val="000000"/>
        </w:rPr>
        <w:t xml:space="preserve"> reflectance </w:t>
      </w:r>
      <w:r w:rsidRPr="005B0288">
        <w:rPr>
          <w:color w:val="000000"/>
        </w:rPr>
        <w:t>spectrometer</w:t>
      </w:r>
      <w:r w:rsidR="00FD4366">
        <w:rPr>
          <w:color w:val="000000"/>
        </w:rPr>
        <w:t xml:space="preserve"> (</w:t>
      </w:r>
      <w:r w:rsidR="00386BB5" w:rsidRPr="00D917D9">
        <w:rPr>
          <w:color w:val="000000"/>
        </w:rPr>
        <w:t>ACS-470</w:t>
      </w:r>
      <w:r w:rsidR="00386BB5">
        <w:rPr>
          <w:color w:val="000000"/>
        </w:rPr>
        <w:t>;</w:t>
      </w:r>
      <w:r w:rsidR="00386BB5" w:rsidRPr="00D917D9">
        <w:rPr>
          <w:color w:val="000000"/>
        </w:rPr>
        <w:t xml:space="preserve"> Holland Scientific, Lincoln, NE</w:t>
      </w:r>
      <w:r w:rsidR="007E2403">
        <w:rPr>
          <w:color w:val="000000"/>
        </w:rPr>
        <w:t>)</w:t>
      </w:r>
      <w:r w:rsidRPr="00D917D9">
        <w:rPr>
          <w:color w:val="000000"/>
        </w:rPr>
        <w:t xml:space="preserve">. This model </w:t>
      </w:r>
      <w:r w:rsidR="00156692">
        <w:rPr>
          <w:color w:val="000000"/>
        </w:rPr>
        <w:t>had</w:t>
      </w:r>
      <w:r w:rsidR="00156692" w:rsidRPr="00D917D9">
        <w:rPr>
          <w:color w:val="000000"/>
        </w:rPr>
        <w:t xml:space="preserve"> </w:t>
      </w:r>
      <w:r w:rsidRPr="00D917D9">
        <w:rPr>
          <w:color w:val="000000"/>
        </w:rPr>
        <w:t xml:space="preserve">a built-in light sensor that simultaneously emits visible and near infrared light onto the </w:t>
      </w:r>
      <w:r w:rsidR="00156692">
        <w:rPr>
          <w:color w:val="000000"/>
        </w:rPr>
        <w:t xml:space="preserve">turf </w:t>
      </w:r>
      <w:r w:rsidRPr="00D917D9">
        <w:rPr>
          <w:color w:val="000000"/>
        </w:rPr>
        <w:t xml:space="preserve">canopy.  These sensors were fitted </w:t>
      </w:r>
      <w:r w:rsidR="00386BB5">
        <w:rPr>
          <w:color w:val="000000"/>
        </w:rPr>
        <w:t xml:space="preserve">onto a golf push cart and </w:t>
      </w:r>
      <w:r w:rsidR="009B772E">
        <w:rPr>
          <w:color w:val="000000"/>
        </w:rPr>
        <w:t>suspended</w:t>
      </w:r>
      <w:r w:rsidR="009B772E" w:rsidRPr="00D917D9">
        <w:rPr>
          <w:color w:val="000000"/>
        </w:rPr>
        <w:t xml:space="preserve"> </w:t>
      </w:r>
      <w:r w:rsidRPr="00D917D9">
        <w:rPr>
          <w:color w:val="000000"/>
        </w:rPr>
        <w:t>approximately 0.75</w:t>
      </w:r>
      <w:r w:rsidR="00156692">
        <w:rPr>
          <w:color w:val="000000"/>
        </w:rPr>
        <w:t xml:space="preserve"> </w:t>
      </w:r>
      <w:r w:rsidRPr="00D917D9">
        <w:rPr>
          <w:color w:val="000000"/>
        </w:rPr>
        <w:t>m above the canopy surface</w:t>
      </w:r>
      <w:r w:rsidR="00156692">
        <w:rPr>
          <w:color w:val="000000"/>
        </w:rPr>
        <w:t>. This apparatus was</w:t>
      </w:r>
      <w:r w:rsidRPr="00D917D9">
        <w:rPr>
          <w:color w:val="000000"/>
        </w:rPr>
        <w:t xml:space="preserve"> pushed across the center of the plot to obtain normalized difference vegetation index (NDVI) and ratio vegetation index (RVI)</w:t>
      </w:r>
      <w:r w:rsidR="00156692">
        <w:rPr>
          <w:color w:val="000000"/>
        </w:rPr>
        <w:t xml:space="preserve"> values for each treatment</w:t>
      </w:r>
      <w:r w:rsidRPr="00D917D9">
        <w:rPr>
          <w:color w:val="000000"/>
        </w:rPr>
        <w:t xml:space="preserve">. NDVI and RVI were logged with a GeoSCOUT DIS </w:t>
      </w:r>
      <w:r w:rsidRPr="005B0288">
        <w:rPr>
          <w:color w:val="000000"/>
        </w:rPr>
        <w:t>Datalogger</w:t>
      </w:r>
      <w:r w:rsidR="00386BB5">
        <w:rPr>
          <w:color w:val="000000"/>
        </w:rPr>
        <w:t xml:space="preserve"> (</w:t>
      </w:r>
      <w:r w:rsidR="00386BB5" w:rsidRPr="00D917D9">
        <w:rPr>
          <w:color w:val="000000"/>
        </w:rPr>
        <w:t>GLS-400</w:t>
      </w:r>
      <w:r w:rsidR="00386BB5">
        <w:rPr>
          <w:color w:val="000000"/>
        </w:rPr>
        <w:t>;</w:t>
      </w:r>
      <w:r w:rsidR="00386BB5" w:rsidRPr="00D917D9">
        <w:rPr>
          <w:color w:val="000000"/>
        </w:rPr>
        <w:t xml:space="preserve"> Holland Scientific, Lincoln, NE</w:t>
      </w:r>
      <w:r w:rsidR="00386BB5">
        <w:rPr>
          <w:color w:val="000000"/>
        </w:rPr>
        <w:t>)</w:t>
      </w:r>
      <w:r w:rsidR="005B0288" w:rsidRPr="005B0288">
        <w:rPr>
          <w:color w:val="000000"/>
        </w:rPr>
        <w:t>.</w:t>
      </w:r>
    </w:p>
    <w:p w:rsidR="00D917D9" w:rsidRPr="00D917D9" w:rsidRDefault="00D917D9" w:rsidP="00315D93">
      <w:pPr>
        <w:spacing w:line="480" w:lineRule="auto"/>
        <w:ind w:firstLine="720"/>
        <w:rPr>
          <w:color w:val="000000"/>
        </w:rPr>
      </w:pPr>
      <w:r w:rsidRPr="00D917D9">
        <w:rPr>
          <w:color w:val="000000"/>
        </w:rPr>
        <w:t xml:space="preserve">Analysis of percent turfgrass cover was quantified </w:t>
      </w:r>
      <w:r w:rsidR="00156692">
        <w:rPr>
          <w:color w:val="000000"/>
        </w:rPr>
        <w:t>using</w:t>
      </w:r>
      <w:r w:rsidR="00156692" w:rsidRPr="00D917D9">
        <w:rPr>
          <w:color w:val="000000"/>
        </w:rPr>
        <w:t xml:space="preserve"> </w:t>
      </w:r>
      <w:r w:rsidRPr="00D917D9">
        <w:rPr>
          <w:color w:val="000000"/>
        </w:rPr>
        <w:t xml:space="preserve">digital image analysis (DIA). Digital images were captured using a </w:t>
      </w:r>
      <w:r w:rsidRPr="005B0288">
        <w:rPr>
          <w:color w:val="000000"/>
        </w:rPr>
        <w:t>Canon G12</w:t>
      </w:r>
      <w:r w:rsidR="00552208">
        <w:rPr>
          <w:color w:val="000000"/>
        </w:rPr>
        <w:t xml:space="preserve"> (</w:t>
      </w:r>
      <w:r w:rsidR="00552208" w:rsidRPr="00ED2527">
        <w:rPr>
          <w:color w:val="000000"/>
        </w:rPr>
        <w:t>Canon G12</w:t>
      </w:r>
      <w:r w:rsidR="00552208">
        <w:rPr>
          <w:color w:val="000000"/>
        </w:rPr>
        <w:t xml:space="preserve">; </w:t>
      </w:r>
      <w:r w:rsidR="00552208" w:rsidRPr="00D917D9">
        <w:rPr>
          <w:color w:val="000000"/>
        </w:rPr>
        <w:t>Canon Inc</w:t>
      </w:r>
      <w:r w:rsidR="00552208">
        <w:rPr>
          <w:color w:val="000000"/>
        </w:rPr>
        <w:t>.</w:t>
      </w:r>
      <w:r w:rsidR="00552208" w:rsidRPr="00D917D9">
        <w:rPr>
          <w:color w:val="000000"/>
        </w:rPr>
        <w:t>, Japan</w:t>
      </w:r>
      <w:r w:rsidR="00552208">
        <w:rPr>
          <w:color w:val="000000"/>
        </w:rPr>
        <w:t>)</w:t>
      </w:r>
      <w:r w:rsidR="005B0288">
        <w:rPr>
          <w:color w:val="000000"/>
        </w:rPr>
        <w:t xml:space="preserve"> </w:t>
      </w:r>
      <w:r w:rsidR="00156692">
        <w:rPr>
          <w:color w:val="000000"/>
        </w:rPr>
        <w:t xml:space="preserve">digital </w:t>
      </w:r>
      <w:r w:rsidRPr="00D917D9">
        <w:rPr>
          <w:color w:val="000000"/>
        </w:rPr>
        <w:t xml:space="preserve">camera. </w:t>
      </w:r>
      <w:r w:rsidR="007A5DB0">
        <w:rPr>
          <w:color w:val="000000"/>
        </w:rPr>
        <w:t>In 2011, t</w:t>
      </w:r>
      <w:r w:rsidRPr="00D917D9">
        <w:rPr>
          <w:color w:val="000000"/>
        </w:rPr>
        <w:t>he camera was mounted inside a 0.28 m</w:t>
      </w:r>
      <w:r w:rsidRPr="00D917D9">
        <w:rPr>
          <w:color w:val="000000"/>
          <w:vertAlign w:val="superscript"/>
        </w:rPr>
        <w:t>2</w:t>
      </w:r>
      <w:r w:rsidRPr="00D917D9">
        <w:rPr>
          <w:color w:val="000000"/>
        </w:rPr>
        <w:t xml:space="preserve"> box equipped with </w:t>
      </w:r>
      <w:r w:rsidR="001B24C1">
        <w:rPr>
          <w:color w:val="000000"/>
        </w:rPr>
        <w:t>four</w:t>
      </w:r>
      <w:r w:rsidR="001B24C1" w:rsidRPr="00D917D9">
        <w:rPr>
          <w:color w:val="000000"/>
        </w:rPr>
        <w:t xml:space="preserve"> </w:t>
      </w:r>
      <w:r w:rsidR="007A5DB0">
        <w:rPr>
          <w:color w:val="000000"/>
        </w:rPr>
        <w:t>fluorescent light bulbs</w:t>
      </w:r>
      <w:r w:rsidRPr="00D917D9">
        <w:rPr>
          <w:color w:val="000000"/>
        </w:rPr>
        <w:t xml:space="preserve">. </w:t>
      </w:r>
      <w:r w:rsidR="007A5DB0">
        <w:rPr>
          <w:color w:val="000000"/>
        </w:rPr>
        <w:t>In 2012, the 0.28 m</w:t>
      </w:r>
      <w:r w:rsidR="007A5DB0" w:rsidRPr="00552208">
        <w:rPr>
          <w:color w:val="000000"/>
          <w:vertAlign w:val="superscript"/>
        </w:rPr>
        <w:t>2</w:t>
      </w:r>
      <w:r w:rsidR="007A5DB0">
        <w:rPr>
          <w:color w:val="000000"/>
        </w:rPr>
        <w:t xml:space="preserve"> light box was equipped with </w:t>
      </w:r>
      <w:r w:rsidR="001B24C1">
        <w:rPr>
          <w:color w:val="000000"/>
        </w:rPr>
        <w:t xml:space="preserve">four </w:t>
      </w:r>
      <w:r w:rsidR="00FA118C">
        <w:rPr>
          <w:color w:val="000000"/>
        </w:rPr>
        <w:t>light-emitting diodes (</w:t>
      </w:r>
      <w:r w:rsidR="007A5DB0">
        <w:rPr>
          <w:color w:val="000000"/>
        </w:rPr>
        <w:t>LED</w:t>
      </w:r>
      <w:r w:rsidR="00FA118C">
        <w:rPr>
          <w:rStyle w:val="CommentReference"/>
        </w:rPr>
        <w:t>)</w:t>
      </w:r>
      <w:r w:rsidR="007A5DB0">
        <w:rPr>
          <w:color w:val="000000"/>
        </w:rPr>
        <w:t xml:space="preserve">. </w:t>
      </w:r>
      <w:r w:rsidRPr="00D917D9">
        <w:rPr>
          <w:color w:val="000000"/>
        </w:rPr>
        <w:t>Digital images were captured immediately prior to each spray application. Image size in this experiment was 307,200 pixels.</w:t>
      </w:r>
      <w:r w:rsidR="00084DD6">
        <w:rPr>
          <w:color w:val="000000"/>
        </w:rPr>
        <w:t xml:space="preserve"> Digital images were analyzed using </w:t>
      </w:r>
      <w:r w:rsidR="00552208">
        <w:rPr>
          <w:color w:val="000000"/>
        </w:rPr>
        <w:t xml:space="preserve">SigmaScan Pro </w:t>
      </w:r>
      <w:r w:rsidR="008A104A">
        <w:rPr>
          <w:color w:val="000000"/>
        </w:rPr>
        <w:t>(Version</w:t>
      </w:r>
      <w:r w:rsidR="008A104A" w:rsidRPr="00D917D9">
        <w:rPr>
          <w:color w:val="000000"/>
        </w:rPr>
        <w:t xml:space="preserve"> 5.0; SPSS Inc</w:t>
      </w:r>
      <w:r w:rsidR="008A104A">
        <w:rPr>
          <w:color w:val="000000"/>
        </w:rPr>
        <w:t>.</w:t>
      </w:r>
      <w:r w:rsidR="008A104A" w:rsidRPr="00D917D9">
        <w:rPr>
          <w:color w:val="000000"/>
        </w:rPr>
        <w:t>, Chicago, IL</w:t>
      </w:r>
      <w:r w:rsidR="008A104A">
        <w:rPr>
          <w:color w:val="000000"/>
        </w:rPr>
        <w:t xml:space="preserve">) </w:t>
      </w:r>
      <w:r w:rsidR="00552208">
        <w:rPr>
          <w:color w:val="000000"/>
        </w:rPr>
        <w:t xml:space="preserve">software similar to the </w:t>
      </w:r>
      <w:r w:rsidR="00084DD6">
        <w:rPr>
          <w:color w:val="000000"/>
        </w:rPr>
        <w:t xml:space="preserve">methods </w:t>
      </w:r>
      <w:r w:rsidR="00156692">
        <w:rPr>
          <w:color w:val="000000"/>
        </w:rPr>
        <w:t xml:space="preserve">of </w:t>
      </w:r>
      <w:r w:rsidR="00084DD6">
        <w:rPr>
          <w:color w:val="000000"/>
        </w:rPr>
        <w:t>Richardson et al. (2001)</w:t>
      </w:r>
      <w:r w:rsidR="00552208">
        <w:rPr>
          <w:color w:val="000000"/>
        </w:rPr>
        <w:t xml:space="preserve">. </w:t>
      </w:r>
      <w:r w:rsidRPr="00D917D9">
        <w:rPr>
          <w:color w:val="000000"/>
        </w:rPr>
        <w:t>Pixels classified as green turf expressed a hue range of 45</w:t>
      </w:r>
      <w:r w:rsidRPr="00D917D9">
        <w:rPr>
          <w:color w:val="000000"/>
          <w:vertAlign w:val="superscript"/>
        </w:rPr>
        <w:t>o</w:t>
      </w:r>
      <w:r w:rsidRPr="00D917D9">
        <w:rPr>
          <w:color w:val="000000"/>
        </w:rPr>
        <w:t xml:space="preserve"> to 120</w:t>
      </w:r>
      <w:r w:rsidRPr="00D917D9">
        <w:rPr>
          <w:color w:val="000000"/>
          <w:vertAlign w:val="superscript"/>
        </w:rPr>
        <w:t>o</w:t>
      </w:r>
      <w:r w:rsidR="006B3F29" w:rsidRPr="006B3F29">
        <w:rPr>
          <w:color w:val="000000"/>
        </w:rPr>
        <w:t>,</w:t>
      </w:r>
      <w:r w:rsidRPr="00D917D9">
        <w:rPr>
          <w:color w:val="000000"/>
        </w:rPr>
        <w:t xml:space="preserve"> </w:t>
      </w:r>
      <w:r w:rsidR="00156692">
        <w:rPr>
          <w:color w:val="000000"/>
        </w:rPr>
        <w:t>with</w:t>
      </w:r>
      <w:r w:rsidR="00156692" w:rsidRPr="00D917D9">
        <w:rPr>
          <w:color w:val="000000"/>
        </w:rPr>
        <w:t xml:space="preserve"> </w:t>
      </w:r>
      <w:r w:rsidRPr="00D917D9">
        <w:rPr>
          <w:color w:val="000000"/>
        </w:rPr>
        <w:t xml:space="preserve">saturation defined between 0% and 100%. </w:t>
      </w:r>
    </w:p>
    <w:p w:rsidR="00D917D9" w:rsidRPr="00D917D9" w:rsidRDefault="007275F0" w:rsidP="00315D93">
      <w:pPr>
        <w:spacing w:line="480" w:lineRule="auto"/>
        <w:ind w:firstLine="720"/>
        <w:rPr>
          <w:color w:val="000000"/>
        </w:rPr>
      </w:pPr>
      <w:r>
        <w:rPr>
          <w:color w:val="000000"/>
        </w:rPr>
        <w:t>Brown patch and dollar spot severity were</w:t>
      </w:r>
      <w:r w:rsidR="00D917D9" w:rsidRPr="00D917D9">
        <w:rPr>
          <w:color w:val="000000"/>
        </w:rPr>
        <w:t xml:space="preserve"> visually assessed when symptoms were present in the trial area. Brown patch was evaluated as percent turf area infected. Dollar spot was evaluated by counting the number of dollar spot </w:t>
      </w:r>
      <w:r w:rsidR="009A71A1">
        <w:rPr>
          <w:color w:val="000000"/>
        </w:rPr>
        <w:t>foci</w:t>
      </w:r>
      <w:r w:rsidR="00D917D9" w:rsidRPr="00D917D9">
        <w:rPr>
          <w:color w:val="000000"/>
        </w:rPr>
        <w:t xml:space="preserve"> per plot. No other confirmed diseases were </w:t>
      </w:r>
      <w:r w:rsidR="00B748F8">
        <w:rPr>
          <w:color w:val="000000"/>
        </w:rPr>
        <w:t>observed</w:t>
      </w:r>
      <w:r w:rsidR="00B748F8" w:rsidRPr="00D917D9">
        <w:rPr>
          <w:color w:val="000000"/>
        </w:rPr>
        <w:t xml:space="preserve"> </w:t>
      </w:r>
      <w:r w:rsidR="00D917D9" w:rsidRPr="00D917D9">
        <w:rPr>
          <w:color w:val="000000"/>
        </w:rPr>
        <w:t>during the trial duration</w:t>
      </w:r>
      <w:r>
        <w:rPr>
          <w:color w:val="000000"/>
        </w:rPr>
        <w:t xml:space="preserve"> in either year</w:t>
      </w:r>
      <w:r w:rsidR="00D917D9" w:rsidRPr="00D917D9">
        <w:rPr>
          <w:color w:val="000000"/>
        </w:rPr>
        <w:t xml:space="preserve">. </w:t>
      </w:r>
    </w:p>
    <w:p w:rsidR="00D917D9" w:rsidRPr="00D917D9" w:rsidRDefault="00D917D9" w:rsidP="00315D93">
      <w:pPr>
        <w:spacing w:line="480" w:lineRule="auto"/>
        <w:ind w:firstLine="720"/>
        <w:rPr>
          <w:color w:val="000000"/>
        </w:rPr>
      </w:pPr>
      <w:r w:rsidRPr="00D917D9">
        <w:rPr>
          <w:color w:val="000000"/>
        </w:rPr>
        <w:t xml:space="preserve">A root morphology assessment was conducted at the termination of the trial period after both experimental runs. </w:t>
      </w:r>
      <w:r w:rsidRPr="005B0288">
        <w:rPr>
          <w:color w:val="000000"/>
        </w:rPr>
        <w:t>A soil profiler</w:t>
      </w:r>
      <w:r w:rsidR="008A104A">
        <w:rPr>
          <w:color w:val="000000"/>
        </w:rPr>
        <w:t xml:space="preserve"> (Soil profiler; </w:t>
      </w:r>
      <w:r w:rsidR="008A104A" w:rsidRPr="00D917D9">
        <w:rPr>
          <w:color w:val="000000"/>
        </w:rPr>
        <w:t xml:space="preserve">Forestry Suppliers Inc., </w:t>
      </w:r>
      <w:r w:rsidR="008A104A" w:rsidRPr="00D917D9">
        <w:rPr>
          <w:color w:val="000000"/>
        </w:rPr>
        <w:lastRenderedPageBreak/>
        <w:t>Jackson, MS</w:t>
      </w:r>
      <w:r w:rsidR="008A104A">
        <w:rPr>
          <w:color w:val="000000"/>
        </w:rPr>
        <w:t>)</w:t>
      </w:r>
      <w:r w:rsidRPr="00D917D9">
        <w:rPr>
          <w:color w:val="000000"/>
        </w:rPr>
        <w:t xml:space="preserve"> was used to extract 14 soil profiles from each plot. Soil profiles measured 25cm</w:t>
      </w:r>
      <w:r w:rsidRPr="00D917D9">
        <w:rPr>
          <w:color w:val="000000"/>
          <w:vertAlign w:val="superscript"/>
        </w:rPr>
        <w:t>2</w:t>
      </w:r>
      <w:r w:rsidRPr="00D917D9">
        <w:rPr>
          <w:color w:val="000000"/>
        </w:rPr>
        <w:t xml:space="preserve"> and were pulled from a depth of 18 cm into the rootzone. Soil profiles were gently rinsed with water to remove sand and organic </w:t>
      </w:r>
      <w:r w:rsidR="00F65A64" w:rsidRPr="00D917D9">
        <w:rPr>
          <w:color w:val="000000"/>
        </w:rPr>
        <w:t>contam</w:t>
      </w:r>
      <w:r w:rsidR="00F65A64">
        <w:rPr>
          <w:color w:val="000000"/>
        </w:rPr>
        <w:t>ina</w:t>
      </w:r>
      <w:r w:rsidR="00F65A64" w:rsidRPr="00D917D9">
        <w:rPr>
          <w:color w:val="000000"/>
        </w:rPr>
        <w:t>nts</w:t>
      </w:r>
      <w:r w:rsidRPr="00D917D9">
        <w:rPr>
          <w:color w:val="000000"/>
        </w:rPr>
        <w:t xml:space="preserve">. </w:t>
      </w:r>
      <w:r w:rsidR="008A104A">
        <w:rPr>
          <w:color w:val="000000"/>
        </w:rPr>
        <w:t>In 2011, t</w:t>
      </w:r>
      <w:r w:rsidRPr="00D917D9">
        <w:rPr>
          <w:color w:val="000000"/>
        </w:rPr>
        <w:t>he remaining roots were scanned and analyzed for total root length, root surface area, root diameter and r</w:t>
      </w:r>
      <w:r w:rsidR="00552208">
        <w:rPr>
          <w:color w:val="000000"/>
        </w:rPr>
        <w:t>oot volume</w:t>
      </w:r>
      <w:r w:rsidR="00880780">
        <w:rPr>
          <w:color w:val="000000"/>
        </w:rPr>
        <w:t xml:space="preserve"> </w:t>
      </w:r>
      <w:r w:rsidRPr="00D917D9">
        <w:rPr>
          <w:color w:val="000000"/>
        </w:rPr>
        <w:t xml:space="preserve">using the </w:t>
      </w:r>
      <w:r w:rsidRPr="005B0288">
        <w:rPr>
          <w:color w:val="000000"/>
        </w:rPr>
        <w:t>WinRhizo Pro system</w:t>
      </w:r>
      <w:r w:rsidR="008A104A">
        <w:rPr>
          <w:color w:val="000000"/>
          <w:vertAlign w:val="superscript"/>
        </w:rPr>
        <w:t xml:space="preserve"> </w:t>
      </w:r>
      <w:r w:rsidR="008A104A">
        <w:rPr>
          <w:color w:val="000000"/>
        </w:rPr>
        <w:t>(</w:t>
      </w:r>
      <w:r w:rsidR="008A104A" w:rsidRPr="00A21E4E">
        <w:rPr>
          <w:color w:val="000000"/>
        </w:rPr>
        <w:t>WinRhizo Pro</w:t>
      </w:r>
      <w:r w:rsidR="008A104A">
        <w:rPr>
          <w:color w:val="000000"/>
        </w:rPr>
        <w:t xml:space="preserve">; </w:t>
      </w:r>
      <w:r w:rsidR="008A104A" w:rsidRPr="00D917D9">
        <w:rPr>
          <w:color w:val="000000"/>
        </w:rPr>
        <w:t xml:space="preserve">Regent Instruments Inc., </w:t>
      </w:r>
      <w:r w:rsidR="008A104A">
        <w:rPr>
          <w:color w:val="000000"/>
        </w:rPr>
        <w:t>Canada)</w:t>
      </w:r>
      <w:r w:rsidR="005B0288">
        <w:rPr>
          <w:color w:val="000000"/>
        </w:rPr>
        <w:t xml:space="preserve">. </w:t>
      </w:r>
      <w:r w:rsidRPr="00D917D9">
        <w:rPr>
          <w:color w:val="000000"/>
        </w:rPr>
        <w:t>Procedures were similar to those outlined in Beasley and Branham (2007) and</w:t>
      </w:r>
      <w:r w:rsidR="00320D41">
        <w:rPr>
          <w:color w:val="000000"/>
        </w:rPr>
        <w:t xml:space="preserve"> Brosnan et al. (2010). </w:t>
      </w:r>
      <w:r w:rsidR="00552208">
        <w:rPr>
          <w:color w:val="000000"/>
        </w:rPr>
        <w:t xml:space="preserve">WinRhizo measurements were not conducted in 2012. </w:t>
      </w:r>
      <w:r w:rsidRPr="00D917D9">
        <w:rPr>
          <w:color w:val="000000"/>
        </w:rPr>
        <w:t xml:space="preserve">To determine root biomass, roots were placed inside a </w:t>
      </w:r>
      <w:r w:rsidRPr="005B0288">
        <w:rPr>
          <w:color w:val="000000"/>
        </w:rPr>
        <w:t>drying oven</w:t>
      </w:r>
      <w:r w:rsidR="00182291">
        <w:rPr>
          <w:color w:val="000000"/>
        </w:rPr>
        <w:t xml:space="preserve"> (LR-271C,</w:t>
      </w:r>
      <w:r w:rsidR="00182291" w:rsidRPr="00A21E4E">
        <w:rPr>
          <w:color w:val="000000"/>
        </w:rPr>
        <w:t xml:space="preserve"> Grieve Corporation, Round Lake, I</w:t>
      </w:r>
      <w:r w:rsidR="00182291">
        <w:rPr>
          <w:color w:val="000000"/>
        </w:rPr>
        <w:t>L)</w:t>
      </w:r>
      <w:r w:rsidRPr="00D917D9">
        <w:rPr>
          <w:color w:val="000000"/>
        </w:rPr>
        <w:t xml:space="preserve"> at 105</w:t>
      </w:r>
      <w:r w:rsidR="003567C3">
        <w:rPr>
          <w:color w:val="000000"/>
        </w:rPr>
        <w:t xml:space="preserve"> </w:t>
      </w:r>
      <w:r w:rsidR="003567C3">
        <w:rPr>
          <w:rFonts w:ascii="Calibri" w:hAnsi="Calibri"/>
          <w:color w:val="000000"/>
        </w:rPr>
        <w:t>⁰</w:t>
      </w:r>
      <w:r w:rsidRPr="00D917D9">
        <w:rPr>
          <w:color w:val="000000"/>
        </w:rPr>
        <w:t xml:space="preserve">C for 48 h and weighed. Roots were transferred to a </w:t>
      </w:r>
      <w:r w:rsidRPr="005B0288">
        <w:rPr>
          <w:color w:val="000000"/>
        </w:rPr>
        <w:t>muffle furnace</w:t>
      </w:r>
      <w:r w:rsidR="00182291">
        <w:rPr>
          <w:color w:val="000000"/>
          <w:vertAlign w:val="superscript"/>
        </w:rPr>
        <w:t xml:space="preserve"> </w:t>
      </w:r>
      <w:r w:rsidR="00182291">
        <w:rPr>
          <w:color w:val="000000"/>
        </w:rPr>
        <w:t>(F62735,</w:t>
      </w:r>
      <w:r w:rsidR="00182291" w:rsidRPr="00D917D9">
        <w:rPr>
          <w:color w:val="000000"/>
        </w:rPr>
        <w:t xml:space="preserve"> Thermo Scientific/Thermolyne, Dubuque, IA</w:t>
      </w:r>
      <w:r w:rsidR="00182291">
        <w:rPr>
          <w:color w:val="000000"/>
        </w:rPr>
        <w:t>)</w:t>
      </w:r>
      <w:r w:rsidRPr="00D917D9">
        <w:rPr>
          <w:color w:val="000000"/>
        </w:rPr>
        <w:t xml:space="preserve"> at 450</w:t>
      </w:r>
      <w:r w:rsidR="003567C3">
        <w:rPr>
          <w:color w:val="000000"/>
        </w:rPr>
        <w:t xml:space="preserve"> </w:t>
      </w:r>
      <w:r w:rsidR="003567C3">
        <w:rPr>
          <w:rFonts w:ascii="Calibri" w:hAnsi="Calibri"/>
          <w:color w:val="000000"/>
        </w:rPr>
        <w:t>⁰</w:t>
      </w:r>
      <w:r w:rsidRPr="00D917D9">
        <w:rPr>
          <w:color w:val="000000"/>
        </w:rPr>
        <w:t xml:space="preserve">C for 4 h. Biomass was calculated by subtracting the remaining ash weight from the initial dry weight.  </w:t>
      </w:r>
    </w:p>
    <w:p w:rsidR="009D2CE7" w:rsidRPr="00F906FC" w:rsidRDefault="003567C3" w:rsidP="00315D93">
      <w:pPr>
        <w:spacing w:line="480" w:lineRule="auto"/>
        <w:ind w:firstLine="720"/>
      </w:pPr>
      <w:r w:rsidRPr="00F906FC">
        <w:rPr>
          <w:i/>
        </w:rPr>
        <w:t>Statistical analyse</w:t>
      </w:r>
      <w:r w:rsidR="00D917D9" w:rsidRPr="00F906FC">
        <w:rPr>
          <w:i/>
        </w:rPr>
        <w:t>s</w:t>
      </w:r>
      <w:r w:rsidR="00D917D9" w:rsidRPr="00F906FC">
        <w:t>. Data were subjected to analysis of variance</w:t>
      </w:r>
      <w:r w:rsidR="008A104A" w:rsidRPr="00F906FC">
        <w:t xml:space="preserve"> (ANOVA)</w:t>
      </w:r>
      <w:r w:rsidR="00D917D9" w:rsidRPr="00F906FC">
        <w:t xml:space="preserve"> using </w:t>
      </w:r>
      <w:r w:rsidR="008A104A" w:rsidRPr="00F906FC">
        <w:t xml:space="preserve">PROC MIXED with code generated by the DANDA macro (Saxton, </w:t>
      </w:r>
      <w:r w:rsidR="00465A44" w:rsidRPr="00F906FC">
        <w:t xml:space="preserve">2010) in </w:t>
      </w:r>
      <w:r w:rsidR="00D917D9" w:rsidRPr="00F906FC">
        <w:t>SAS</w:t>
      </w:r>
      <w:r w:rsidR="00465A44" w:rsidRPr="00F906FC">
        <w:t xml:space="preserve"> (</w:t>
      </w:r>
      <w:r w:rsidR="009D2CE7" w:rsidRPr="00F906FC">
        <w:t>Statistical Analysis</w:t>
      </w:r>
      <w:r w:rsidR="009D2CE7" w:rsidRPr="00F906FC">
        <w:rPr>
          <w:rFonts w:ascii="TimesNewRomanPSMT" w:hAnsi="TimesNewRomanPSMT" w:cs="TimesNewRomanPSMT"/>
        </w:rPr>
        <w:t xml:space="preserve"> Software, Inc., </w:t>
      </w:r>
      <w:r w:rsidR="009D2CE7" w:rsidRPr="00F906FC">
        <w:t>Cary</w:t>
      </w:r>
      <w:r w:rsidR="009D2CE7" w:rsidRPr="00F906FC">
        <w:rPr>
          <w:rFonts w:ascii="TimesNewRomanPSMT" w:hAnsi="TimesNewRomanPSMT" w:cs="TimesNewRomanPSMT"/>
        </w:rPr>
        <w:t>, NC</w:t>
      </w:r>
      <w:r w:rsidR="009D2CE7" w:rsidRPr="00F906FC">
        <w:t xml:space="preserve">). Means were separated using Fisher’s protected least significant difference (LSD) at </w:t>
      </w:r>
      <w:r w:rsidR="00941179" w:rsidRPr="00F906FC">
        <w:t>α</w:t>
      </w:r>
      <w:r w:rsidR="009D2CE7" w:rsidRPr="00F906FC">
        <w:t xml:space="preserve">=0.05. </w:t>
      </w:r>
      <w:r w:rsidR="00D917D9" w:rsidRPr="00F906FC">
        <w:t>A combined ANOVA was conducted to test for significant interactions between experimental runs. Significant experimental run x treatment interactions were detected</w:t>
      </w:r>
      <w:r w:rsidR="00182291" w:rsidRPr="00F906FC">
        <w:t xml:space="preserve"> for all measured parameters</w:t>
      </w:r>
      <w:r w:rsidR="00D917D9" w:rsidRPr="00F906FC">
        <w:t xml:space="preserve"> so </w:t>
      </w:r>
      <w:r w:rsidR="00941179" w:rsidRPr="00F906FC">
        <w:t>data were</w:t>
      </w:r>
      <w:r w:rsidR="00D917D9" w:rsidRPr="00F906FC">
        <w:t xml:space="preserve"> analyzed and presented separately. </w:t>
      </w:r>
      <w:r w:rsidR="009D2CE7" w:rsidRPr="00F906FC">
        <w:t>The area under the progress curve (AU(x)PC) was calculated for each of the evaluation parameters where (x) is a parameter of interest</w:t>
      </w:r>
      <w:r w:rsidR="00D27CB4" w:rsidRPr="00F906FC">
        <w:t xml:space="preserve">. </w:t>
      </w:r>
      <w:r w:rsidR="006D2571" w:rsidRPr="00F906FC">
        <w:t>The (AU(x)PC) describes the course of increase in (x) parameter over time (Campbell and Madden, 1991).</w:t>
      </w:r>
      <w:r w:rsidR="00D27CB4" w:rsidRPr="00F906FC">
        <w:t xml:space="preserve"> The area under the progress curve was selected </w:t>
      </w:r>
      <w:r w:rsidR="00F41EE3" w:rsidRPr="00F906FC">
        <w:t xml:space="preserve">to </w:t>
      </w:r>
      <w:r w:rsidR="00F41EE3" w:rsidRPr="00F906FC">
        <w:lastRenderedPageBreak/>
        <w:t xml:space="preserve">supplement individual assessment dates </w:t>
      </w:r>
      <w:r w:rsidR="00D27CB4" w:rsidRPr="00F906FC">
        <w:t>as a quantifiable measure how the fungicide programs per</w:t>
      </w:r>
      <w:r w:rsidR="00F41EE3" w:rsidRPr="00F906FC">
        <w:t>formed as a whole across the entire season.</w:t>
      </w:r>
      <w:r w:rsidR="00D27CB4" w:rsidRPr="00F906FC">
        <w:t xml:space="preserve">   </w:t>
      </w:r>
    </w:p>
    <w:p w:rsidR="005B6D4C" w:rsidRPr="00D917D9" w:rsidRDefault="005B6D4C" w:rsidP="00315D93">
      <w:pPr>
        <w:spacing w:line="480" w:lineRule="auto"/>
        <w:ind w:firstLine="720"/>
        <w:rPr>
          <w:rFonts w:ascii="Calibri" w:hAnsi="Calibri"/>
          <w:sz w:val="22"/>
          <w:szCs w:val="22"/>
        </w:rPr>
      </w:pPr>
    </w:p>
    <w:p w:rsidR="00D917D9" w:rsidRDefault="00AD6AEB" w:rsidP="00EB30A2">
      <w:pPr>
        <w:pStyle w:val="Heading2"/>
      </w:pPr>
      <w:bookmarkStart w:id="59" w:name="_Toc353890889"/>
      <w:bookmarkStart w:id="60" w:name="_Toc353892630"/>
      <w:r w:rsidRPr="009B2EE6">
        <w:t>RESULTS</w:t>
      </w:r>
      <w:bookmarkEnd w:id="59"/>
      <w:bookmarkEnd w:id="60"/>
    </w:p>
    <w:p w:rsidR="00EB30A2" w:rsidRPr="00EB30A2" w:rsidRDefault="00EB30A2" w:rsidP="00EB30A2"/>
    <w:p w:rsidR="00D917D9" w:rsidRPr="00D917D9" w:rsidRDefault="00D917D9" w:rsidP="00315D93">
      <w:pPr>
        <w:spacing w:line="480" w:lineRule="auto"/>
        <w:rPr>
          <w:i/>
        </w:rPr>
      </w:pPr>
      <w:r w:rsidRPr="00D917D9">
        <w:rPr>
          <w:i/>
        </w:rPr>
        <w:t>Turfgrass Quality</w:t>
      </w:r>
    </w:p>
    <w:p w:rsidR="00D917D9" w:rsidRPr="00D917D9" w:rsidRDefault="00D917D9" w:rsidP="00315D93">
      <w:pPr>
        <w:spacing w:line="480" w:lineRule="auto"/>
        <w:ind w:firstLine="720"/>
        <w:rPr>
          <w:color w:val="000000"/>
        </w:rPr>
      </w:pPr>
      <w:r w:rsidRPr="00D917D9">
        <w:rPr>
          <w:color w:val="000000"/>
        </w:rPr>
        <w:t xml:space="preserve">In 2011, significant differences in turfgrass quality were </w:t>
      </w:r>
      <w:r w:rsidR="00297FAE">
        <w:rPr>
          <w:color w:val="000000"/>
        </w:rPr>
        <w:t xml:space="preserve">only </w:t>
      </w:r>
      <w:r w:rsidRPr="00D917D9">
        <w:rPr>
          <w:color w:val="000000"/>
        </w:rPr>
        <w:t>detected o</w:t>
      </w:r>
      <w:r w:rsidR="00984FE8">
        <w:rPr>
          <w:color w:val="000000"/>
        </w:rPr>
        <w:t>n a single rating date (</w:t>
      </w:r>
      <w:r w:rsidR="00984FE8" w:rsidRPr="005B5712">
        <w:rPr>
          <w:color w:val="000000"/>
        </w:rPr>
        <w:t>Table 2.2</w:t>
      </w:r>
      <w:r w:rsidR="00984FE8">
        <w:rPr>
          <w:color w:val="000000"/>
        </w:rPr>
        <w:t>)</w:t>
      </w:r>
      <w:r w:rsidRPr="00D917D9">
        <w:rPr>
          <w:color w:val="000000"/>
        </w:rPr>
        <w:t xml:space="preserve">. On this date, fungicide programs featuring trifloxystrobin </w:t>
      </w:r>
      <w:r w:rsidR="00CE4935">
        <w:rPr>
          <w:color w:val="000000"/>
        </w:rPr>
        <w:t>exhibited</w:t>
      </w:r>
      <w:r w:rsidRPr="00D917D9">
        <w:rPr>
          <w:color w:val="000000"/>
        </w:rPr>
        <w:t xml:space="preserve"> significantly lower turfgrass quality than all other fungicide programs and the </w:t>
      </w:r>
      <w:r w:rsidR="00182291">
        <w:rPr>
          <w:color w:val="000000"/>
        </w:rPr>
        <w:t>non-treated</w:t>
      </w:r>
      <w:r w:rsidRPr="00D917D9">
        <w:rPr>
          <w:color w:val="000000"/>
        </w:rPr>
        <w:t xml:space="preserve"> control. However</w:t>
      </w:r>
      <w:r w:rsidR="00297FAE">
        <w:rPr>
          <w:color w:val="000000"/>
        </w:rPr>
        <w:t>,</w:t>
      </w:r>
      <w:r w:rsidRPr="00D917D9">
        <w:rPr>
          <w:color w:val="000000"/>
        </w:rPr>
        <w:t xml:space="preserve"> at no time was turfgrass quality considered unacceptable (&lt;6.0) throughout the duration of the trial period</w:t>
      </w:r>
      <w:r w:rsidR="00984FE8">
        <w:rPr>
          <w:color w:val="000000"/>
        </w:rPr>
        <w:t xml:space="preserve"> (data not presented)</w:t>
      </w:r>
      <w:r w:rsidRPr="00D917D9">
        <w:rPr>
          <w:color w:val="000000"/>
        </w:rPr>
        <w:t xml:space="preserve">. No significant differences were detected in the </w:t>
      </w:r>
      <w:r w:rsidR="00DF1C10">
        <w:rPr>
          <w:color w:val="000000"/>
        </w:rPr>
        <w:t>a</w:t>
      </w:r>
      <w:r w:rsidRPr="00D917D9">
        <w:rPr>
          <w:color w:val="000000"/>
        </w:rPr>
        <w:t>r</w:t>
      </w:r>
      <w:r w:rsidR="00DF1C10">
        <w:rPr>
          <w:color w:val="000000"/>
        </w:rPr>
        <w:t>ea under the turfgrass quality progress c</w:t>
      </w:r>
      <w:r w:rsidRPr="00D917D9">
        <w:rPr>
          <w:color w:val="000000"/>
        </w:rPr>
        <w:t>urve</w:t>
      </w:r>
      <w:r w:rsidR="00AC4A85">
        <w:rPr>
          <w:color w:val="000000"/>
        </w:rPr>
        <w:t xml:space="preserve"> (</w:t>
      </w:r>
      <w:r w:rsidR="00AC4A85" w:rsidRPr="005B5712">
        <w:rPr>
          <w:color w:val="000000"/>
        </w:rPr>
        <w:t>Table 2.</w:t>
      </w:r>
      <w:r w:rsidR="005B5712">
        <w:rPr>
          <w:color w:val="000000"/>
        </w:rPr>
        <w:t>3</w:t>
      </w:r>
      <w:r w:rsidR="00AC4A85">
        <w:rPr>
          <w:color w:val="000000"/>
        </w:rPr>
        <w:t>)</w:t>
      </w:r>
      <w:r w:rsidRPr="00D917D9">
        <w:rPr>
          <w:color w:val="000000"/>
        </w:rPr>
        <w:t xml:space="preserve">. </w:t>
      </w:r>
    </w:p>
    <w:p w:rsidR="00D917D9" w:rsidRDefault="00D917D9" w:rsidP="00315D93">
      <w:pPr>
        <w:spacing w:line="480" w:lineRule="auto"/>
        <w:ind w:firstLine="720"/>
        <w:rPr>
          <w:color w:val="000000"/>
        </w:rPr>
      </w:pPr>
      <w:r w:rsidRPr="00D917D9">
        <w:rPr>
          <w:color w:val="000000"/>
        </w:rPr>
        <w:t xml:space="preserve">In 2012, the </w:t>
      </w:r>
      <w:r w:rsidR="00DF1C10">
        <w:rPr>
          <w:color w:val="000000"/>
        </w:rPr>
        <w:t>non-treated</w:t>
      </w:r>
      <w:r w:rsidRPr="00D917D9">
        <w:rPr>
          <w:color w:val="000000"/>
        </w:rPr>
        <w:t xml:space="preserve"> control had significantly lower turfgrass quality compared to all fungicide programs </w:t>
      </w:r>
      <w:r w:rsidR="000957F7">
        <w:rPr>
          <w:color w:val="000000"/>
        </w:rPr>
        <w:t>from</w:t>
      </w:r>
      <w:r w:rsidR="000957F7" w:rsidRPr="00D917D9">
        <w:rPr>
          <w:color w:val="000000"/>
        </w:rPr>
        <w:t xml:space="preserve"> </w:t>
      </w:r>
      <w:r w:rsidRPr="00D917D9">
        <w:rPr>
          <w:color w:val="000000"/>
        </w:rPr>
        <w:t xml:space="preserve">42 DAIT </w:t>
      </w:r>
      <w:r w:rsidR="000957F7">
        <w:rPr>
          <w:color w:val="000000"/>
        </w:rPr>
        <w:t>until</w:t>
      </w:r>
      <w:r w:rsidRPr="00D917D9">
        <w:rPr>
          <w:color w:val="000000"/>
        </w:rPr>
        <w:t xml:space="preserve"> the </w:t>
      </w:r>
      <w:r w:rsidR="000957F7">
        <w:rPr>
          <w:color w:val="000000"/>
        </w:rPr>
        <w:t xml:space="preserve">end </w:t>
      </w:r>
      <w:r w:rsidR="00FC2806">
        <w:rPr>
          <w:color w:val="000000"/>
        </w:rPr>
        <w:t>of the</w:t>
      </w:r>
      <w:r w:rsidR="000957F7">
        <w:rPr>
          <w:color w:val="000000"/>
        </w:rPr>
        <w:t xml:space="preserve"> </w:t>
      </w:r>
      <w:r w:rsidRPr="00D917D9">
        <w:rPr>
          <w:color w:val="000000"/>
        </w:rPr>
        <w:t xml:space="preserve">trial </w:t>
      </w:r>
      <w:r w:rsidR="00AC4A85">
        <w:rPr>
          <w:color w:val="000000"/>
        </w:rPr>
        <w:t>(</w:t>
      </w:r>
      <w:r w:rsidR="00AC4A85" w:rsidRPr="005B5712">
        <w:rPr>
          <w:color w:val="000000"/>
        </w:rPr>
        <w:t>Table 2.</w:t>
      </w:r>
      <w:r w:rsidR="005B5712">
        <w:rPr>
          <w:color w:val="000000"/>
        </w:rPr>
        <w:t>4</w:t>
      </w:r>
      <w:r w:rsidR="00AC4A85">
        <w:rPr>
          <w:color w:val="000000"/>
        </w:rPr>
        <w:t>)</w:t>
      </w:r>
      <w:r w:rsidRPr="00D917D9">
        <w:rPr>
          <w:color w:val="000000"/>
        </w:rPr>
        <w:t xml:space="preserve">. Significant differences among fungicide programs were </w:t>
      </w:r>
      <w:r w:rsidR="000957F7">
        <w:rPr>
          <w:color w:val="000000"/>
        </w:rPr>
        <w:t xml:space="preserve">only </w:t>
      </w:r>
      <w:r w:rsidRPr="00D917D9">
        <w:rPr>
          <w:color w:val="000000"/>
        </w:rPr>
        <w:t xml:space="preserve">detected on the last rating date (70 DAIT). On this date, fungicide programs featuring trifloxystrobin had significantly lower turfgrass quality than </w:t>
      </w:r>
      <w:r w:rsidR="002C6C3B">
        <w:rPr>
          <w:color w:val="000000"/>
        </w:rPr>
        <w:t>p</w:t>
      </w:r>
      <w:r w:rsidRPr="00D917D9">
        <w:rPr>
          <w:color w:val="000000"/>
        </w:rPr>
        <w:t>yraclostrobin (SC)</w:t>
      </w:r>
      <w:r w:rsidR="00DF1C10">
        <w:rPr>
          <w:color w:val="000000"/>
        </w:rPr>
        <w:t xml:space="preserve"> </w:t>
      </w:r>
      <w:r w:rsidR="00AC4A85">
        <w:rPr>
          <w:color w:val="000000"/>
        </w:rPr>
        <w:t>(</w:t>
      </w:r>
      <w:r w:rsidR="00AC4A85" w:rsidRPr="005B5712">
        <w:rPr>
          <w:color w:val="000000"/>
        </w:rPr>
        <w:t>Table 2.</w:t>
      </w:r>
      <w:r w:rsidR="005B5712">
        <w:rPr>
          <w:color w:val="000000"/>
        </w:rPr>
        <w:t>5</w:t>
      </w:r>
      <w:r w:rsidR="00AC4A85">
        <w:rPr>
          <w:color w:val="000000"/>
        </w:rPr>
        <w:t>)</w:t>
      </w:r>
      <w:r w:rsidRPr="00D917D9">
        <w:rPr>
          <w:color w:val="000000"/>
        </w:rPr>
        <w:t xml:space="preserve">. At no time was turfgrass quality considered unacceptable (&lt; 6.0) on any rating date. Significant differences in the </w:t>
      </w:r>
      <w:r w:rsidR="00DF1C10">
        <w:rPr>
          <w:color w:val="000000"/>
        </w:rPr>
        <w:t>a</w:t>
      </w:r>
      <w:r w:rsidRPr="00D917D9">
        <w:rPr>
          <w:color w:val="000000"/>
        </w:rPr>
        <w:t>r</w:t>
      </w:r>
      <w:r w:rsidR="00DF1C10">
        <w:rPr>
          <w:color w:val="000000"/>
        </w:rPr>
        <w:t>ea of the turfgrass quality progress c</w:t>
      </w:r>
      <w:r w:rsidRPr="00D917D9">
        <w:rPr>
          <w:color w:val="000000"/>
        </w:rPr>
        <w:t xml:space="preserve">urve were observed in </w:t>
      </w:r>
      <w:r w:rsidR="00D26DBE">
        <w:rPr>
          <w:color w:val="000000"/>
        </w:rPr>
        <w:t>2012</w:t>
      </w:r>
      <w:r w:rsidRPr="00D917D9">
        <w:rPr>
          <w:color w:val="000000"/>
        </w:rPr>
        <w:t xml:space="preserve">. The </w:t>
      </w:r>
      <w:r w:rsidR="00D26DBE">
        <w:rPr>
          <w:color w:val="000000"/>
        </w:rPr>
        <w:t>non-treated</w:t>
      </w:r>
      <w:r w:rsidRPr="00D917D9">
        <w:rPr>
          <w:color w:val="000000"/>
        </w:rPr>
        <w:t xml:space="preserve"> control resulted in significantly </w:t>
      </w:r>
      <w:r w:rsidR="000957F7">
        <w:rPr>
          <w:color w:val="000000"/>
        </w:rPr>
        <w:t>lower</w:t>
      </w:r>
      <w:r w:rsidR="000957F7" w:rsidRPr="00D917D9">
        <w:rPr>
          <w:color w:val="000000"/>
        </w:rPr>
        <w:t xml:space="preserve"> </w:t>
      </w:r>
      <w:r w:rsidRPr="00D917D9">
        <w:rPr>
          <w:color w:val="000000"/>
        </w:rPr>
        <w:t xml:space="preserve">turfgrass quality compared to all other treatments. No differences among fungicide programs were observed </w:t>
      </w:r>
      <w:r w:rsidR="000957F7">
        <w:rPr>
          <w:color w:val="000000"/>
        </w:rPr>
        <w:t xml:space="preserve">using </w:t>
      </w:r>
      <w:r w:rsidRPr="00D917D9">
        <w:rPr>
          <w:color w:val="000000"/>
        </w:rPr>
        <w:t>this analysis</w:t>
      </w:r>
      <w:r w:rsidR="00AC4A85">
        <w:rPr>
          <w:color w:val="000000"/>
        </w:rPr>
        <w:t xml:space="preserve"> (</w:t>
      </w:r>
      <w:r w:rsidR="00AC4A85" w:rsidRPr="005B5712">
        <w:rPr>
          <w:color w:val="000000"/>
        </w:rPr>
        <w:t>Table 2.</w:t>
      </w:r>
      <w:r w:rsidR="005B5712">
        <w:rPr>
          <w:color w:val="000000"/>
        </w:rPr>
        <w:t>3</w:t>
      </w:r>
      <w:r w:rsidR="00AC4A85">
        <w:rPr>
          <w:color w:val="000000"/>
        </w:rPr>
        <w:t>)</w:t>
      </w:r>
      <w:r w:rsidRPr="00D917D9">
        <w:rPr>
          <w:color w:val="000000"/>
        </w:rPr>
        <w:t xml:space="preserve">. </w:t>
      </w:r>
    </w:p>
    <w:p w:rsidR="000957F7" w:rsidRPr="00D917D9" w:rsidRDefault="000957F7" w:rsidP="00315D93">
      <w:pPr>
        <w:spacing w:line="480" w:lineRule="auto"/>
        <w:ind w:firstLine="720"/>
        <w:rPr>
          <w:color w:val="000000"/>
        </w:rPr>
      </w:pPr>
    </w:p>
    <w:p w:rsidR="00D917D9" w:rsidRPr="00D917D9" w:rsidRDefault="00D917D9" w:rsidP="00315D93">
      <w:pPr>
        <w:spacing w:line="480" w:lineRule="auto"/>
        <w:rPr>
          <w:i/>
        </w:rPr>
      </w:pPr>
      <w:r w:rsidRPr="00D917D9">
        <w:rPr>
          <w:i/>
        </w:rPr>
        <w:t>Turfgrass Cover</w:t>
      </w:r>
    </w:p>
    <w:p w:rsidR="00D917D9" w:rsidRDefault="00D917D9" w:rsidP="00315D93">
      <w:pPr>
        <w:spacing w:line="480" w:lineRule="auto"/>
        <w:rPr>
          <w:color w:val="000000"/>
        </w:rPr>
      </w:pPr>
      <w:r w:rsidRPr="00D917D9">
        <w:t xml:space="preserve"> </w:t>
      </w:r>
      <w:r w:rsidR="005B6D4C">
        <w:tab/>
      </w:r>
      <w:r w:rsidRPr="00D917D9">
        <w:rPr>
          <w:color w:val="000000"/>
        </w:rPr>
        <w:t>Similar to</w:t>
      </w:r>
      <w:r w:rsidR="00D26DBE">
        <w:rPr>
          <w:color w:val="000000"/>
        </w:rPr>
        <w:t xml:space="preserve"> visual quality, no significant </w:t>
      </w:r>
      <w:r w:rsidR="00D26DBE" w:rsidRPr="00D917D9">
        <w:rPr>
          <w:color w:val="000000"/>
        </w:rPr>
        <w:t xml:space="preserve">differences were observed </w:t>
      </w:r>
      <w:r w:rsidR="00D26DBE">
        <w:rPr>
          <w:color w:val="000000"/>
        </w:rPr>
        <w:t xml:space="preserve">for turfgrass cover </w:t>
      </w:r>
      <w:r w:rsidR="00D26DBE" w:rsidRPr="00D917D9">
        <w:rPr>
          <w:color w:val="000000"/>
        </w:rPr>
        <w:t>between treatments on any rating date</w:t>
      </w:r>
      <w:r w:rsidR="00D26DBE">
        <w:rPr>
          <w:color w:val="000000"/>
        </w:rPr>
        <w:t>,</w:t>
      </w:r>
      <w:r w:rsidR="00D26DBE" w:rsidRPr="00D917D9">
        <w:rPr>
          <w:color w:val="000000"/>
        </w:rPr>
        <w:t xml:space="preserve"> nor </w:t>
      </w:r>
      <w:r w:rsidR="00D26DBE">
        <w:rPr>
          <w:color w:val="000000"/>
        </w:rPr>
        <w:t>were</w:t>
      </w:r>
      <w:r w:rsidR="00971022">
        <w:rPr>
          <w:color w:val="000000"/>
        </w:rPr>
        <w:t xml:space="preserve"> </w:t>
      </w:r>
      <w:r w:rsidR="000957F7">
        <w:rPr>
          <w:color w:val="000000"/>
        </w:rPr>
        <w:t>differences detected in the area</w:t>
      </w:r>
      <w:r w:rsidR="00D26DBE">
        <w:rPr>
          <w:color w:val="000000"/>
        </w:rPr>
        <w:t xml:space="preserve"> under the turfgrass cover progress c</w:t>
      </w:r>
      <w:r w:rsidRPr="00D917D9">
        <w:rPr>
          <w:color w:val="000000"/>
        </w:rPr>
        <w:t>urve in 2011. In 2012, significant differences were</w:t>
      </w:r>
      <w:r w:rsidR="00AB1053">
        <w:rPr>
          <w:color w:val="000000"/>
        </w:rPr>
        <w:t xml:space="preserve"> observed </w:t>
      </w:r>
      <w:r w:rsidR="008B0537">
        <w:rPr>
          <w:color w:val="000000"/>
        </w:rPr>
        <w:t>in turfgrass cover from 42</w:t>
      </w:r>
      <w:r w:rsidR="000957F7">
        <w:rPr>
          <w:color w:val="000000"/>
        </w:rPr>
        <w:t xml:space="preserve"> to </w:t>
      </w:r>
      <w:r w:rsidR="008B0537">
        <w:rPr>
          <w:color w:val="000000"/>
        </w:rPr>
        <w:t>70 DAIT</w:t>
      </w:r>
      <w:r w:rsidR="00BB2025">
        <w:rPr>
          <w:color w:val="000000"/>
        </w:rPr>
        <w:t xml:space="preserve"> (</w:t>
      </w:r>
      <w:r w:rsidR="00BB2025" w:rsidRPr="005B5712">
        <w:rPr>
          <w:color w:val="000000"/>
        </w:rPr>
        <w:t>Table 2.</w:t>
      </w:r>
      <w:r w:rsidR="005B5712">
        <w:rPr>
          <w:color w:val="000000"/>
        </w:rPr>
        <w:t>4</w:t>
      </w:r>
      <w:r w:rsidR="00BB2025">
        <w:rPr>
          <w:color w:val="000000"/>
        </w:rPr>
        <w:t>)</w:t>
      </w:r>
      <w:r w:rsidR="00AB1053">
        <w:rPr>
          <w:color w:val="000000"/>
        </w:rPr>
        <w:t xml:space="preserve">. </w:t>
      </w:r>
      <w:r w:rsidR="008B0537">
        <w:rPr>
          <w:color w:val="000000"/>
        </w:rPr>
        <w:t>From 42</w:t>
      </w:r>
      <w:r w:rsidR="000957F7">
        <w:rPr>
          <w:color w:val="000000"/>
        </w:rPr>
        <w:t xml:space="preserve"> to </w:t>
      </w:r>
      <w:r w:rsidR="008B0537">
        <w:rPr>
          <w:color w:val="000000"/>
        </w:rPr>
        <w:t>70 DAIT, t</w:t>
      </w:r>
      <w:r w:rsidRPr="00D917D9">
        <w:rPr>
          <w:color w:val="000000"/>
        </w:rPr>
        <w:t xml:space="preserve">reatments including azoxystrobin, pyraclostrobin, and fluoxastrobin had significantly greater turfgrass cover than the </w:t>
      </w:r>
      <w:r w:rsidR="00182291">
        <w:rPr>
          <w:color w:val="000000"/>
        </w:rPr>
        <w:t>non-treated</w:t>
      </w:r>
      <w:r w:rsidRPr="00D917D9">
        <w:rPr>
          <w:color w:val="000000"/>
        </w:rPr>
        <w:t xml:space="preserve"> control</w:t>
      </w:r>
      <w:r w:rsidR="008B0537">
        <w:rPr>
          <w:color w:val="000000"/>
        </w:rPr>
        <w:t>.</w:t>
      </w:r>
      <w:r w:rsidRPr="00D917D9">
        <w:rPr>
          <w:color w:val="000000"/>
        </w:rPr>
        <w:t xml:space="preserve"> Trifloxystrobin had significantly greater percent turfgrass cover compared to the </w:t>
      </w:r>
      <w:r w:rsidR="000957F7">
        <w:rPr>
          <w:color w:val="000000"/>
        </w:rPr>
        <w:t>non-</w:t>
      </w:r>
      <w:r w:rsidRPr="00D917D9">
        <w:rPr>
          <w:color w:val="000000"/>
        </w:rPr>
        <w:t xml:space="preserve">treated control on 42 and 70 DAIT. On 56 DAIT, trifloxystrobin and the </w:t>
      </w:r>
      <w:r w:rsidR="000957F7">
        <w:rPr>
          <w:color w:val="000000"/>
        </w:rPr>
        <w:t>non-</w:t>
      </w:r>
      <w:r w:rsidRPr="00D917D9">
        <w:rPr>
          <w:color w:val="000000"/>
        </w:rPr>
        <w:t xml:space="preserve">treated control were </w:t>
      </w:r>
      <w:r w:rsidR="005A14E6">
        <w:rPr>
          <w:color w:val="000000"/>
        </w:rPr>
        <w:t>not statistically different</w:t>
      </w:r>
      <w:r w:rsidR="00BB2025">
        <w:rPr>
          <w:color w:val="000000"/>
        </w:rPr>
        <w:t xml:space="preserve"> (data not presented)</w:t>
      </w:r>
      <w:r w:rsidRPr="00D917D9">
        <w:rPr>
          <w:color w:val="000000"/>
        </w:rPr>
        <w:t>. Pyraclostrobin and azoxystrobin had significantly greater turfgrass cover compared to all tre</w:t>
      </w:r>
      <w:r w:rsidR="00182291">
        <w:rPr>
          <w:color w:val="000000"/>
        </w:rPr>
        <w:t xml:space="preserve">atments </w:t>
      </w:r>
      <w:r w:rsidR="000957F7">
        <w:rPr>
          <w:color w:val="000000"/>
        </w:rPr>
        <w:t>when</w:t>
      </w:r>
      <w:r w:rsidR="00182291">
        <w:rPr>
          <w:color w:val="000000"/>
        </w:rPr>
        <w:t xml:space="preserve"> analy</w:t>
      </w:r>
      <w:r w:rsidR="000957F7">
        <w:rPr>
          <w:color w:val="000000"/>
        </w:rPr>
        <w:t>zing</w:t>
      </w:r>
      <w:r w:rsidR="00182291">
        <w:rPr>
          <w:color w:val="000000"/>
        </w:rPr>
        <w:t xml:space="preserve"> the area under the turfgrass cover progress c</w:t>
      </w:r>
      <w:r w:rsidRPr="00D917D9">
        <w:rPr>
          <w:color w:val="000000"/>
        </w:rPr>
        <w:t xml:space="preserve">urve. </w:t>
      </w:r>
      <w:r w:rsidR="008B0537">
        <w:rPr>
          <w:color w:val="000000"/>
        </w:rPr>
        <w:t>Fluoxastrobin was not significantly different from trifloxystrobin, but was significantly greater than the non-treated control</w:t>
      </w:r>
      <w:r w:rsidR="00BB2025">
        <w:rPr>
          <w:color w:val="000000"/>
        </w:rPr>
        <w:t xml:space="preserve"> (</w:t>
      </w:r>
      <w:r w:rsidR="00BB2025" w:rsidRPr="005B5712">
        <w:rPr>
          <w:color w:val="000000"/>
        </w:rPr>
        <w:t>Table 2.</w:t>
      </w:r>
      <w:r w:rsidR="005B5712" w:rsidRPr="005B5712">
        <w:rPr>
          <w:color w:val="000000"/>
        </w:rPr>
        <w:t>3</w:t>
      </w:r>
      <w:r w:rsidR="00BB2025">
        <w:rPr>
          <w:color w:val="000000"/>
        </w:rPr>
        <w:t>)</w:t>
      </w:r>
      <w:r w:rsidRPr="00D917D9">
        <w:rPr>
          <w:color w:val="000000"/>
        </w:rPr>
        <w:t xml:space="preserve">. </w:t>
      </w:r>
    </w:p>
    <w:p w:rsidR="000957F7" w:rsidRPr="00D917D9" w:rsidRDefault="000957F7" w:rsidP="00315D93">
      <w:pPr>
        <w:spacing w:line="480" w:lineRule="auto"/>
        <w:rPr>
          <w:color w:val="000000"/>
        </w:rPr>
      </w:pPr>
    </w:p>
    <w:p w:rsidR="00D917D9" w:rsidRPr="00D917D9" w:rsidRDefault="00D917D9" w:rsidP="00315D93">
      <w:pPr>
        <w:spacing w:line="480" w:lineRule="auto"/>
        <w:rPr>
          <w:i/>
          <w:szCs w:val="22"/>
        </w:rPr>
      </w:pPr>
      <w:r w:rsidRPr="00D917D9">
        <w:rPr>
          <w:i/>
          <w:szCs w:val="22"/>
        </w:rPr>
        <w:t xml:space="preserve">Spectral Reflectance </w:t>
      </w:r>
    </w:p>
    <w:p w:rsidR="00F174C3" w:rsidRDefault="00D917D9" w:rsidP="00E27DC7">
      <w:pPr>
        <w:spacing w:line="480" w:lineRule="auto"/>
        <w:ind w:firstLine="720"/>
        <w:rPr>
          <w:color w:val="000000"/>
        </w:rPr>
      </w:pPr>
      <w:r w:rsidRPr="00D917D9">
        <w:rPr>
          <w:color w:val="000000"/>
        </w:rPr>
        <w:t>In 2011, no significant differences in NDVI</w:t>
      </w:r>
      <w:r w:rsidR="00B907F7">
        <w:rPr>
          <w:color w:val="000000"/>
        </w:rPr>
        <w:t>,</w:t>
      </w:r>
      <w:r w:rsidRPr="00D917D9">
        <w:rPr>
          <w:color w:val="000000"/>
        </w:rPr>
        <w:t xml:space="preserve"> RVI</w:t>
      </w:r>
      <w:r w:rsidR="007C7D3A">
        <w:rPr>
          <w:color w:val="000000"/>
        </w:rPr>
        <w:t>,</w:t>
      </w:r>
      <w:r w:rsidR="00B907F7">
        <w:rPr>
          <w:color w:val="000000"/>
        </w:rPr>
        <w:t xml:space="preserve"> or the area under the respective progress curves</w:t>
      </w:r>
      <w:r w:rsidRPr="00D917D9">
        <w:rPr>
          <w:color w:val="000000"/>
        </w:rPr>
        <w:t xml:space="preserve"> were observed on any rating date. In 2012, significant differences </w:t>
      </w:r>
      <w:r w:rsidR="008B0537">
        <w:rPr>
          <w:color w:val="000000"/>
        </w:rPr>
        <w:t>on 56 and 70 DAIT occurred for both NDVI and RVI.</w:t>
      </w:r>
      <w:r w:rsidRPr="00D917D9">
        <w:rPr>
          <w:color w:val="000000"/>
        </w:rPr>
        <w:t xml:space="preserve"> The </w:t>
      </w:r>
      <w:r w:rsidR="007C7D3A">
        <w:rPr>
          <w:color w:val="000000"/>
        </w:rPr>
        <w:t>non-treated</w:t>
      </w:r>
      <w:r w:rsidRPr="00D917D9">
        <w:rPr>
          <w:color w:val="000000"/>
        </w:rPr>
        <w:t xml:space="preserve"> control had significantly lower NDVI and RVI than all fungicide programs on these assessment dates</w:t>
      </w:r>
      <w:r w:rsidR="00BB2025">
        <w:rPr>
          <w:color w:val="000000"/>
        </w:rPr>
        <w:t xml:space="preserve">. </w:t>
      </w:r>
      <w:r w:rsidRPr="00D917D9">
        <w:rPr>
          <w:color w:val="000000"/>
        </w:rPr>
        <w:t xml:space="preserve">Significant differences among fungicide programs </w:t>
      </w:r>
      <w:r w:rsidR="00380B4B">
        <w:rPr>
          <w:color w:val="000000"/>
        </w:rPr>
        <w:t>only occurred</w:t>
      </w:r>
      <w:r w:rsidRPr="00D917D9">
        <w:rPr>
          <w:color w:val="000000"/>
        </w:rPr>
        <w:t xml:space="preserve"> </w:t>
      </w:r>
      <w:r w:rsidR="00380B4B">
        <w:rPr>
          <w:color w:val="000000"/>
        </w:rPr>
        <w:t xml:space="preserve">at </w:t>
      </w:r>
      <w:r w:rsidRPr="00D917D9">
        <w:rPr>
          <w:color w:val="000000"/>
        </w:rPr>
        <w:t>56 DAIT. On this rating date</w:t>
      </w:r>
      <w:r w:rsidR="00380B4B">
        <w:rPr>
          <w:color w:val="000000"/>
        </w:rPr>
        <w:t>,</w:t>
      </w:r>
      <w:r w:rsidRPr="00D917D9">
        <w:rPr>
          <w:color w:val="000000"/>
        </w:rPr>
        <w:t xml:space="preserve"> azoxystr</w:t>
      </w:r>
      <w:r w:rsidR="0056762F">
        <w:rPr>
          <w:color w:val="000000"/>
        </w:rPr>
        <w:t>obin</w:t>
      </w:r>
      <w:r w:rsidRPr="00D917D9">
        <w:rPr>
          <w:color w:val="000000"/>
        </w:rPr>
        <w:t xml:space="preserve"> </w:t>
      </w:r>
      <w:r w:rsidR="0056762F">
        <w:rPr>
          <w:color w:val="000000"/>
        </w:rPr>
        <w:t xml:space="preserve">programs </w:t>
      </w:r>
      <w:r w:rsidRPr="00D917D9">
        <w:rPr>
          <w:color w:val="000000"/>
        </w:rPr>
        <w:t>had significant</w:t>
      </w:r>
      <w:r w:rsidR="008B0537">
        <w:rPr>
          <w:color w:val="000000"/>
        </w:rPr>
        <w:t>ly</w:t>
      </w:r>
      <w:r w:rsidRPr="00D917D9">
        <w:rPr>
          <w:color w:val="000000"/>
        </w:rPr>
        <w:t xml:space="preserve"> greater NDVI than programs </w:t>
      </w:r>
      <w:r w:rsidR="00380B4B">
        <w:rPr>
          <w:color w:val="000000"/>
        </w:rPr>
        <w:t>that</w:t>
      </w:r>
      <w:r w:rsidR="00380B4B" w:rsidRPr="00D917D9">
        <w:rPr>
          <w:color w:val="000000"/>
        </w:rPr>
        <w:t xml:space="preserve"> </w:t>
      </w:r>
      <w:r w:rsidRPr="00D917D9">
        <w:rPr>
          <w:color w:val="000000"/>
        </w:rPr>
        <w:t xml:space="preserve">included trifloxystrobin. Furthermore, azoxystrobin and pyraclostrobin </w:t>
      </w:r>
      <w:r w:rsidR="00514B57">
        <w:rPr>
          <w:color w:val="000000"/>
        </w:rPr>
        <w:t xml:space="preserve">were statistically similar </w:t>
      </w:r>
      <w:r w:rsidR="00514B57">
        <w:rPr>
          <w:color w:val="000000"/>
        </w:rPr>
        <w:lastRenderedPageBreak/>
        <w:t xml:space="preserve">and </w:t>
      </w:r>
      <w:r w:rsidRPr="00D917D9">
        <w:rPr>
          <w:color w:val="000000"/>
        </w:rPr>
        <w:t>had significantly greater RVI than programs that included trifloxystrobin</w:t>
      </w:r>
      <w:r w:rsidR="00BB2025">
        <w:rPr>
          <w:color w:val="000000"/>
        </w:rPr>
        <w:t xml:space="preserve"> (</w:t>
      </w:r>
      <w:r w:rsidR="00B16F2A">
        <w:rPr>
          <w:color w:val="000000"/>
        </w:rPr>
        <w:t>data not presented</w:t>
      </w:r>
      <w:r w:rsidR="00BB2025">
        <w:rPr>
          <w:color w:val="000000"/>
        </w:rPr>
        <w:t>)</w:t>
      </w:r>
      <w:r w:rsidRPr="00D917D9">
        <w:rPr>
          <w:color w:val="000000"/>
        </w:rPr>
        <w:t xml:space="preserve">. </w:t>
      </w:r>
      <w:r w:rsidR="00BB2025" w:rsidRPr="00D917D9">
        <w:rPr>
          <w:color w:val="000000"/>
        </w:rPr>
        <w:t xml:space="preserve">However, no significant differences were observed for the </w:t>
      </w:r>
      <w:r w:rsidR="0056762F">
        <w:rPr>
          <w:color w:val="000000"/>
        </w:rPr>
        <w:t>a</w:t>
      </w:r>
      <w:r w:rsidR="00BB2025" w:rsidRPr="00D917D9">
        <w:rPr>
          <w:color w:val="000000"/>
        </w:rPr>
        <w:t>r</w:t>
      </w:r>
      <w:r w:rsidR="0056762F">
        <w:rPr>
          <w:color w:val="000000"/>
        </w:rPr>
        <w:t>ea u</w:t>
      </w:r>
      <w:r w:rsidR="00BB2025" w:rsidRPr="00D917D9">
        <w:rPr>
          <w:color w:val="000000"/>
        </w:rPr>
        <w:t>nder the N</w:t>
      </w:r>
      <w:r w:rsidR="0056762F">
        <w:rPr>
          <w:color w:val="000000"/>
        </w:rPr>
        <w:t>DVI or RVI progress c</w:t>
      </w:r>
      <w:r w:rsidR="00BB2025" w:rsidRPr="00D917D9">
        <w:rPr>
          <w:color w:val="000000"/>
        </w:rPr>
        <w:t>urves</w:t>
      </w:r>
      <w:r w:rsidR="00BB2025">
        <w:rPr>
          <w:color w:val="000000"/>
        </w:rPr>
        <w:t xml:space="preserve"> (</w:t>
      </w:r>
      <w:r w:rsidR="00BB2025" w:rsidRPr="005B5712">
        <w:rPr>
          <w:color w:val="000000"/>
        </w:rPr>
        <w:t>Table 2.</w:t>
      </w:r>
      <w:r w:rsidR="005B5712" w:rsidRPr="005B5712">
        <w:rPr>
          <w:color w:val="000000"/>
        </w:rPr>
        <w:t>3</w:t>
      </w:r>
      <w:r w:rsidR="00BB2025">
        <w:rPr>
          <w:color w:val="000000"/>
        </w:rPr>
        <w:t>)</w:t>
      </w:r>
      <w:r w:rsidR="00BB2025" w:rsidRPr="00D917D9">
        <w:rPr>
          <w:color w:val="000000"/>
        </w:rPr>
        <w:t>.</w:t>
      </w:r>
    </w:p>
    <w:p w:rsidR="00E27DC7" w:rsidRPr="00D917D9" w:rsidRDefault="00E27DC7" w:rsidP="00E27DC7">
      <w:pPr>
        <w:spacing w:line="480" w:lineRule="auto"/>
        <w:ind w:firstLine="720"/>
        <w:rPr>
          <w:color w:val="000000"/>
        </w:rPr>
      </w:pPr>
    </w:p>
    <w:p w:rsidR="00D917D9" w:rsidRPr="00D917D9" w:rsidRDefault="00D917D9" w:rsidP="00315D93">
      <w:pPr>
        <w:spacing w:line="480" w:lineRule="auto"/>
        <w:rPr>
          <w:i/>
        </w:rPr>
      </w:pPr>
      <w:r w:rsidRPr="00D917D9">
        <w:rPr>
          <w:i/>
        </w:rPr>
        <w:t>Root analysis</w:t>
      </w:r>
    </w:p>
    <w:p w:rsidR="00834263" w:rsidRDefault="00D917D9" w:rsidP="00315D93">
      <w:pPr>
        <w:spacing w:line="480" w:lineRule="auto"/>
        <w:ind w:firstLine="720"/>
      </w:pPr>
      <w:r w:rsidRPr="00D917D9">
        <w:rPr>
          <w:color w:val="000000"/>
        </w:rPr>
        <w:t xml:space="preserve">In </w:t>
      </w:r>
      <w:r w:rsidR="00BB2025">
        <w:rPr>
          <w:color w:val="000000"/>
        </w:rPr>
        <w:t>both experimental runs</w:t>
      </w:r>
      <w:r w:rsidRPr="00D917D9">
        <w:rPr>
          <w:color w:val="000000"/>
        </w:rPr>
        <w:t xml:space="preserve">, strobilurin fungicide programs did not significantly </w:t>
      </w:r>
      <w:r w:rsidR="007E1130">
        <w:rPr>
          <w:color w:val="000000"/>
        </w:rPr>
        <w:t>impact</w:t>
      </w:r>
      <w:r w:rsidRPr="00D917D9">
        <w:rPr>
          <w:color w:val="000000"/>
        </w:rPr>
        <w:t xml:space="preserve"> any rooting parameter </w:t>
      </w:r>
      <w:r w:rsidR="004C6DC8">
        <w:rPr>
          <w:color w:val="000000"/>
        </w:rPr>
        <w:t xml:space="preserve">measured </w:t>
      </w:r>
      <w:r w:rsidRPr="00D917D9">
        <w:rPr>
          <w:color w:val="000000"/>
        </w:rPr>
        <w:t xml:space="preserve">compared to the </w:t>
      </w:r>
      <w:r w:rsidR="007C7D3A">
        <w:rPr>
          <w:color w:val="000000"/>
        </w:rPr>
        <w:t>non-treated control</w:t>
      </w:r>
      <w:r w:rsidR="00320D41">
        <w:rPr>
          <w:color w:val="000000"/>
        </w:rPr>
        <w:t xml:space="preserve"> (</w:t>
      </w:r>
      <w:r w:rsidR="00320D41" w:rsidRPr="005B5712">
        <w:rPr>
          <w:color w:val="000000"/>
        </w:rPr>
        <w:t>Table 2.</w:t>
      </w:r>
      <w:r w:rsidR="005B5712" w:rsidRPr="005B5712">
        <w:rPr>
          <w:color w:val="000000"/>
        </w:rPr>
        <w:t>6</w:t>
      </w:r>
      <w:r w:rsidR="00320D41">
        <w:rPr>
          <w:color w:val="000000"/>
        </w:rPr>
        <w:t>)</w:t>
      </w:r>
      <w:r w:rsidRPr="00D917D9">
        <w:rPr>
          <w:color w:val="000000"/>
        </w:rPr>
        <w:t xml:space="preserve">. </w:t>
      </w:r>
      <w:r w:rsidR="00834263">
        <w:t>Brosnan et al.</w:t>
      </w:r>
      <w:r w:rsidR="00E2741E" w:rsidRPr="0057258F">
        <w:t xml:space="preserve"> (2010) reported greater visual root length on ‘Penn A-4’ creeping bentgrass in a greenhouse experiment when treated with </w:t>
      </w:r>
      <w:r w:rsidR="0056762F">
        <w:t>py</w:t>
      </w:r>
      <w:r w:rsidR="00E2741E" w:rsidRPr="0057258F">
        <w:t xml:space="preserve">raclostrobin, though these differences were relatively </w:t>
      </w:r>
      <w:r w:rsidR="0056762F">
        <w:t>small</w:t>
      </w:r>
      <w:r w:rsidR="00E2741E" w:rsidRPr="0057258F">
        <w:t xml:space="preserve"> (&lt;10%).</w:t>
      </w:r>
      <w:r w:rsidR="00E2741E">
        <w:t xml:space="preserve"> </w:t>
      </w:r>
      <w:r w:rsidR="0056762F">
        <w:t>In comparison, this field research</w:t>
      </w:r>
      <w:r w:rsidR="00E2741E">
        <w:t xml:space="preserve"> was conducted on established creeping bentgrass plants grown on a mature rootzone. </w:t>
      </w:r>
      <w:r w:rsidR="007C7D3A">
        <w:t>The range in total root length in this experiment between samples was</w:t>
      </w:r>
      <w:r w:rsidR="00834263">
        <w:t xml:space="preserve"> from 186 cm to 4,224 cm (data not presented). Th</w:t>
      </w:r>
      <w:r w:rsidR="00204A50">
        <w:t>e</w:t>
      </w:r>
      <w:r w:rsidR="00834263">
        <w:t xml:space="preserve"> </w:t>
      </w:r>
      <w:r w:rsidR="00204A50">
        <w:t xml:space="preserve">large </w:t>
      </w:r>
      <w:r w:rsidR="00834263">
        <w:t xml:space="preserve">variability could be the result of a number of factors. Differences in soil moisture retention or other </w:t>
      </w:r>
      <w:r w:rsidR="00D5405F">
        <w:t xml:space="preserve">isolated </w:t>
      </w:r>
      <w:r w:rsidR="00834263">
        <w:t xml:space="preserve">edaphic stressors </w:t>
      </w:r>
      <w:r w:rsidR="00204A50">
        <w:t>may have led to increased variability</w:t>
      </w:r>
      <w:r w:rsidR="00F174C3">
        <w:t xml:space="preserve"> in root length</w:t>
      </w:r>
      <w:r w:rsidR="00204A50">
        <w:t>. Another potential cause is fungi including sub-clinical root infecting</w:t>
      </w:r>
      <w:r w:rsidR="00D5405F">
        <w:t xml:space="preserve"> diseases such as </w:t>
      </w:r>
      <w:r w:rsidR="00D5405F" w:rsidRPr="00D5405F">
        <w:rPr>
          <w:i/>
        </w:rPr>
        <w:t>Pythium</w:t>
      </w:r>
      <w:r w:rsidR="00D5405F">
        <w:t xml:space="preserve"> root diseases. Other diseases such as fairy ring </w:t>
      </w:r>
      <w:r w:rsidR="00234DD8">
        <w:t xml:space="preserve">can render the soil impermeable to water </w:t>
      </w:r>
      <w:r w:rsidR="00514B57">
        <w:t xml:space="preserve">that may adversely affect root growth </w:t>
      </w:r>
      <w:r w:rsidR="00234DD8">
        <w:t>(Dernoeden, 2002)</w:t>
      </w:r>
      <w:r w:rsidR="00CB3A59">
        <w:t>.</w:t>
      </w:r>
    </w:p>
    <w:p w:rsidR="00E27DC7" w:rsidRDefault="00E27DC7" w:rsidP="00315D93">
      <w:pPr>
        <w:spacing w:line="480" w:lineRule="auto"/>
        <w:ind w:firstLine="720"/>
      </w:pPr>
    </w:p>
    <w:p w:rsidR="00D917D9" w:rsidRPr="00D917D9" w:rsidRDefault="00D917D9" w:rsidP="00315D93">
      <w:pPr>
        <w:spacing w:line="480" w:lineRule="auto"/>
        <w:rPr>
          <w:i/>
        </w:rPr>
      </w:pPr>
      <w:r w:rsidRPr="00D917D9">
        <w:rPr>
          <w:i/>
        </w:rPr>
        <w:t xml:space="preserve">Disease </w:t>
      </w:r>
      <w:r w:rsidR="00D5405F">
        <w:rPr>
          <w:i/>
        </w:rPr>
        <w:t>severity</w:t>
      </w:r>
    </w:p>
    <w:p w:rsidR="00D917D9" w:rsidRPr="00D917D9" w:rsidRDefault="00D917D9" w:rsidP="00315D93">
      <w:pPr>
        <w:spacing w:line="480" w:lineRule="auto"/>
        <w:ind w:firstLine="720"/>
        <w:rPr>
          <w:color w:val="000000"/>
        </w:rPr>
      </w:pPr>
      <w:r w:rsidRPr="00D917D9">
        <w:rPr>
          <w:color w:val="000000"/>
        </w:rPr>
        <w:t xml:space="preserve">Disease pressure was exceptionally low throughout both experimental runs. In 2011, trace amounts of brown patch (1.3 %) were observed in the </w:t>
      </w:r>
      <w:r w:rsidR="007C7D3A">
        <w:rPr>
          <w:color w:val="000000"/>
        </w:rPr>
        <w:t>non-treated</w:t>
      </w:r>
      <w:r w:rsidRPr="00D917D9">
        <w:rPr>
          <w:color w:val="000000"/>
        </w:rPr>
        <w:t xml:space="preserve"> control on a single rating date (70 DAIT)</w:t>
      </w:r>
      <w:r w:rsidR="00F174C3">
        <w:rPr>
          <w:color w:val="000000"/>
        </w:rPr>
        <w:t>;</w:t>
      </w:r>
      <w:r w:rsidRPr="00D917D9">
        <w:rPr>
          <w:color w:val="000000"/>
        </w:rPr>
        <w:t xml:space="preserve"> however no significant differences </w:t>
      </w:r>
      <w:r w:rsidR="002D584F">
        <w:rPr>
          <w:color w:val="000000"/>
        </w:rPr>
        <w:t>occurred</w:t>
      </w:r>
      <w:r w:rsidR="002D584F" w:rsidRPr="00D917D9">
        <w:rPr>
          <w:color w:val="000000"/>
        </w:rPr>
        <w:t xml:space="preserve"> </w:t>
      </w:r>
      <w:r w:rsidRPr="00D917D9">
        <w:rPr>
          <w:color w:val="000000"/>
        </w:rPr>
        <w:t xml:space="preserve">between </w:t>
      </w:r>
      <w:r w:rsidRPr="00D917D9">
        <w:rPr>
          <w:color w:val="000000"/>
        </w:rPr>
        <w:lastRenderedPageBreak/>
        <w:t>treatments. In 2012, significant differences in brown patch severity were observed 42 and 56 DAIT</w:t>
      </w:r>
      <w:r w:rsidR="00320D41">
        <w:rPr>
          <w:color w:val="000000"/>
        </w:rPr>
        <w:t xml:space="preserve"> (</w:t>
      </w:r>
      <w:r w:rsidR="00320D41" w:rsidRPr="005B5712">
        <w:rPr>
          <w:color w:val="000000"/>
        </w:rPr>
        <w:t>Table 2.</w:t>
      </w:r>
      <w:r w:rsidR="005B5712" w:rsidRPr="005B5712">
        <w:rPr>
          <w:color w:val="000000"/>
        </w:rPr>
        <w:t>7</w:t>
      </w:r>
      <w:r w:rsidR="00320D41">
        <w:rPr>
          <w:color w:val="000000"/>
        </w:rPr>
        <w:t>)</w:t>
      </w:r>
      <w:r w:rsidRPr="00D917D9">
        <w:rPr>
          <w:color w:val="000000"/>
        </w:rPr>
        <w:t>. On th</w:t>
      </w:r>
      <w:r w:rsidR="00320D41">
        <w:rPr>
          <w:color w:val="000000"/>
        </w:rPr>
        <w:t>ese</w:t>
      </w:r>
      <w:r w:rsidRPr="00D917D9">
        <w:rPr>
          <w:color w:val="000000"/>
        </w:rPr>
        <w:t xml:space="preserve"> dates brown patch </w:t>
      </w:r>
      <w:r w:rsidR="00320D41" w:rsidRPr="00D917D9">
        <w:rPr>
          <w:color w:val="000000"/>
        </w:rPr>
        <w:t>severity</w:t>
      </w:r>
      <w:r w:rsidR="00F174C3">
        <w:rPr>
          <w:color w:val="000000"/>
        </w:rPr>
        <w:t xml:space="preserve"> in the non-treated control</w:t>
      </w:r>
      <w:r w:rsidR="00320D41" w:rsidRPr="00D917D9">
        <w:rPr>
          <w:color w:val="000000"/>
        </w:rPr>
        <w:t xml:space="preserve"> reached 6 </w:t>
      </w:r>
      <w:r w:rsidR="00F174C3">
        <w:rPr>
          <w:color w:val="000000"/>
        </w:rPr>
        <w:t>to</w:t>
      </w:r>
      <w:r w:rsidR="00F174C3" w:rsidRPr="00D917D9">
        <w:rPr>
          <w:color w:val="000000"/>
        </w:rPr>
        <w:t xml:space="preserve"> </w:t>
      </w:r>
      <w:r w:rsidR="00320D41" w:rsidRPr="00D917D9">
        <w:rPr>
          <w:color w:val="000000"/>
        </w:rPr>
        <w:t>8</w:t>
      </w:r>
      <w:r w:rsidR="00F174C3">
        <w:rPr>
          <w:color w:val="000000"/>
        </w:rPr>
        <w:t>%,</w:t>
      </w:r>
      <w:r w:rsidR="007C7D3A">
        <w:rPr>
          <w:color w:val="000000"/>
        </w:rPr>
        <w:t xml:space="preserve"> </w:t>
      </w:r>
      <w:r w:rsidRPr="00D917D9">
        <w:rPr>
          <w:color w:val="000000"/>
        </w:rPr>
        <w:t>significantly greater than all</w:t>
      </w:r>
      <w:r w:rsidR="00F65A64">
        <w:rPr>
          <w:color w:val="000000"/>
        </w:rPr>
        <w:t xml:space="preserve"> other</w:t>
      </w:r>
      <w:r w:rsidRPr="00D917D9">
        <w:rPr>
          <w:color w:val="000000"/>
        </w:rPr>
        <w:t xml:space="preserve"> treatments. All fungicide programs </w:t>
      </w:r>
      <w:r w:rsidR="00D5405F">
        <w:rPr>
          <w:color w:val="000000"/>
        </w:rPr>
        <w:t xml:space="preserve">did not </w:t>
      </w:r>
      <w:r w:rsidR="00F174C3">
        <w:rPr>
          <w:color w:val="000000"/>
        </w:rPr>
        <w:t xml:space="preserve">exhibit </w:t>
      </w:r>
      <w:r w:rsidR="00D5405F">
        <w:rPr>
          <w:color w:val="000000"/>
        </w:rPr>
        <w:t>observable symptoms associated with</w:t>
      </w:r>
      <w:r w:rsidRPr="00D917D9">
        <w:rPr>
          <w:color w:val="000000"/>
        </w:rPr>
        <w:t xml:space="preserve"> </w:t>
      </w:r>
      <w:r w:rsidR="00D5405F">
        <w:rPr>
          <w:color w:val="000000"/>
        </w:rPr>
        <w:t>b</w:t>
      </w:r>
      <w:r w:rsidRPr="00D917D9">
        <w:rPr>
          <w:color w:val="000000"/>
        </w:rPr>
        <w:t xml:space="preserve">rown patch and dollar spot </w:t>
      </w:r>
      <w:r w:rsidR="00F174C3">
        <w:rPr>
          <w:color w:val="000000"/>
        </w:rPr>
        <w:t>in</w:t>
      </w:r>
      <w:r w:rsidR="00F174C3" w:rsidRPr="00D917D9">
        <w:rPr>
          <w:color w:val="000000"/>
        </w:rPr>
        <w:t xml:space="preserve"> </w:t>
      </w:r>
      <w:r w:rsidR="00F174C3">
        <w:rPr>
          <w:color w:val="000000"/>
        </w:rPr>
        <w:t>either</w:t>
      </w:r>
      <w:r w:rsidR="00F174C3" w:rsidRPr="00D917D9">
        <w:rPr>
          <w:color w:val="000000"/>
        </w:rPr>
        <w:t xml:space="preserve"> </w:t>
      </w:r>
      <w:r w:rsidR="00F174C3">
        <w:rPr>
          <w:color w:val="000000"/>
        </w:rPr>
        <w:t>year</w:t>
      </w:r>
      <w:r w:rsidRPr="00D917D9">
        <w:rPr>
          <w:color w:val="000000"/>
        </w:rPr>
        <w:t xml:space="preserve">. In 2012, these fungicide programs </w:t>
      </w:r>
      <w:r w:rsidR="008F23FF">
        <w:rPr>
          <w:color w:val="000000"/>
        </w:rPr>
        <w:t xml:space="preserve">also </w:t>
      </w:r>
      <w:r w:rsidRPr="00D917D9">
        <w:rPr>
          <w:color w:val="000000"/>
        </w:rPr>
        <w:t xml:space="preserve">had significantly lower brown patch compared to the </w:t>
      </w:r>
      <w:r w:rsidR="007C7D3A">
        <w:rPr>
          <w:color w:val="000000"/>
        </w:rPr>
        <w:t>non-treated</w:t>
      </w:r>
      <w:r w:rsidRPr="00D917D9">
        <w:rPr>
          <w:color w:val="000000"/>
        </w:rPr>
        <w:t xml:space="preserve"> control </w:t>
      </w:r>
      <w:r w:rsidR="008F23FF">
        <w:rPr>
          <w:color w:val="000000"/>
        </w:rPr>
        <w:t xml:space="preserve">as measured by </w:t>
      </w:r>
      <w:r w:rsidRPr="00D917D9">
        <w:rPr>
          <w:color w:val="000000"/>
        </w:rPr>
        <w:t xml:space="preserve">the </w:t>
      </w:r>
      <w:r w:rsidR="00D5405F">
        <w:rPr>
          <w:color w:val="000000"/>
        </w:rPr>
        <w:t>a</w:t>
      </w:r>
      <w:r w:rsidRPr="00D917D9">
        <w:rPr>
          <w:color w:val="000000"/>
        </w:rPr>
        <w:t>r</w:t>
      </w:r>
      <w:r w:rsidR="00D5405F">
        <w:rPr>
          <w:color w:val="000000"/>
        </w:rPr>
        <w:t>ea under the brown patch progress c</w:t>
      </w:r>
      <w:r w:rsidRPr="00D917D9">
        <w:rPr>
          <w:color w:val="000000"/>
        </w:rPr>
        <w:t>urve</w:t>
      </w:r>
      <w:r w:rsidR="00320D41">
        <w:rPr>
          <w:color w:val="000000"/>
        </w:rPr>
        <w:t xml:space="preserve"> (</w:t>
      </w:r>
      <w:r w:rsidR="00320D41" w:rsidRPr="005B5712">
        <w:rPr>
          <w:color w:val="000000"/>
        </w:rPr>
        <w:t>Table 2.</w:t>
      </w:r>
      <w:r w:rsidR="005B5712">
        <w:rPr>
          <w:color w:val="000000"/>
        </w:rPr>
        <w:t>7</w:t>
      </w:r>
      <w:r w:rsidR="00320D41">
        <w:rPr>
          <w:color w:val="000000"/>
        </w:rPr>
        <w:t>)</w:t>
      </w:r>
      <w:r w:rsidRPr="00D917D9">
        <w:rPr>
          <w:color w:val="000000"/>
        </w:rPr>
        <w:t xml:space="preserve">. </w:t>
      </w:r>
    </w:p>
    <w:p w:rsidR="00AD6AEB" w:rsidRDefault="00AD6AEB" w:rsidP="00315D93">
      <w:pPr>
        <w:spacing w:line="480" w:lineRule="auto"/>
        <w:jc w:val="center"/>
        <w:rPr>
          <w:b/>
        </w:rPr>
      </w:pPr>
    </w:p>
    <w:p w:rsidR="00D917D9" w:rsidRDefault="00AD6AEB" w:rsidP="00EB30A2">
      <w:pPr>
        <w:pStyle w:val="Heading2"/>
      </w:pPr>
      <w:bookmarkStart w:id="61" w:name="_Toc353890890"/>
      <w:bookmarkStart w:id="62" w:name="_Toc353892631"/>
      <w:r w:rsidRPr="009B2EE6">
        <w:t>CONCLUSION</w:t>
      </w:r>
      <w:bookmarkEnd w:id="61"/>
      <w:bookmarkEnd w:id="62"/>
    </w:p>
    <w:p w:rsidR="00EB30A2" w:rsidRPr="00EB30A2" w:rsidRDefault="00EB30A2" w:rsidP="00EB30A2"/>
    <w:p w:rsidR="00D917D9" w:rsidRPr="00D917D9" w:rsidRDefault="00713B73" w:rsidP="00315D93">
      <w:pPr>
        <w:spacing w:line="480" w:lineRule="auto"/>
        <w:ind w:firstLine="720"/>
        <w:rPr>
          <w:color w:val="000000"/>
        </w:rPr>
      </w:pPr>
      <w:r>
        <w:rPr>
          <w:color w:val="000000"/>
        </w:rPr>
        <w:t>In</w:t>
      </w:r>
      <w:r w:rsidR="00D917D9" w:rsidRPr="00D917D9">
        <w:rPr>
          <w:color w:val="000000"/>
        </w:rPr>
        <w:t xml:space="preserve"> 2011</w:t>
      </w:r>
      <w:r w:rsidR="00EA1EDF">
        <w:rPr>
          <w:color w:val="000000"/>
        </w:rPr>
        <w:t>,</w:t>
      </w:r>
      <w:r w:rsidR="00D917D9" w:rsidRPr="00D917D9">
        <w:rPr>
          <w:color w:val="000000"/>
        </w:rPr>
        <w:t xml:space="preserve"> visual quality, turfgrass cover, and spectral reflectance measurements gradually declined within the trial area on each successive date. However, strobilurin fungicide programs did not statistically improve any of these </w:t>
      </w:r>
      <w:r w:rsidR="007C7D3A">
        <w:rPr>
          <w:color w:val="000000"/>
        </w:rPr>
        <w:t xml:space="preserve">measured </w:t>
      </w:r>
      <w:r w:rsidR="00D917D9" w:rsidRPr="00D917D9">
        <w:rPr>
          <w:color w:val="000000"/>
        </w:rPr>
        <w:t xml:space="preserve">parameters compared to the </w:t>
      </w:r>
      <w:r w:rsidR="007C7D3A">
        <w:rPr>
          <w:color w:val="000000"/>
        </w:rPr>
        <w:t xml:space="preserve">non-treated </w:t>
      </w:r>
      <w:r w:rsidR="00D917D9" w:rsidRPr="00D917D9">
        <w:rPr>
          <w:color w:val="000000"/>
        </w:rPr>
        <w:t>control</w:t>
      </w:r>
      <w:r w:rsidR="008F23FF">
        <w:rPr>
          <w:color w:val="000000"/>
        </w:rPr>
        <w:t xml:space="preserve">. </w:t>
      </w:r>
      <w:r w:rsidR="00D917D9" w:rsidRPr="00D917D9">
        <w:rPr>
          <w:color w:val="000000"/>
        </w:rPr>
        <w:t xml:space="preserve">The amount of disease within the trial area was extremely low throughout the trial duration and may be a contributing factor for the lack of observable differences in visual quality, percent cover, and spectral reflectance measurements.  </w:t>
      </w:r>
    </w:p>
    <w:p w:rsidR="00D917D9" w:rsidRPr="00D917D9" w:rsidRDefault="00D917D9" w:rsidP="00315D93">
      <w:pPr>
        <w:spacing w:line="480" w:lineRule="auto"/>
        <w:rPr>
          <w:color w:val="000000"/>
        </w:rPr>
      </w:pPr>
      <w:r w:rsidRPr="00D917D9">
        <w:rPr>
          <w:color w:val="000000"/>
        </w:rPr>
        <w:tab/>
        <w:t xml:space="preserve">In 2012, significant differences in visual quality and percent cover were detected 42 DAIT and continued through the remainder of the trial period. Spectral reflectance measurements were significantly different beginning 56 DAIT. Diseases such as brown patch were more prevalent during 2012 trial season. Significant differences in disease </w:t>
      </w:r>
      <w:r w:rsidR="00D17DF3">
        <w:rPr>
          <w:color w:val="000000"/>
        </w:rPr>
        <w:t>severity</w:t>
      </w:r>
      <w:r w:rsidRPr="00D917D9">
        <w:rPr>
          <w:color w:val="000000"/>
        </w:rPr>
        <w:t xml:space="preserve"> were observed 42 and 56 DAIT.</w:t>
      </w:r>
    </w:p>
    <w:p w:rsidR="00CF2E1D" w:rsidRPr="007E181F" w:rsidRDefault="00D917D9" w:rsidP="007E181F">
      <w:pPr>
        <w:spacing w:line="480" w:lineRule="auto"/>
        <w:ind w:firstLine="720"/>
        <w:rPr>
          <w:color w:val="000000"/>
        </w:rPr>
      </w:pPr>
      <w:r w:rsidRPr="00D917D9">
        <w:rPr>
          <w:color w:val="000000"/>
        </w:rPr>
        <w:lastRenderedPageBreak/>
        <w:t xml:space="preserve">Prior investigations have supported </w:t>
      </w:r>
      <w:r w:rsidR="00234DD8">
        <w:rPr>
          <w:color w:val="000000"/>
        </w:rPr>
        <w:t>these</w:t>
      </w:r>
      <w:r w:rsidRPr="00D917D9">
        <w:rPr>
          <w:color w:val="000000"/>
        </w:rPr>
        <w:t xml:space="preserve"> research findings. Weiz et al. (2011) and Swoboda and Pedersen (2009) reported minimal significant differences in </w:t>
      </w:r>
      <w:r w:rsidR="007C7D3A">
        <w:rPr>
          <w:color w:val="000000"/>
        </w:rPr>
        <w:t>plant physiological effects</w:t>
      </w:r>
      <w:r w:rsidRPr="00D917D9">
        <w:rPr>
          <w:color w:val="000000"/>
        </w:rPr>
        <w:t xml:space="preserve"> </w:t>
      </w:r>
      <w:r w:rsidR="00D5405F">
        <w:rPr>
          <w:color w:val="000000"/>
        </w:rPr>
        <w:t>or yield</w:t>
      </w:r>
      <w:r w:rsidRPr="00D917D9">
        <w:rPr>
          <w:color w:val="000000"/>
        </w:rPr>
        <w:t xml:space="preserve"> in a low disease pressure environment using strobilurin fungicides. </w:t>
      </w:r>
      <w:r w:rsidR="00D5405F">
        <w:t>In comparison, this field research</w:t>
      </w:r>
      <w:r w:rsidR="00A67ADD">
        <w:t xml:space="preserve"> reported</w:t>
      </w:r>
      <w:r w:rsidR="00D5405F">
        <w:t xml:space="preserve"> </w:t>
      </w:r>
      <w:r w:rsidRPr="00D917D9">
        <w:rPr>
          <w:color w:val="000000"/>
        </w:rPr>
        <w:t xml:space="preserve">no differences in </w:t>
      </w:r>
      <w:r w:rsidR="00A67ADD">
        <w:rPr>
          <w:color w:val="000000"/>
        </w:rPr>
        <w:t xml:space="preserve">any parameter </w:t>
      </w:r>
      <w:r w:rsidRPr="00D917D9">
        <w:rPr>
          <w:color w:val="000000"/>
        </w:rPr>
        <w:t xml:space="preserve">prior to </w:t>
      </w:r>
      <w:r w:rsidR="00A67ADD">
        <w:rPr>
          <w:color w:val="000000"/>
        </w:rPr>
        <w:t xml:space="preserve">a </w:t>
      </w:r>
      <w:r w:rsidRPr="00D917D9">
        <w:rPr>
          <w:color w:val="000000"/>
        </w:rPr>
        <w:t>disease</w:t>
      </w:r>
      <w:r w:rsidR="00A67ADD">
        <w:rPr>
          <w:color w:val="000000"/>
        </w:rPr>
        <w:t xml:space="preserve"> </w:t>
      </w:r>
      <w:r w:rsidR="007C7D3A">
        <w:rPr>
          <w:color w:val="000000"/>
        </w:rPr>
        <w:t>occurrence</w:t>
      </w:r>
      <w:r w:rsidRPr="00D917D9">
        <w:rPr>
          <w:color w:val="000000"/>
        </w:rPr>
        <w:t xml:space="preserve"> within the trial area. Brosnan et al. </w:t>
      </w:r>
      <w:r w:rsidR="007B14C4">
        <w:rPr>
          <w:color w:val="000000"/>
        </w:rPr>
        <w:t>(</w:t>
      </w:r>
      <w:r w:rsidRPr="00D917D9">
        <w:rPr>
          <w:color w:val="000000"/>
        </w:rPr>
        <w:t>2010</w:t>
      </w:r>
      <w:r w:rsidR="007B14C4">
        <w:rPr>
          <w:color w:val="000000"/>
        </w:rPr>
        <w:t>)</w:t>
      </w:r>
      <w:r w:rsidRPr="00D917D9">
        <w:rPr>
          <w:color w:val="000000"/>
        </w:rPr>
        <w:t xml:space="preserve"> observed significant increases in root length and density in ‘Penn A-1’ creeping bentgrass after applications of pyraclostrobin compared to the </w:t>
      </w:r>
      <w:r w:rsidR="007C7D3A">
        <w:rPr>
          <w:color w:val="000000"/>
        </w:rPr>
        <w:t>non-treated</w:t>
      </w:r>
      <w:r w:rsidRPr="00D917D9">
        <w:rPr>
          <w:color w:val="000000"/>
        </w:rPr>
        <w:t xml:space="preserve"> control in a greenhouse environment. However, </w:t>
      </w:r>
      <w:r w:rsidR="00EB5B29">
        <w:rPr>
          <w:color w:val="000000"/>
        </w:rPr>
        <w:t xml:space="preserve">this </w:t>
      </w:r>
      <w:r w:rsidR="00A67ADD">
        <w:rPr>
          <w:color w:val="000000"/>
        </w:rPr>
        <w:t xml:space="preserve">field </w:t>
      </w:r>
      <w:r w:rsidR="00EB5B29">
        <w:rPr>
          <w:color w:val="000000"/>
        </w:rPr>
        <w:t>study featured</w:t>
      </w:r>
      <w:r w:rsidRPr="00D917D9">
        <w:rPr>
          <w:color w:val="000000"/>
        </w:rPr>
        <w:t xml:space="preserve"> established creeping bentgrass plants </w:t>
      </w:r>
      <w:r w:rsidR="00234DD8">
        <w:rPr>
          <w:color w:val="000000"/>
        </w:rPr>
        <w:t xml:space="preserve">grown on </w:t>
      </w:r>
      <w:r w:rsidR="007C7D3A">
        <w:rPr>
          <w:color w:val="000000"/>
        </w:rPr>
        <w:t>a mature</w:t>
      </w:r>
      <w:r w:rsidRPr="00D917D9">
        <w:rPr>
          <w:color w:val="000000"/>
        </w:rPr>
        <w:t xml:space="preserve"> sand </w:t>
      </w:r>
      <w:r w:rsidR="00EB5B29">
        <w:rPr>
          <w:color w:val="000000"/>
        </w:rPr>
        <w:t xml:space="preserve">rootzone in the field. </w:t>
      </w:r>
      <w:r w:rsidR="00B01F37">
        <w:rPr>
          <w:color w:val="000000"/>
        </w:rPr>
        <w:t xml:space="preserve">Established rootzones are prone to a number of isolated edaphic stressors that may cause increased variability in root structure. </w:t>
      </w:r>
      <w:r w:rsidR="00AF74DD">
        <w:rPr>
          <w:color w:val="000000"/>
        </w:rPr>
        <w:t xml:space="preserve">Wilkinson and Miller (1978) reported significant changes in the particle size distribution of a rootzone over two year period. These changes included a decrease of medium sized (0.25 – 0.05 mm) sand particles and an increase in very course (1 – 2 mm) and clay (&lt; 0.002 mm) sand particles. The authors </w:t>
      </w:r>
      <w:r w:rsidR="00340123">
        <w:rPr>
          <w:color w:val="000000"/>
        </w:rPr>
        <w:t>proposed</w:t>
      </w:r>
      <w:r w:rsidR="00AF74DD">
        <w:rPr>
          <w:color w:val="000000"/>
        </w:rPr>
        <w:t xml:space="preserve"> the increase in very coarse particle size was due to </w:t>
      </w:r>
      <w:r w:rsidR="00340123">
        <w:rPr>
          <w:color w:val="000000"/>
        </w:rPr>
        <w:t>small</w:t>
      </w:r>
      <w:r w:rsidR="00B50CB6">
        <w:rPr>
          <w:color w:val="000000"/>
        </w:rPr>
        <w:t>er</w:t>
      </w:r>
      <w:r w:rsidR="00340123">
        <w:rPr>
          <w:color w:val="000000"/>
        </w:rPr>
        <w:t xml:space="preserve"> particles binding together to create coarser particles.</w:t>
      </w:r>
      <w:r w:rsidR="00340123" w:rsidRPr="00340123">
        <w:rPr>
          <w:color w:val="000000"/>
        </w:rPr>
        <w:t xml:space="preserve"> </w:t>
      </w:r>
      <w:r w:rsidR="00340123">
        <w:rPr>
          <w:color w:val="000000"/>
        </w:rPr>
        <w:t xml:space="preserve">Using a scanning electron microscope the authors observed </w:t>
      </w:r>
      <w:r w:rsidR="00B50CB6">
        <w:rPr>
          <w:color w:val="000000"/>
        </w:rPr>
        <w:t xml:space="preserve">an organic waxy coating binding these particles together. </w:t>
      </w:r>
      <w:r w:rsidR="002368DE">
        <w:rPr>
          <w:color w:val="000000"/>
        </w:rPr>
        <w:t>The waxy coating was determined to be caused by fairy ring fungal colonization. These areas of a putting green often result in localized dry spots. Localized dry spot or other hydrophobic sands can result in significantly less total root length at the 0</w:t>
      </w:r>
      <w:r w:rsidR="00EE5032">
        <w:rPr>
          <w:color w:val="000000"/>
        </w:rPr>
        <w:t xml:space="preserve"> – 8 cm root depth (Karnok and Tucker, 2001). </w:t>
      </w:r>
      <w:r w:rsidR="00EB5B29">
        <w:rPr>
          <w:color w:val="000000"/>
        </w:rPr>
        <w:t>This</w:t>
      </w:r>
      <w:r w:rsidRPr="00D917D9">
        <w:rPr>
          <w:color w:val="000000"/>
        </w:rPr>
        <w:t xml:space="preserve"> may have been a contributing factor to the variance in root morphology assessments during this experiment.</w:t>
      </w:r>
      <w:r w:rsidR="00870506" w:rsidRPr="00870506">
        <w:rPr>
          <w:rFonts w:eastAsia="Calibri"/>
        </w:rPr>
        <w:t xml:space="preserve"> </w:t>
      </w:r>
    </w:p>
    <w:p w:rsidR="00D917D9" w:rsidRDefault="00D917D9" w:rsidP="000549B1">
      <w:pPr>
        <w:spacing w:line="480" w:lineRule="auto"/>
        <w:ind w:firstLine="720"/>
      </w:pPr>
      <w:r w:rsidRPr="00D917D9">
        <w:rPr>
          <w:color w:val="000000"/>
        </w:rPr>
        <w:lastRenderedPageBreak/>
        <w:t xml:space="preserve">The physiological responses </w:t>
      </w:r>
      <w:r w:rsidR="00A67ADD">
        <w:rPr>
          <w:color w:val="000000"/>
        </w:rPr>
        <w:t>that have been</w:t>
      </w:r>
      <w:r w:rsidRPr="00D917D9">
        <w:rPr>
          <w:color w:val="000000"/>
        </w:rPr>
        <w:t xml:space="preserve"> observed after strobilurin applications such as inhibition of </w:t>
      </w:r>
      <w:r w:rsidR="00E60526" w:rsidRPr="00D917D9">
        <w:rPr>
          <w:color w:val="000000"/>
        </w:rPr>
        <w:t>ethylene</w:t>
      </w:r>
      <w:r w:rsidRPr="00D917D9">
        <w:rPr>
          <w:color w:val="000000"/>
        </w:rPr>
        <w:t xml:space="preserve">, increased anti-oxidant activity, and hormonal shifts </w:t>
      </w:r>
      <w:r w:rsidRPr="00D917D9">
        <w:t>may still have been taking place during this experiment</w:t>
      </w:r>
      <w:r w:rsidR="00A67ADD">
        <w:t xml:space="preserve"> (</w:t>
      </w:r>
      <w:r w:rsidR="00A67ADD" w:rsidRPr="0057258F">
        <w:t>Grossmann and Retzlaff, 1997; K</w:t>
      </w:r>
      <w:r w:rsidR="002368DE">
        <w:t>ö</w:t>
      </w:r>
      <w:r w:rsidR="00A67ADD" w:rsidRPr="0057258F">
        <w:t>hle et al., 2002; Jabs et al., 2002</w:t>
      </w:r>
      <w:r w:rsidR="00A67ADD">
        <w:t>)</w:t>
      </w:r>
      <w:r w:rsidRPr="00D917D9">
        <w:t>. However, the practical implication of these processes remains unclear under field conditions.</w:t>
      </w:r>
      <w:r w:rsidR="007E181F">
        <w:t xml:space="preserve"> In this experiment we did not have consistent field observable differences in physiological effects.</w:t>
      </w:r>
      <w:r w:rsidRPr="00D917D9">
        <w:t xml:space="preserve"> </w:t>
      </w:r>
      <w:r w:rsidR="007E181F">
        <w:t xml:space="preserve">This may be a result of implementing cultural techniques that promote a healthier growing environment for creeping bentgrass putting greens. </w:t>
      </w:r>
      <w:r w:rsidRPr="00D917D9">
        <w:t xml:space="preserve">Routine mowing, sand topdressing, aerification, and proper nutrient and water management practices may be a contributing factor for the lack of significant differences in plant </w:t>
      </w:r>
      <w:r w:rsidR="007C7D3A">
        <w:t>physiological effects</w:t>
      </w:r>
      <w:r w:rsidRPr="00D917D9">
        <w:t xml:space="preserve"> when disease pressure </w:t>
      </w:r>
      <w:r w:rsidR="00944C97">
        <w:t xml:space="preserve">is </w:t>
      </w:r>
      <w:r w:rsidRPr="00D917D9">
        <w:t>low.</w:t>
      </w:r>
      <w:r w:rsidR="007E181F">
        <w:t xml:space="preserve"> </w:t>
      </w:r>
    </w:p>
    <w:p w:rsidR="00AD6AEB" w:rsidRDefault="00AD6AEB" w:rsidP="00315D93">
      <w:pPr>
        <w:spacing w:line="480" w:lineRule="auto"/>
        <w:ind w:firstLine="720"/>
        <w:jc w:val="both"/>
      </w:pPr>
    </w:p>
    <w:p w:rsidR="000549B1" w:rsidRDefault="000549B1" w:rsidP="00315D93">
      <w:pPr>
        <w:spacing w:line="480" w:lineRule="auto"/>
        <w:rPr>
          <w:rFonts w:ascii="TimesNewRomanPSMT" w:hAnsi="TimesNewRomanPSMT" w:cs="TimesNewRomanPSMT"/>
        </w:rPr>
      </w:pPr>
    </w:p>
    <w:p w:rsidR="000549B1" w:rsidRDefault="000549B1" w:rsidP="00315D93">
      <w:pPr>
        <w:spacing w:line="480" w:lineRule="auto"/>
      </w:pPr>
    </w:p>
    <w:p w:rsidR="00232AE6" w:rsidRDefault="00232AE6" w:rsidP="00232AE6"/>
    <w:p w:rsidR="007C7D3A" w:rsidRDefault="007C7D3A" w:rsidP="00232AE6"/>
    <w:p w:rsidR="007C7D3A" w:rsidRDefault="007C7D3A" w:rsidP="00232AE6"/>
    <w:p w:rsidR="007C7D3A" w:rsidRDefault="007C7D3A" w:rsidP="00232AE6"/>
    <w:p w:rsidR="007C7D3A" w:rsidRDefault="007C7D3A" w:rsidP="00232AE6"/>
    <w:p w:rsidR="007C7D3A" w:rsidRDefault="007C7D3A" w:rsidP="00232AE6"/>
    <w:p w:rsidR="007C7D3A" w:rsidRDefault="007C7D3A" w:rsidP="00232AE6"/>
    <w:p w:rsidR="007C7D3A" w:rsidRDefault="007C7D3A" w:rsidP="00232AE6"/>
    <w:p w:rsidR="007C7D3A" w:rsidRDefault="007C7D3A" w:rsidP="00232AE6"/>
    <w:p w:rsidR="007C7D3A" w:rsidRDefault="007C7D3A" w:rsidP="00232AE6"/>
    <w:p w:rsidR="007C7D3A" w:rsidRDefault="007C7D3A" w:rsidP="00232AE6"/>
    <w:p w:rsidR="007C7D3A" w:rsidRDefault="007C7D3A" w:rsidP="00232AE6"/>
    <w:p w:rsidR="00F906FC" w:rsidRDefault="00F906FC" w:rsidP="00232AE6"/>
    <w:p w:rsidR="00F906FC" w:rsidRDefault="00F906FC" w:rsidP="00232AE6"/>
    <w:p w:rsidR="00F906FC" w:rsidRDefault="00F906FC" w:rsidP="00232AE6"/>
    <w:p w:rsidR="00F906FC" w:rsidRDefault="00F906FC" w:rsidP="00232AE6"/>
    <w:p w:rsidR="00F906FC" w:rsidRDefault="00F906FC" w:rsidP="00232AE6"/>
    <w:p w:rsidR="00EB30A2" w:rsidRDefault="00EB30A2" w:rsidP="00232AE6"/>
    <w:p w:rsidR="00232AE6" w:rsidRPr="009B2EE6" w:rsidRDefault="00232AE6" w:rsidP="00EB30A2">
      <w:pPr>
        <w:pStyle w:val="Heading2"/>
      </w:pPr>
      <w:bookmarkStart w:id="63" w:name="_Toc353890891"/>
      <w:bookmarkStart w:id="64" w:name="_Toc353892632"/>
      <w:r w:rsidRPr="009B2EE6">
        <w:lastRenderedPageBreak/>
        <w:t>LITERATURE CITED</w:t>
      </w:r>
      <w:bookmarkEnd w:id="63"/>
      <w:bookmarkEnd w:id="64"/>
    </w:p>
    <w:p w:rsidR="00232AE6" w:rsidRDefault="00232AE6" w:rsidP="00232AE6"/>
    <w:p w:rsidR="00232AE6" w:rsidRDefault="00232AE6" w:rsidP="00E87A77">
      <w:pPr>
        <w:autoSpaceDE w:val="0"/>
        <w:autoSpaceDN w:val="0"/>
        <w:adjustRightInd w:val="0"/>
        <w:spacing w:line="480" w:lineRule="auto"/>
        <w:ind w:left="720" w:hanging="720"/>
      </w:pPr>
      <w:r w:rsidRPr="00E87A77">
        <w:t xml:space="preserve">Ammermann, E., G. Lorenz, K. Schelberger, B. Mueller, R. Kirstgen, and H. Sauter. 2000. </w:t>
      </w:r>
      <w:r w:rsidRPr="00E87A77">
        <w:rPr>
          <w:i/>
        </w:rPr>
        <w:t>In</w:t>
      </w:r>
      <w:r w:rsidRPr="00E87A77">
        <w:t xml:space="preserve"> </w:t>
      </w:r>
      <w:r w:rsidRPr="00E87A77">
        <w:rPr>
          <w:rFonts w:eastAsia="Calibri"/>
          <w:color w:val="000000"/>
        </w:rPr>
        <w:t>Brighton Crop Protection Conference: Pests and Diseases</w:t>
      </w:r>
      <w:r w:rsidRPr="00E87A77">
        <w:t>.</w:t>
      </w:r>
      <w:r w:rsidR="00180085">
        <w:t xml:space="preserve"> British Crop Protection Council, Farnham, UK. </w:t>
      </w:r>
    </w:p>
    <w:p w:rsidR="001F50D3" w:rsidRPr="00E87A77" w:rsidRDefault="00180085" w:rsidP="001F50D3">
      <w:pPr>
        <w:spacing w:line="480" w:lineRule="auto"/>
        <w:ind w:left="720" w:hanging="720"/>
        <w:contextualSpacing/>
      </w:pPr>
      <w:r>
        <w:t>Anonymous.</w:t>
      </w:r>
      <w:r w:rsidR="001F50D3" w:rsidRPr="003D7113">
        <w:t xml:space="preserve"> 2010. Heritage TL fungicide </w:t>
      </w:r>
      <w:r>
        <w:t>product</w:t>
      </w:r>
      <w:r w:rsidR="001F50D3" w:rsidRPr="003D7113">
        <w:t xml:space="preserve"> </w:t>
      </w:r>
      <w:r>
        <w:t>label. Syngenta Crop Protection,</w:t>
      </w:r>
      <w:r w:rsidR="001F50D3" w:rsidRPr="003D7113">
        <w:t xml:space="preserve"> Greensboro, NC. </w:t>
      </w:r>
    </w:p>
    <w:p w:rsidR="00232AE6" w:rsidRDefault="00180085" w:rsidP="00E87A77">
      <w:pPr>
        <w:autoSpaceDE w:val="0"/>
        <w:autoSpaceDN w:val="0"/>
        <w:adjustRightInd w:val="0"/>
        <w:spacing w:line="480" w:lineRule="auto"/>
        <w:ind w:left="720" w:hanging="720"/>
        <w:rPr>
          <w:rFonts w:eastAsia="Calibri"/>
        </w:rPr>
      </w:pPr>
      <w:r>
        <w:t xml:space="preserve">Anonymous. </w:t>
      </w:r>
      <w:r w:rsidR="00232AE6" w:rsidRPr="00180085">
        <w:t>2010</w:t>
      </w:r>
      <w:r w:rsidR="00232AE6" w:rsidRPr="00E87A77">
        <w:t xml:space="preserve">. Insignia SC fungicide specimen label. </w:t>
      </w:r>
      <w:r>
        <w:rPr>
          <w:rFonts w:eastAsia="Calibri"/>
        </w:rPr>
        <w:t>BASF Corporation,</w:t>
      </w:r>
      <w:r w:rsidR="00232AE6" w:rsidRPr="00E87A77">
        <w:rPr>
          <w:rFonts w:eastAsia="Calibri"/>
        </w:rPr>
        <w:t xml:space="preserve"> Research Triangle Park, NC.</w:t>
      </w:r>
    </w:p>
    <w:p w:rsidR="00232AE6" w:rsidRPr="00E87A77" w:rsidRDefault="00232AE6" w:rsidP="00E87A77">
      <w:pPr>
        <w:autoSpaceDE w:val="0"/>
        <w:autoSpaceDN w:val="0"/>
        <w:adjustRightInd w:val="0"/>
        <w:spacing w:line="480" w:lineRule="auto"/>
        <w:ind w:left="720" w:hanging="720"/>
        <w:rPr>
          <w:rFonts w:eastAsia="Calibri"/>
          <w:color w:val="000000"/>
        </w:rPr>
      </w:pPr>
      <w:r w:rsidRPr="00180085">
        <w:rPr>
          <w:rFonts w:eastAsia="Calibri"/>
          <w:color w:val="000000"/>
        </w:rPr>
        <w:t>Bartlett, D.W., J.M. Clough,</w:t>
      </w:r>
      <w:r w:rsidRPr="00E87A77">
        <w:rPr>
          <w:rFonts w:eastAsia="Calibri"/>
          <w:color w:val="000000"/>
        </w:rPr>
        <w:t xml:space="preserve"> J.R. Godwin, A.A. Hall, M. Hamer, and B. Parr-Dobrzanski. 2002. The strobilurin fungicides. Pest Manag. Sci. 58:649-662.</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Beasley, J.S., and B.E. Branham. 2007. Trinexapac-</w:t>
      </w:r>
      <w:r w:rsidR="00180085">
        <w:rPr>
          <w:rFonts w:eastAsia="Calibri"/>
        </w:rPr>
        <w:t>ethyl and paclobutrazol affect k</w:t>
      </w:r>
      <w:r w:rsidRPr="00E87A77">
        <w:rPr>
          <w:rFonts w:eastAsia="Calibri"/>
        </w:rPr>
        <w:t>entucky bluegrass single leaf carbon exchange rates and plant growth. Crop Sci. 47:132–138.</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Brenna</w:t>
      </w:r>
      <w:r w:rsidR="00C60014">
        <w:rPr>
          <w:rFonts w:eastAsia="Calibri"/>
        </w:rPr>
        <w:t>n, E.</w:t>
      </w:r>
      <w:r w:rsidRPr="00E87A77">
        <w:rPr>
          <w:rFonts w:eastAsia="Calibri"/>
        </w:rPr>
        <w:t>, and P.M. Halisky. 1970. Response of turfgrass cultivars to ozone and sulfur oxide in</w:t>
      </w:r>
      <w:r w:rsidR="00C60014">
        <w:rPr>
          <w:rFonts w:eastAsia="Calibri"/>
        </w:rPr>
        <w:t xml:space="preserve"> the atmosphere. Phytopathology. 60:</w:t>
      </w:r>
      <w:r w:rsidRPr="00E87A77">
        <w:rPr>
          <w:rFonts w:eastAsia="Calibri"/>
        </w:rPr>
        <w:t xml:space="preserve"> 1544-1546. </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Brosnan, J.T, B.J. Horvath, M.T. Elmore, G.K. Breeden, and J.C. Sorochan. 2010. Greenhouse investigation of strobilurin fungicide applicati</w:t>
      </w:r>
      <w:r w:rsidR="00C60014">
        <w:rPr>
          <w:rFonts w:eastAsia="Calibri"/>
        </w:rPr>
        <w:t xml:space="preserve">ons on creeping bentgrass root </w:t>
      </w:r>
      <w:r w:rsidRPr="00E87A77">
        <w:rPr>
          <w:rFonts w:eastAsia="Calibri"/>
        </w:rPr>
        <w:t>characteristics under two irriga</w:t>
      </w:r>
      <w:r w:rsidR="00C60014">
        <w:rPr>
          <w:rFonts w:eastAsia="Calibri"/>
        </w:rPr>
        <w:t>tion regimes. Crop Sci. 50:2605-</w:t>
      </w:r>
      <w:r w:rsidRPr="00E87A77">
        <w:rPr>
          <w:rFonts w:eastAsia="Calibri"/>
        </w:rPr>
        <w:t>2610.</w:t>
      </w:r>
    </w:p>
    <w:p w:rsidR="00232AE6" w:rsidRDefault="00232AE6" w:rsidP="00E87A77">
      <w:pPr>
        <w:autoSpaceDE w:val="0"/>
        <w:autoSpaceDN w:val="0"/>
        <w:adjustRightInd w:val="0"/>
        <w:spacing w:line="480" w:lineRule="auto"/>
        <w:ind w:left="720" w:hanging="720"/>
        <w:rPr>
          <w:rFonts w:eastAsia="Calibri"/>
          <w:color w:val="000000"/>
        </w:rPr>
      </w:pPr>
      <w:r w:rsidRPr="00E87A77">
        <w:rPr>
          <w:rFonts w:eastAsia="Calibri"/>
          <w:color w:val="000000"/>
        </w:rPr>
        <w:t>Bryson, R.J., L. Leandro, and D.R. Jones. 2000. The physiological effects of kresoxim-methyl on wheat leaf greenness and the implication for crop yield. In: Proceedings of the Brighton Crop Protection Conference: Pest and Disease</w:t>
      </w:r>
      <w:r w:rsidR="00C60014">
        <w:rPr>
          <w:rFonts w:eastAsia="Calibri"/>
          <w:color w:val="000000"/>
        </w:rPr>
        <w:t xml:space="preserve">. British Crop Protection Council, Farnham, UK. </w:t>
      </w:r>
    </w:p>
    <w:p w:rsidR="00ED1079" w:rsidRPr="00ED1079" w:rsidRDefault="00ED1079" w:rsidP="00ED1079">
      <w:pPr>
        <w:autoSpaceDE w:val="0"/>
        <w:autoSpaceDN w:val="0"/>
        <w:adjustRightInd w:val="0"/>
        <w:spacing w:line="480" w:lineRule="auto"/>
        <w:ind w:left="720" w:hanging="720"/>
        <w:rPr>
          <w:rFonts w:eastAsia="Calibri"/>
        </w:rPr>
      </w:pPr>
      <w:r w:rsidRPr="003A366F">
        <w:rPr>
          <w:rFonts w:eastAsia="Calibri"/>
        </w:rPr>
        <w:lastRenderedPageBreak/>
        <w:t xml:space="preserve">Campbell, C.L., and L.V. Madden. 1991. Introduction to plant disease epidemiology. John Wily and Sons, NY. </w:t>
      </w:r>
    </w:p>
    <w:p w:rsidR="00232AE6" w:rsidRPr="00E87A77" w:rsidRDefault="00232AE6" w:rsidP="00E87A77">
      <w:pPr>
        <w:autoSpaceDE w:val="0"/>
        <w:autoSpaceDN w:val="0"/>
        <w:adjustRightInd w:val="0"/>
        <w:spacing w:line="480" w:lineRule="auto"/>
        <w:ind w:left="720" w:hanging="720"/>
        <w:rPr>
          <w:color w:val="222222"/>
        </w:rPr>
      </w:pPr>
      <w:r w:rsidRPr="00C60014">
        <w:rPr>
          <w:color w:val="222222"/>
        </w:rPr>
        <w:t>Dernoeden, P.H. 2002</w:t>
      </w:r>
      <w:r w:rsidRPr="00E87A77">
        <w:rPr>
          <w:color w:val="222222"/>
        </w:rPr>
        <w:t xml:space="preserve">. </w:t>
      </w:r>
      <w:r w:rsidR="00C60014">
        <w:rPr>
          <w:color w:val="222222"/>
        </w:rPr>
        <w:t>Creeping bentgrass management: s</w:t>
      </w:r>
      <w:r w:rsidRPr="00E87A77">
        <w:rPr>
          <w:color w:val="222222"/>
        </w:rPr>
        <w:t>ummer stresses, weeds, and selected maladies. John Wiley &amp; Sons, Hoboken, NJ.</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color w:val="000000"/>
        </w:rPr>
        <w:t xml:space="preserve">Godwin, J.R., D.W. Bartlett, J.M. Clough, A.R.A. Godfrey, E.G. Harrison, and S. Maund. 2000. Picoxystrobin: A new strobilurin fungicide for use on cereals. Brighton Crop Protection Conference: Pests and Diseases. British Crop Protection Council, Farnham, UK. </w:t>
      </w:r>
    </w:p>
    <w:p w:rsidR="00232AE6" w:rsidRPr="00E87A77" w:rsidRDefault="00232AE6" w:rsidP="00E87A77">
      <w:pPr>
        <w:autoSpaceDE w:val="0"/>
        <w:autoSpaceDN w:val="0"/>
        <w:adjustRightInd w:val="0"/>
        <w:spacing w:line="480" w:lineRule="auto"/>
        <w:ind w:left="720" w:hanging="720"/>
        <w:rPr>
          <w:rFonts w:eastAsia="Calibri"/>
          <w:color w:val="000000"/>
        </w:rPr>
      </w:pPr>
      <w:r w:rsidRPr="00E87A77">
        <w:rPr>
          <w:rFonts w:eastAsia="Calibri"/>
          <w:color w:val="000000"/>
        </w:rPr>
        <w:t>Grossmann, K.</w:t>
      </w:r>
      <w:r w:rsidR="00C60014">
        <w:rPr>
          <w:rFonts w:eastAsia="Calibri"/>
          <w:color w:val="000000"/>
        </w:rPr>
        <w:t>,</w:t>
      </w:r>
      <w:r w:rsidRPr="00E87A77">
        <w:rPr>
          <w:rFonts w:eastAsia="Calibri"/>
          <w:color w:val="000000"/>
        </w:rPr>
        <w:t xml:space="preserve"> and G. Retzlaff. 1997.  Bioregulatory effects of the fungicidal strobilurin kresoxim-methyl in wheat (</w:t>
      </w:r>
      <w:r w:rsidRPr="00C60014">
        <w:rPr>
          <w:rFonts w:eastAsia="Calibri"/>
          <w:i/>
          <w:color w:val="000000"/>
        </w:rPr>
        <w:t>Triticum aestivum</w:t>
      </w:r>
      <w:r w:rsidR="00C60014">
        <w:rPr>
          <w:rFonts w:eastAsia="Calibri"/>
          <w:color w:val="000000"/>
        </w:rPr>
        <w:t>). Pestic. Sci. 50:11-</w:t>
      </w:r>
      <w:r w:rsidRPr="00E87A77">
        <w:rPr>
          <w:rFonts w:eastAsia="Calibri"/>
          <w:color w:val="000000"/>
        </w:rPr>
        <w:t>20.</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 xml:space="preserve">Hagan, A., </w:t>
      </w:r>
      <w:r w:rsidR="00C60014">
        <w:rPr>
          <w:rFonts w:eastAsia="Calibri"/>
        </w:rPr>
        <w:t xml:space="preserve">H. Cambell, K. Bowen, and L. Wells. </w:t>
      </w:r>
      <w:r w:rsidRPr="00E87A77">
        <w:rPr>
          <w:rFonts w:eastAsia="Calibri"/>
        </w:rPr>
        <w:t xml:space="preserve">2009. Efficacy of recommended fungicide programs for the control of peanut diseases compared, 2008. Plant Disease Management Reports 3:FC040. Online publication Doi:10.1094/PDMR03. </w:t>
      </w:r>
    </w:p>
    <w:p w:rsidR="00232AE6" w:rsidRDefault="00232AE6" w:rsidP="00E87A77">
      <w:pPr>
        <w:autoSpaceDE w:val="0"/>
        <w:autoSpaceDN w:val="0"/>
        <w:adjustRightInd w:val="0"/>
        <w:spacing w:line="480" w:lineRule="auto"/>
        <w:ind w:left="720" w:hanging="720"/>
        <w:rPr>
          <w:color w:val="222222"/>
        </w:rPr>
      </w:pPr>
      <w:r w:rsidRPr="00E87A77">
        <w:rPr>
          <w:color w:val="222222"/>
        </w:rPr>
        <w:t>Huang, B.,</w:t>
      </w:r>
      <w:r w:rsidR="00C60014">
        <w:rPr>
          <w:color w:val="222222"/>
        </w:rPr>
        <w:t xml:space="preserve"> </w:t>
      </w:r>
      <w:r w:rsidRPr="00E87A77">
        <w:rPr>
          <w:color w:val="222222"/>
        </w:rPr>
        <w:t>and H.Gao.</w:t>
      </w:r>
      <w:r w:rsidR="00C60014">
        <w:rPr>
          <w:color w:val="222222"/>
        </w:rPr>
        <w:t xml:space="preserve"> </w:t>
      </w:r>
      <w:r w:rsidRPr="00E87A77">
        <w:rPr>
          <w:color w:val="222222"/>
        </w:rPr>
        <w:t>2000.</w:t>
      </w:r>
      <w:r w:rsidR="00C60014">
        <w:rPr>
          <w:color w:val="222222"/>
        </w:rPr>
        <w:t xml:space="preserve"> </w:t>
      </w:r>
      <w:r w:rsidRPr="00E87A77">
        <w:rPr>
          <w:color w:val="222222"/>
        </w:rPr>
        <w:t>Growth and carbohydrate metabolism of creeping bentgrass cultivars in response to increasing temperatures. Crop Sci. 40:1115-1120.</w:t>
      </w:r>
    </w:p>
    <w:p w:rsidR="00EE5032" w:rsidRPr="00E87A77" w:rsidRDefault="00EE5032" w:rsidP="00E87A77">
      <w:pPr>
        <w:autoSpaceDE w:val="0"/>
        <w:autoSpaceDN w:val="0"/>
        <w:adjustRightInd w:val="0"/>
        <w:spacing w:line="480" w:lineRule="auto"/>
        <w:ind w:left="720" w:hanging="720"/>
        <w:rPr>
          <w:color w:val="222222"/>
        </w:rPr>
      </w:pPr>
      <w:r>
        <w:rPr>
          <w:color w:val="222222"/>
        </w:rPr>
        <w:t>Karnok, K.J., and K.A. Tucker. 2001. Wetting agent treated hydrophobic soil and its effect on color, quality and root growth of creeping bentgrass. International Turfgrass Society Research Journal. 9: 537-541.</w:t>
      </w:r>
    </w:p>
    <w:p w:rsidR="00232AE6" w:rsidRPr="00E87A77" w:rsidRDefault="00232AE6" w:rsidP="00E87A77">
      <w:pPr>
        <w:autoSpaceDE w:val="0"/>
        <w:autoSpaceDN w:val="0"/>
        <w:adjustRightInd w:val="0"/>
        <w:spacing w:line="480" w:lineRule="auto"/>
        <w:ind w:left="720" w:hanging="720"/>
        <w:rPr>
          <w:color w:val="222222"/>
        </w:rPr>
      </w:pPr>
      <w:r w:rsidRPr="00E87A77">
        <w:rPr>
          <w:rFonts w:eastAsia="Calibri"/>
        </w:rPr>
        <w:t xml:space="preserve">Kerns, J.P., M.D. Soika and L.P. Tredway. 2009. Preventive control of </w:t>
      </w:r>
      <w:r w:rsidRPr="00C60014">
        <w:rPr>
          <w:rFonts w:eastAsia="Calibri"/>
          <w:i/>
        </w:rPr>
        <w:t>Pythium</w:t>
      </w:r>
      <w:r w:rsidRPr="00E87A77">
        <w:rPr>
          <w:rFonts w:eastAsia="Calibri"/>
        </w:rPr>
        <w:t xml:space="preserve"> root dysfunction in creeping bentgrass putting greens and sensitivity of </w:t>
      </w:r>
      <w:r w:rsidRPr="00C60014">
        <w:rPr>
          <w:rFonts w:eastAsia="Calibri"/>
          <w:i/>
        </w:rPr>
        <w:t>Pythium volutum</w:t>
      </w:r>
      <w:r w:rsidR="00C60014">
        <w:rPr>
          <w:rFonts w:eastAsia="Calibri"/>
        </w:rPr>
        <w:t xml:space="preserve"> to fungicides. Plant Dis.</w:t>
      </w:r>
      <w:r w:rsidRPr="00E87A77">
        <w:rPr>
          <w:rFonts w:eastAsia="Calibri"/>
        </w:rPr>
        <w:t xml:space="preserve"> 93:1275-1280. </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lastRenderedPageBreak/>
        <w:t xml:space="preserve">Kirk, W.W., </w:t>
      </w:r>
      <w:r w:rsidR="00C60014">
        <w:rPr>
          <w:rFonts w:eastAsia="Calibri"/>
        </w:rPr>
        <w:t xml:space="preserve">R. L. Schafer, A. Rojas, </w:t>
      </w:r>
      <w:r w:rsidRPr="00E87A77">
        <w:rPr>
          <w:rFonts w:eastAsia="Calibri"/>
        </w:rPr>
        <w:t>and</w:t>
      </w:r>
      <w:r w:rsidR="00C60014">
        <w:rPr>
          <w:rFonts w:eastAsia="Calibri"/>
        </w:rPr>
        <w:t xml:space="preserve"> P. Tumbalam</w:t>
      </w:r>
      <w:r w:rsidRPr="00E87A77">
        <w:rPr>
          <w:rFonts w:eastAsia="Calibri"/>
        </w:rPr>
        <w:t xml:space="preserve">. 2011. Evaluation of fungicide programs for potato late blight control, 2010. Plant Disease Management Reports 5: V108. Online publication Doi:10.1094/PDMR05. </w:t>
      </w:r>
    </w:p>
    <w:p w:rsidR="00232AE6" w:rsidRDefault="00232AE6" w:rsidP="00E87A77">
      <w:pPr>
        <w:autoSpaceDE w:val="0"/>
        <w:autoSpaceDN w:val="0"/>
        <w:adjustRightInd w:val="0"/>
        <w:spacing w:line="480" w:lineRule="auto"/>
        <w:ind w:left="720" w:hanging="720"/>
      </w:pPr>
      <w:r w:rsidRPr="00E87A77">
        <w:rPr>
          <w:rFonts w:eastAsia="Calibri"/>
        </w:rPr>
        <w:t>K</w:t>
      </w:r>
      <w:r w:rsidRPr="00E87A77">
        <w:t xml:space="preserve">öhle, H., K. Grossmann, T. Jabs, M. Gerhard, W. Kaiser, J. Glaab, </w:t>
      </w:r>
      <w:r w:rsidR="00C60014">
        <w:t>U. Conrath, K. Seehaus, and S. H</w:t>
      </w:r>
      <w:r w:rsidRPr="00E87A77">
        <w:t xml:space="preserve">erms. 2002. Physiological effects of the strobilurin F500 on plants. </w:t>
      </w:r>
      <w:r w:rsidRPr="00E87A77">
        <w:rPr>
          <w:i/>
        </w:rPr>
        <w:t>In</w:t>
      </w:r>
      <w:r w:rsidRPr="00E87A77">
        <w:t xml:space="preserve"> H.W. Dehne, U. Gisi, and K.H. Kuck (ed.) Modern fungicides and antifungal compounds III. AgroConcept, Bonn, Germany.</w:t>
      </w:r>
    </w:p>
    <w:p w:rsidR="0043510C" w:rsidRPr="0043510C" w:rsidRDefault="0043510C" w:rsidP="0043510C">
      <w:pPr>
        <w:autoSpaceDE w:val="0"/>
        <w:autoSpaceDN w:val="0"/>
        <w:adjustRightInd w:val="0"/>
        <w:spacing w:line="480" w:lineRule="auto"/>
        <w:ind w:left="720" w:hanging="720"/>
        <w:rPr>
          <w:rFonts w:eastAsia="Calibri"/>
          <w:color w:val="000000"/>
        </w:rPr>
      </w:pPr>
      <w:r w:rsidRPr="003A366F">
        <w:rPr>
          <w:rFonts w:eastAsia="Calibri"/>
          <w:color w:val="000000"/>
        </w:rPr>
        <w:t xml:space="preserve">Latin, R. 2011. </w:t>
      </w:r>
      <w:r>
        <w:rPr>
          <w:rFonts w:eastAsia="Calibri"/>
          <w:color w:val="000000"/>
        </w:rPr>
        <w:t>A practical guide to turfgrass f</w:t>
      </w:r>
      <w:r w:rsidRPr="003A366F">
        <w:rPr>
          <w:rFonts w:eastAsia="Calibri"/>
          <w:color w:val="000000"/>
        </w:rPr>
        <w:t>ungic</w:t>
      </w:r>
      <w:r>
        <w:rPr>
          <w:rFonts w:eastAsia="Calibri"/>
          <w:color w:val="000000"/>
        </w:rPr>
        <w:t>ides</w:t>
      </w:r>
      <w:r w:rsidRPr="003A366F">
        <w:rPr>
          <w:rFonts w:eastAsia="Calibri"/>
          <w:color w:val="000000"/>
        </w:rPr>
        <w:t>.  The American Phytopathological Society, St. Paul, MN.</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color w:val="000000"/>
        </w:rPr>
        <w:t xml:space="preserve">Lee, H., D.J. Bremer, S. Kemin, and S.J. Keeley. 2011. Relationships between normalized difference vegetation index and visual quality in turfgrasses: effects of mowing height. </w:t>
      </w:r>
      <w:r w:rsidRPr="00E87A77">
        <w:rPr>
          <w:rFonts w:eastAsia="Calibri"/>
        </w:rPr>
        <w:t>Crop Sci. 51:323-332.</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Richardson, M.D., D.E. Karcher, and L.C. Purcell. 2001. Quantifying turfgrass cover using digital image analysis. Crop Sci. 41:1884–1888.</w:t>
      </w:r>
    </w:p>
    <w:p w:rsidR="00232AE6" w:rsidRDefault="00232AE6" w:rsidP="00E87A77">
      <w:pPr>
        <w:autoSpaceDE w:val="0"/>
        <w:autoSpaceDN w:val="0"/>
        <w:adjustRightInd w:val="0"/>
        <w:spacing w:line="480" w:lineRule="auto"/>
        <w:ind w:left="720" w:hanging="720"/>
        <w:rPr>
          <w:rFonts w:eastAsia="Calibri"/>
        </w:rPr>
      </w:pPr>
      <w:r w:rsidRPr="00E87A77">
        <w:rPr>
          <w:rFonts w:eastAsia="Calibri"/>
        </w:rPr>
        <w:t xml:space="preserve">Rideout, S., </w:t>
      </w:r>
      <w:r w:rsidR="00C60014">
        <w:rPr>
          <w:rFonts w:eastAsia="Calibri"/>
        </w:rPr>
        <w:t>C.M. Waldenmaier, S.K. Pollard,</w:t>
      </w:r>
      <w:r w:rsidRPr="00E87A77">
        <w:rPr>
          <w:rFonts w:eastAsia="Calibri"/>
        </w:rPr>
        <w:t xml:space="preserve"> and</w:t>
      </w:r>
      <w:r w:rsidR="00C60014">
        <w:rPr>
          <w:rFonts w:eastAsia="Calibri"/>
        </w:rPr>
        <w:t xml:space="preserve"> J.T. Custis</w:t>
      </w:r>
      <w:r w:rsidRPr="00E87A77">
        <w:rPr>
          <w:rFonts w:eastAsia="Calibri"/>
        </w:rPr>
        <w:t xml:space="preserve">. 2012. Evaluation of selected fungicides and application timings for the management of powdery mildew in wheat, 2011. Plant Disease Management Reports 6: CF033. Online publication Doi:10.1094/PDMR06. </w:t>
      </w:r>
    </w:p>
    <w:p w:rsidR="00465A44" w:rsidRPr="00E87A77" w:rsidRDefault="00465A44" w:rsidP="00465A44">
      <w:pPr>
        <w:autoSpaceDE w:val="0"/>
        <w:autoSpaceDN w:val="0"/>
        <w:adjustRightInd w:val="0"/>
        <w:spacing w:line="480" w:lineRule="auto"/>
        <w:ind w:left="720" w:hanging="720"/>
        <w:rPr>
          <w:rFonts w:eastAsia="Calibri"/>
        </w:rPr>
      </w:pPr>
      <w:r>
        <w:rPr>
          <w:rFonts w:eastAsia="Calibri"/>
        </w:rPr>
        <w:t xml:space="preserve">Saxton, A.M. 2010. </w:t>
      </w:r>
      <w:r w:rsidRPr="00465A44">
        <w:rPr>
          <w:rFonts w:eastAsia="Calibri"/>
        </w:rPr>
        <w:t xml:space="preserve">Design and Analysis Web Guide. DAWG Web site. Available online: </w:t>
      </w:r>
      <w:hyperlink r:id="rId17" w:history="1">
        <w:r w:rsidRPr="009B3E44">
          <w:rPr>
            <w:rStyle w:val="Hyperlink"/>
            <w:rFonts w:eastAsia="Calibri"/>
          </w:rPr>
          <w:t>http://dawg.utk.edu/</w:t>
        </w:r>
      </w:hyperlink>
      <w:r>
        <w:rPr>
          <w:rFonts w:eastAsia="Calibri"/>
        </w:rPr>
        <w:t xml:space="preserve"> </w:t>
      </w:r>
      <w:r w:rsidRPr="00465A44">
        <w:rPr>
          <w:rFonts w:eastAsia="Calibri"/>
        </w:rPr>
        <w:t xml:space="preserve">(accessed on </w:t>
      </w:r>
      <w:r>
        <w:rPr>
          <w:rFonts w:eastAsia="Calibri"/>
        </w:rPr>
        <w:t>7</w:t>
      </w:r>
      <w:r w:rsidRPr="00465A44">
        <w:rPr>
          <w:rFonts w:eastAsia="Calibri"/>
        </w:rPr>
        <w:t xml:space="preserve"> June 2011).</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 xml:space="preserve">Schmidt, R.E., and V. Snyder. 1984. Effects of N, temperature, and moisture stress on the growth and physiology of creeping bentgrass and response to chelated iron. Agron. J. 76:590-594. </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lastRenderedPageBreak/>
        <w:t xml:space="preserve">Smith, D. L., and </w:t>
      </w:r>
      <w:r w:rsidR="00922540">
        <w:rPr>
          <w:rFonts w:eastAsia="Calibri"/>
        </w:rPr>
        <w:t>N.R. Walker</w:t>
      </w:r>
      <w:r w:rsidRPr="00E87A77">
        <w:rPr>
          <w:rFonts w:eastAsia="Calibri"/>
        </w:rPr>
        <w:t xml:space="preserve">. </w:t>
      </w:r>
      <w:r w:rsidR="00922540">
        <w:rPr>
          <w:rFonts w:eastAsia="Calibri"/>
        </w:rPr>
        <w:t xml:space="preserve">2009. </w:t>
      </w:r>
      <w:r w:rsidRPr="00E87A77">
        <w:rPr>
          <w:rFonts w:eastAsia="Calibri"/>
        </w:rPr>
        <w:t>Evaluation of fungicide programs for the management of dollar spot and brown patch of creeping bentgrass, 2008. Plant Disease Management Reports 3: T025. Online publication. Doi: 10.1094/PDMR03</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 xml:space="preserve">Soika, M. and </w:t>
      </w:r>
      <w:r w:rsidR="00922540">
        <w:rPr>
          <w:rFonts w:eastAsia="Calibri"/>
        </w:rPr>
        <w:t xml:space="preserve">L.P. </w:t>
      </w:r>
      <w:r w:rsidRPr="00E87A77">
        <w:rPr>
          <w:rFonts w:eastAsia="Calibri"/>
        </w:rPr>
        <w:t>Tred</w:t>
      </w:r>
      <w:r w:rsidR="00922540">
        <w:rPr>
          <w:rFonts w:eastAsia="Calibri"/>
        </w:rPr>
        <w:t>way</w:t>
      </w:r>
      <w:r w:rsidRPr="00E87A77">
        <w:rPr>
          <w:rFonts w:eastAsia="Calibri"/>
        </w:rPr>
        <w:t>. 2010. Control of brown patch with fungicides on a creeping bentgrass putting green in Jackson Springs, NC, 2009. Plant Disease Management Reports 4:T024. Online publication Doi:10.1094/PDMR04.</w:t>
      </w:r>
    </w:p>
    <w:p w:rsidR="00232AE6" w:rsidRPr="00E87A77" w:rsidRDefault="00232AE6" w:rsidP="00E87A77">
      <w:pPr>
        <w:autoSpaceDE w:val="0"/>
        <w:autoSpaceDN w:val="0"/>
        <w:adjustRightInd w:val="0"/>
        <w:spacing w:line="480" w:lineRule="auto"/>
        <w:ind w:left="720" w:hanging="720"/>
      </w:pPr>
      <w:r w:rsidRPr="00E87A77">
        <w:t>Swoboda, C., and P. Pedersen. 2009. Effect of fungicide on soybean growth and yield. Agronomy J. 101: 352-356.</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Uddin, W., J.J. Benelli, B. Aynardi, and M. Hussain. 2010. Fungicidal control of brown patch in colonial bentgrass fairway, 2009. Plant Disease Management Reports 4:T052. Online publication Doi:10.1094/PDMR04.</w:t>
      </w:r>
    </w:p>
    <w:p w:rsidR="00232AE6" w:rsidRPr="00E87A77" w:rsidRDefault="00232AE6" w:rsidP="00E87A77">
      <w:pPr>
        <w:spacing w:after="200" w:line="480" w:lineRule="auto"/>
        <w:ind w:left="720" w:hanging="720"/>
        <w:rPr>
          <w:rFonts w:eastAsia="Calibri"/>
          <w:color w:val="000000"/>
        </w:rPr>
      </w:pPr>
      <w:r w:rsidRPr="00E87A77">
        <w:rPr>
          <w:rFonts w:eastAsia="Calibri"/>
          <w:color w:val="000000"/>
        </w:rPr>
        <w:t>United States Golf Association. 2007. Green section recommendations for a method of putting green construction. Available at:  http;//www.usga.org/course_care/articles/construction/greens/Green-Section-Recommendations-For-A-Method-Of-Putting-Green-Construction/ (verified 9 Nov. 2012). United States Golf Association, Far Hills, NJ.</w:t>
      </w:r>
    </w:p>
    <w:p w:rsidR="00232AE6" w:rsidRPr="00E87A77" w:rsidRDefault="00232AE6" w:rsidP="00E87A77">
      <w:pPr>
        <w:autoSpaceDE w:val="0"/>
        <w:autoSpaceDN w:val="0"/>
        <w:adjustRightInd w:val="0"/>
        <w:spacing w:line="480" w:lineRule="auto"/>
        <w:ind w:left="720" w:hanging="720"/>
        <w:rPr>
          <w:rFonts w:eastAsia="Calibri"/>
        </w:rPr>
      </w:pPr>
      <w:r w:rsidRPr="00E87A77">
        <w:rPr>
          <w:rFonts w:eastAsia="Calibri"/>
        </w:rPr>
        <w:t xml:space="preserve">Vincelli, P., </w:t>
      </w:r>
      <w:r w:rsidR="00922540">
        <w:rPr>
          <w:rFonts w:eastAsia="Calibri"/>
        </w:rPr>
        <w:t>E. Dixon, D. Williams</w:t>
      </w:r>
      <w:r w:rsidRPr="00E87A77">
        <w:rPr>
          <w:rFonts w:eastAsia="Calibri"/>
        </w:rPr>
        <w:t>, and</w:t>
      </w:r>
      <w:r w:rsidR="00922540">
        <w:rPr>
          <w:rFonts w:eastAsia="Calibri"/>
        </w:rPr>
        <w:t xml:space="preserve"> P. Burrus.</w:t>
      </w:r>
      <w:r w:rsidRPr="00E87A77">
        <w:rPr>
          <w:rFonts w:eastAsia="Calibri"/>
        </w:rPr>
        <w:t xml:space="preserve"> 2009. Influence of fungicide spray programs on turf quality in a mixed creeping bentgrass </w:t>
      </w:r>
      <w:r w:rsidRPr="00922540">
        <w:rPr>
          <w:rFonts w:eastAsia="Calibri"/>
          <w:i/>
        </w:rPr>
        <w:t>Poa annua</w:t>
      </w:r>
      <w:r w:rsidRPr="00E87A77">
        <w:rPr>
          <w:rFonts w:eastAsia="Calibri"/>
        </w:rPr>
        <w:t xml:space="preserve"> soil-based green, 2008. Plant Disease Management Reports 3: T011. Online publication. Doi:10.1094/PDMR03</w:t>
      </w:r>
    </w:p>
    <w:p w:rsidR="00922540" w:rsidRDefault="00232AE6" w:rsidP="00922540">
      <w:pPr>
        <w:autoSpaceDE w:val="0"/>
        <w:autoSpaceDN w:val="0"/>
        <w:adjustRightInd w:val="0"/>
        <w:spacing w:line="480" w:lineRule="auto"/>
        <w:ind w:left="720" w:hanging="720"/>
      </w:pPr>
      <w:r w:rsidRPr="00E87A77">
        <w:lastRenderedPageBreak/>
        <w:t>Weisz, R., C. Cowger, G. Ambrose, and A. Gardner. 2011. Multiple mid-</w:t>
      </w:r>
      <w:r w:rsidR="00922540" w:rsidRPr="00E87A77">
        <w:t>Atlantic</w:t>
      </w:r>
      <w:r w:rsidRPr="00E87A77">
        <w:t xml:space="preserve"> field experiments show no economic benefit to fungicide application when fungal disease is absent in winter wheat. Phytopathology. 101: 323-333.</w:t>
      </w:r>
    </w:p>
    <w:p w:rsidR="002368DE" w:rsidRDefault="002368DE" w:rsidP="00922540">
      <w:pPr>
        <w:autoSpaceDE w:val="0"/>
        <w:autoSpaceDN w:val="0"/>
        <w:adjustRightInd w:val="0"/>
        <w:spacing w:line="480" w:lineRule="auto"/>
        <w:ind w:left="720" w:hanging="720"/>
        <w:rPr>
          <w:rFonts w:eastAsia="Calibri"/>
        </w:rPr>
      </w:pPr>
      <w:r>
        <w:rPr>
          <w:rFonts w:eastAsia="Calibri"/>
        </w:rPr>
        <w:t xml:space="preserve">Wilkinson, J.F., and R.H. Miller. 1978. Investigation and treatment of localized dry spots on sand golf greens. Agron. J. 70: 299-304. </w:t>
      </w:r>
    </w:p>
    <w:p w:rsidR="00232AE6" w:rsidRPr="00E87A77" w:rsidRDefault="00232AE6" w:rsidP="00922540">
      <w:pPr>
        <w:autoSpaceDE w:val="0"/>
        <w:autoSpaceDN w:val="0"/>
        <w:adjustRightInd w:val="0"/>
        <w:spacing w:line="480" w:lineRule="auto"/>
        <w:ind w:left="720" w:hanging="720"/>
        <w:rPr>
          <w:rFonts w:eastAsia="Calibri"/>
        </w:rPr>
      </w:pPr>
      <w:r w:rsidRPr="00E87A77">
        <w:rPr>
          <w:rFonts w:eastAsia="Calibri"/>
        </w:rPr>
        <w:t xml:space="preserve">Wilcox, W., and </w:t>
      </w:r>
      <w:r w:rsidR="00922540">
        <w:rPr>
          <w:rFonts w:eastAsia="Calibri"/>
        </w:rPr>
        <w:t>D.G. Riegel</w:t>
      </w:r>
      <w:r w:rsidRPr="00E87A77">
        <w:rPr>
          <w:rFonts w:eastAsia="Calibri"/>
        </w:rPr>
        <w:t xml:space="preserve">. 2010. Evaluation of fungicide programs for control of grapevine powdery mildew, 2009. Plant Disease Management Reports 4:SMF054. Online publication Doi:10.1094/PDMR04. </w:t>
      </w:r>
    </w:p>
    <w:p w:rsidR="00232AE6" w:rsidRPr="00E87A77" w:rsidRDefault="00232AE6" w:rsidP="00E87A77">
      <w:pPr>
        <w:autoSpaceDE w:val="0"/>
        <w:autoSpaceDN w:val="0"/>
        <w:adjustRightInd w:val="0"/>
        <w:spacing w:line="480" w:lineRule="auto"/>
        <w:ind w:left="720" w:hanging="720"/>
        <w:rPr>
          <w:rFonts w:eastAsia="Calibri"/>
          <w:color w:val="000000"/>
        </w:rPr>
      </w:pPr>
      <w:r w:rsidRPr="00922540">
        <w:rPr>
          <w:rFonts w:eastAsia="Calibri"/>
          <w:color w:val="000000"/>
        </w:rPr>
        <w:t>Wong, F.P., S.L. Midland, and</w:t>
      </w:r>
      <w:r w:rsidRPr="00E87A77">
        <w:rPr>
          <w:rFonts w:eastAsia="Calibri"/>
          <w:color w:val="000000"/>
        </w:rPr>
        <w:t xml:space="preserve"> K.A. de la Cerda. 2006. Occurrence and distribution of </w:t>
      </w:r>
      <w:r w:rsidR="00922540">
        <w:rPr>
          <w:rFonts w:eastAsia="Calibri"/>
          <w:color w:val="000000"/>
        </w:rPr>
        <w:t>Q</w:t>
      </w:r>
      <w:r w:rsidRPr="00E87A77">
        <w:rPr>
          <w:rFonts w:eastAsia="Calibri"/>
          <w:color w:val="000000"/>
        </w:rPr>
        <w:t xml:space="preserve">oI-resistant isolates of </w:t>
      </w:r>
      <w:r w:rsidRPr="00E87A77">
        <w:rPr>
          <w:rFonts w:eastAsia="Calibri"/>
          <w:i/>
          <w:color w:val="000000"/>
        </w:rPr>
        <w:t>Colletotricum cereale</w:t>
      </w:r>
      <w:r w:rsidRPr="00E87A77">
        <w:rPr>
          <w:rFonts w:eastAsia="Calibri"/>
          <w:color w:val="000000"/>
        </w:rPr>
        <w:t xml:space="preserve"> from annual bluegrass in California. Plant Dis. 91:1536-1546. </w:t>
      </w:r>
    </w:p>
    <w:p w:rsidR="00232AE6" w:rsidRPr="00E87A77" w:rsidRDefault="00232AE6" w:rsidP="00E87A77">
      <w:pPr>
        <w:autoSpaceDE w:val="0"/>
        <w:autoSpaceDN w:val="0"/>
        <w:adjustRightInd w:val="0"/>
        <w:spacing w:line="480" w:lineRule="auto"/>
        <w:ind w:left="720" w:hanging="720"/>
        <w:rPr>
          <w:rFonts w:eastAsia="Calibri"/>
          <w:color w:val="000000"/>
        </w:rPr>
      </w:pPr>
      <w:r w:rsidRPr="00E87A77">
        <w:rPr>
          <w:rFonts w:eastAsia="Calibri"/>
          <w:color w:val="000000"/>
        </w:rPr>
        <w:t>Wu, Y. X., and A.V. Tiedemann. 2002. Impact of fungicides on active oxygen species and antioxidant enzymes in spring barley (</w:t>
      </w:r>
      <w:r w:rsidRPr="00E87A77">
        <w:rPr>
          <w:rFonts w:eastAsia="Calibri"/>
          <w:i/>
          <w:color w:val="000000"/>
        </w:rPr>
        <w:t>Hordeum vulgare</w:t>
      </w:r>
      <w:r w:rsidRPr="00E87A77">
        <w:rPr>
          <w:rFonts w:eastAsia="Calibri"/>
          <w:color w:val="000000"/>
        </w:rPr>
        <w:t xml:space="preserve"> L.) exposed to ozone. Environ. Pollut. 116:37-47.</w:t>
      </w:r>
    </w:p>
    <w:p w:rsidR="00232AE6" w:rsidRDefault="00232AE6" w:rsidP="00232AE6"/>
    <w:p w:rsidR="00232AE6" w:rsidRDefault="00232AE6"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E87A77" w:rsidRDefault="00E87A77" w:rsidP="006B7833">
      <w:pPr>
        <w:jc w:val="center"/>
        <w:rPr>
          <w:b/>
          <w:bCs/>
        </w:rPr>
      </w:pPr>
    </w:p>
    <w:p w:rsidR="00E87A77" w:rsidRDefault="00E87A77" w:rsidP="003236A5">
      <w:pPr>
        <w:rPr>
          <w:b/>
          <w:bCs/>
        </w:rPr>
      </w:pPr>
    </w:p>
    <w:p w:rsidR="00E87A77" w:rsidRDefault="00E87A77" w:rsidP="006B7833">
      <w:pPr>
        <w:jc w:val="center"/>
        <w:rPr>
          <w:b/>
          <w:bCs/>
        </w:rPr>
      </w:pPr>
    </w:p>
    <w:p w:rsidR="003236A5" w:rsidRDefault="003236A5" w:rsidP="006B7833">
      <w:pPr>
        <w:jc w:val="center"/>
        <w:rPr>
          <w:b/>
          <w:bCs/>
          <w:sz w:val="28"/>
          <w:szCs w:val="28"/>
        </w:rPr>
      </w:pPr>
    </w:p>
    <w:p w:rsidR="00E27DC7" w:rsidRDefault="00E27DC7" w:rsidP="006B7833">
      <w:pPr>
        <w:jc w:val="center"/>
        <w:rPr>
          <w:b/>
          <w:bCs/>
          <w:sz w:val="28"/>
          <w:szCs w:val="28"/>
        </w:rPr>
      </w:pPr>
    </w:p>
    <w:p w:rsidR="003236A5" w:rsidRDefault="003236A5" w:rsidP="006B7833">
      <w:pPr>
        <w:jc w:val="center"/>
        <w:rPr>
          <w:b/>
          <w:bCs/>
          <w:sz w:val="28"/>
          <w:szCs w:val="28"/>
        </w:rPr>
      </w:pPr>
    </w:p>
    <w:p w:rsidR="003236A5" w:rsidRDefault="003236A5" w:rsidP="006B7833">
      <w:pPr>
        <w:jc w:val="center"/>
        <w:rPr>
          <w:b/>
          <w:bCs/>
          <w:sz w:val="28"/>
          <w:szCs w:val="28"/>
        </w:rPr>
      </w:pPr>
    </w:p>
    <w:p w:rsidR="003236A5" w:rsidRDefault="003236A5" w:rsidP="006B7833">
      <w:pPr>
        <w:jc w:val="center"/>
        <w:rPr>
          <w:b/>
          <w:bCs/>
          <w:sz w:val="28"/>
          <w:szCs w:val="28"/>
        </w:rPr>
      </w:pPr>
    </w:p>
    <w:p w:rsidR="003236A5" w:rsidRDefault="003236A5" w:rsidP="006B7833">
      <w:pPr>
        <w:jc w:val="center"/>
        <w:rPr>
          <w:b/>
          <w:bCs/>
          <w:sz w:val="28"/>
          <w:szCs w:val="28"/>
        </w:rPr>
      </w:pPr>
    </w:p>
    <w:p w:rsidR="003236A5" w:rsidRDefault="003236A5" w:rsidP="006B7833">
      <w:pPr>
        <w:jc w:val="center"/>
        <w:rPr>
          <w:b/>
          <w:bCs/>
          <w:sz w:val="28"/>
          <w:szCs w:val="28"/>
        </w:rPr>
      </w:pPr>
    </w:p>
    <w:p w:rsidR="005D2A25" w:rsidRPr="009B2EE6" w:rsidRDefault="006B7833" w:rsidP="00EB30A2">
      <w:pPr>
        <w:pStyle w:val="Heading2"/>
      </w:pPr>
      <w:bookmarkStart w:id="65" w:name="_Toc353890892"/>
      <w:bookmarkStart w:id="66" w:name="_Toc353892633"/>
      <w:r w:rsidRPr="009B2EE6">
        <w:t>APPENDIX</w:t>
      </w:r>
      <w:bookmarkEnd w:id="65"/>
      <w:bookmarkEnd w:id="66"/>
    </w:p>
    <w:p w:rsidR="006B7833" w:rsidRPr="009B2EE6" w:rsidRDefault="006B7833" w:rsidP="00EB30A2">
      <w:pPr>
        <w:pStyle w:val="Heading2"/>
      </w:pPr>
      <w:bookmarkStart w:id="67" w:name="_Toc353890893"/>
      <w:bookmarkStart w:id="68" w:name="_Toc353892634"/>
      <w:r w:rsidRPr="009B2EE6">
        <w:t>TABLES AND FIGURES</w:t>
      </w:r>
      <w:bookmarkEnd w:id="67"/>
      <w:bookmarkEnd w:id="68"/>
    </w:p>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E27DC7" w:rsidRDefault="00E27DC7" w:rsidP="00232AE6"/>
    <w:p w:rsidR="006B7833" w:rsidRDefault="006B7833" w:rsidP="00232AE6"/>
    <w:p w:rsidR="006B7833" w:rsidRDefault="006B7833" w:rsidP="00232AE6"/>
    <w:p w:rsidR="006B7833" w:rsidRDefault="006B7833" w:rsidP="00232AE6"/>
    <w:p w:rsidR="00724980" w:rsidRDefault="00724980" w:rsidP="00232AE6"/>
    <w:p w:rsidR="00724980" w:rsidRDefault="00724980" w:rsidP="00232AE6"/>
    <w:p w:rsidR="00724980" w:rsidRDefault="00724980" w:rsidP="00232AE6"/>
    <w:p w:rsidR="003236A5" w:rsidRDefault="003236A5" w:rsidP="00232AE6"/>
    <w:p w:rsidR="002E54A2" w:rsidRDefault="002E54A2" w:rsidP="00232AE6"/>
    <w:tbl>
      <w:tblPr>
        <w:tblW w:w="8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8"/>
        <w:gridCol w:w="2172"/>
        <w:gridCol w:w="2498"/>
        <w:gridCol w:w="1511"/>
      </w:tblGrid>
      <w:tr w:rsidR="002E54A2" w:rsidRPr="00E5234E" w:rsidTr="00743AAB">
        <w:trPr>
          <w:trHeight w:val="533"/>
          <w:jc w:val="center"/>
        </w:trPr>
        <w:tc>
          <w:tcPr>
            <w:tcW w:w="8399" w:type="dxa"/>
            <w:gridSpan w:val="4"/>
            <w:tcBorders>
              <w:top w:val="nil"/>
              <w:left w:val="nil"/>
              <w:bottom w:val="single" w:sz="4" w:space="0" w:color="auto"/>
              <w:right w:val="nil"/>
            </w:tcBorders>
            <w:shd w:val="clear" w:color="auto" w:fill="auto"/>
            <w:vAlign w:val="center"/>
          </w:tcPr>
          <w:p w:rsidR="002E54A2" w:rsidRPr="00051556" w:rsidRDefault="002E54A2" w:rsidP="00051556">
            <w:pPr>
              <w:pStyle w:val="Heading2"/>
              <w:jc w:val="left"/>
              <w:rPr>
                <w:rFonts w:eastAsia="Calibri"/>
                <w:sz w:val="23"/>
                <w:szCs w:val="23"/>
              </w:rPr>
            </w:pPr>
            <w:bookmarkStart w:id="69" w:name="_Toc353890894"/>
            <w:bookmarkStart w:id="70" w:name="_Toc353892635"/>
            <w:r w:rsidRPr="00051556">
              <w:rPr>
                <w:rFonts w:eastAsia="Calibri"/>
                <w:sz w:val="23"/>
                <w:szCs w:val="23"/>
              </w:rPr>
              <w:lastRenderedPageBreak/>
              <w:t xml:space="preserve">Table </w:t>
            </w:r>
            <w:r w:rsidR="00577C5A" w:rsidRPr="00051556">
              <w:rPr>
                <w:rFonts w:eastAsia="Calibri"/>
                <w:sz w:val="23"/>
                <w:szCs w:val="23"/>
              </w:rPr>
              <w:t>2</w:t>
            </w:r>
            <w:r w:rsidRPr="00051556">
              <w:rPr>
                <w:rFonts w:eastAsia="Calibri"/>
                <w:sz w:val="23"/>
                <w:szCs w:val="23"/>
              </w:rPr>
              <w:t>.1. Summer fungicide program integrated with strobilurin fungicides.</w:t>
            </w:r>
            <w:bookmarkEnd w:id="69"/>
            <w:bookmarkEnd w:id="70"/>
            <w:r w:rsidRPr="00051556">
              <w:rPr>
                <w:rFonts w:eastAsia="Calibri"/>
                <w:sz w:val="23"/>
                <w:szCs w:val="23"/>
              </w:rPr>
              <w:t xml:space="preserve"> </w:t>
            </w:r>
          </w:p>
        </w:tc>
      </w:tr>
      <w:tr w:rsidR="002E54A2" w:rsidRPr="00E5234E" w:rsidTr="00743AAB">
        <w:trPr>
          <w:trHeight w:val="533"/>
          <w:jc w:val="center"/>
        </w:trPr>
        <w:tc>
          <w:tcPr>
            <w:tcW w:w="2218" w:type="dxa"/>
            <w:tcBorders>
              <w:left w:val="nil"/>
              <w:bottom w:val="single" w:sz="4" w:space="0" w:color="auto"/>
              <w:right w:val="nil"/>
            </w:tcBorders>
            <w:shd w:val="clear" w:color="auto" w:fill="auto"/>
            <w:vAlign w:val="center"/>
          </w:tcPr>
          <w:p w:rsidR="002E54A2" w:rsidRPr="00E5234E" w:rsidRDefault="002E54A2" w:rsidP="00E5234E">
            <w:pPr>
              <w:jc w:val="center"/>
              <w:rPr>
                <w:rFonts w:eastAsia="Calibri"/>
                <w:b/>
                <w:sz w:val="22"/>
                <w:szCs w:val="22"/>
              </w:rPr>
            </w:pPr>
            <w:r w:rsidRPr="00E5234E">
              <w:rPr>
                <w:rFonts w:eastAsia="Calibri"/>
                <w:b/>
                <w:sz w:val="22"/>
                <w:szCs w:val="22"/>
              </w:rPr>
              <w:t>Application interval</w:t>
            </w:r>
            <w:r w:rsidRPr="00C52984">
              <w:rPr>
                <w:rFonts w:eastAsia="Calibri"/>
                <w:b/>
                <w:sz w:val="22"/>
                <w:szCs w:val="22"/>
                <w:vertAlign w:val="superscript"/>
              </w:rPr>
              <w:t>†</w:t>
            </w:r>
          </w:p>
        </w:tc>
        <w:tc>
          <w:tcPr>
            <w:tcW w:w="2172" w:type="dxa"/>
            <w:tcBorders>
              <w:left w:val="nil"/>
              <w:bottom w:val="single" w:sz="4" w:space="0" w:color="auto"/>
              <w:right w:val="nil"/>
            </w:tcBorders>
            <w:shd w:val="clear" w:color="auto" w:fill="auto"/>
            <w:vAlign w:val="center"/>
          </w:tcPr>
          <w:p w:rsidR="002E54A2" w:rsidRPr="00E5234E" w:rsidRDefault="002E54A2" w:rsidP="00E5234E">
            <w:pPr>
              <w:jc w:val="center"/>
              <w:rPr>
                <w:rFonts w:eastAsia="Calibri"/>
                <w:b/>
                <w:sz w:val="22"/>
                <w:szCs w:val="22"/>
              </w:rPr>
            </w:pPr>
            <w:r w:rsidRPr="00E5234E">
              <w:rPr>
                <w:rFonts w:eastAsia="Calibri"/>
                <w:b/>
                <w:sz w:val="22"/>
                <w:szCs w:val="22"/>
              </w:rPr>
              <w:t>Fungicide</w:t>
            </w:r>
            <w:r w:rsidRPr="00C52984">
              <w:rPr>
                <w:rFonts w:eastAsia="Calibri"/>
                <w:b/>
                <w:sz w:val="22"/>
                <w:szCs w:val="22"/>
                <w:vertAlign w:val="superscript"/>
              </w:rPr>
              <w:t>‡</w:t>
            </w:r>
          </w:p>
        </w:tc>
        <w:tc>
          <w:tcPr>
            <w:tcW w:w="2498" w:type="dxa"/>
            <w:tcBorders>
              <w:left w:val="nil"/>
              <w:bottom w:val="single" w:sz="4" w:space="0" w:color="auto"/>
              <w:right w:val="nil"/>
            </w:tcBorders>
            <w:shd w:val="clear" w:color="auto" w:fill="auto"/>
            <w:vAlign w:val="center"/>
          </w:tcPr>
          <w:p w:rsidR="002E54A2" w:rsidRPr="00E5234E" w:rsidRDefault="002E54A2" w:rsidP="00E5234E">
            <w:pPr>
              <w:jc w:val="center"/>
              <w:rPr>
                <w:rFonts w:eastAsia="Calibri"/>
                <w:b/>
                <w:sz w:val="22"/>
                <w:szCs w:val="22"/>
              </w:rPr>
            </w:pPr>
            <w:r w:rsidRPr="00E5234E">
              <w:rPr>
                <w:rFonts w:eastAsia="Calibri"/>
                <w:b/>
                <w:sz w:val="22"/>
                <w:szCs w:val="22"/>
              </w:rPr>
              <w:t>Fungicide class</w:t>
            </w:r>
          </w:p>
        </w:tc>
        <w:tc>
          <w:tcPr>
            <w:tcW w:w="1510" w:type="dxa"/>
            <w:tcBorders>
              <w:left w:val="nil"/>
              <w:bottom w:val="single" w:sz="4" w:space="0" w:color="auto"/>
              <w:right w:val="nil"/>
            </w:tcBorders>
            <w:shd w:val="clear" w:color="auto" w:fill="auto"/>
            <w:vAlign w:val="center"/>
          </w:tcPr>
          <w:p w:rsidR="002E54A2" w:rsidRPr="00E5234E" w:rsidRDefault="002E54A2" w:rsidP="00E5234E">
            <w:pPr>
              <w:jc w:val="center"/>
              <w:rPr>
                <w:rFonts w:eastAsia="Calibri"/>
                <w:b/>
                <w:sz w:val="22"/>
                <w:szCs w:val="22"/>
              </w:rPr>
            </w:pPr>
            <w:r w:rsidRPr="00E5234E">
              <w:rPr>
                <w:rFonts w:eastAsia="Calibri"/>
                <w:b/>
                <w:sz w:val="22"/>
                <w:szCs w:val="22"/>
              </w:rPr>
              <w:t>Rate (kg ha</w:t>
            </w:r>
            <w:r w:rsidRPr="00E5234E">
              <w:rPr>
                <w:rFonts w:eastAsia="Calibri"/>
                <w:b/>
                <w:sz w:val="22"/>
                <w:szCs w:val="22"/>
                <w:vertAlign w:val="superscript"/>
              </w:rPr>
              <w:t>-1</w:t>
            </w:r>
            <w:r w:rsidRPr="00E5234E">
              <w:rPr>
                <w:rFonts w:eastAsia="Calibri"/>
                <w:b/>
                <w:sz w:val="22"/>
                <w:szCs w:val="22"/>
              </w:rPr>
              <w:t>)</w:t>
            </w:r>
          </w:p>
        </w:tc>
      </w:tr>
      <w:tr w:rsidR="002E54A2" w:rsidRPr="00E5234E" w:rsidTr="00743AAB">
        <w:trPr>
          <w:trHeight w:val="503"/>
          <w:jc w:val="center"/>
        </w:trPr>
        <w:tc>
          <w:tcPr>
            <w:tcW w:w="2218" w:type="dxa"/>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1</w:t>
            </w:r>
          </w:p>
        </w:tc>
        <w:tc>
          <w:tcPr>
            <w:tcW w:w="2172" w:type="dxa"/>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Iprodione</w:t>
            </w:r>
          </w:p>
        </w:tc>
        <w:tc>
          <w:tcPr>
            <w:tcW w:w="2498" w:type="dxa"/>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Dicarboximide</w:t>
            </w:r>
          </w:p>
        </w:tc>
        <w:tc>
          <w:tcPr>
            <w:tcW w:w="1510" w:type="dxa"/>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3.05</w:t>
            </w:r>
          </w:p>
        </w:tc>
      </w:tr>
      <w:tr w:rsidR="002E54A2" w:rsidRPr="00E5234E" w:rsidTr="00743AAB">
        <w:trPr>
          <w:trHeight w:val="533"/>
          <w:jc w:val="center"/>
        </w:trPr>
        <w:tc>
          <w:tcPr>
            <w:tcW w:w="2218" w:type="dxa"/>
            <w:tcBorders>
              <w:top w:val="single" w:sz="4" w:space="0" w:color="auto"/>
              <w:left w:val="nil"/>
              <w:bottom w:val="single" w:sz="4" w:space="0" w:color="auto"/>
              <w:right w:val="nil"/>
            </w:tcBorders>
            <w:shd w:val="clear" w:color="auto" w:fill="auto"/>
            <w:vAlign w:val="center"/>
          </w:tcPr>
          <w:p w:rsidR="002E54A2" w:rsidRPr="00E5234E" w:rsidRDefault="002E54A2" w:rsidP="004C7A49">
            <w:pPr>
              <w:jc w:val="center"/>
              <w:rPr>
                <w:rFonts w:eastAsia="Calibri"/>
                <w:sz w:val="22"/>
                <w:szCs w:val="22"/>
              </w:rPr>
            </w:pPr>
            <w:r w:rsidRPr="00E5234E">
              <w:rPr>
                <w:rFonts w:eastAsia="Calibri"/>
                <w:sz w:val="22"/>
                <w:szCs w:val="22"/>
              </w:rPr>
              <w:t>2,5</w:t>
            </w:r>
          </w:p>
        </w:tc>
        <w:tc>
          <w:tcPr>
            <w:tcW w:w="2172" w:type="dxa"/>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Strobilurin</w:t>
            </w:r>
            <w:r w:rsidR="004C7A49" w:rsidRPr="00C52984">
              <w:rPr>
                <w:rFonts w:eastAsia="Calibri"/>
                <w:sz w:val="22"/>
                <w:szCs w:val="22"/>
                <w:vertAlign w:val="superscript"/>
              </w:rPr>
              <w:t>§</w:t>
            </w:r>
          </w:p>
        </w:tc>
        <w:tc>
          <w:tcPr>
            <w:tcW w:w="2498" w:type="dxa"/>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Quinone outside inhibitor</w:t>
            </w:r>
          </w:p>
        </w:tc>
        <w:tc>
          <w:tcPr>
            <w:tcW w:w="1510" w:type="dxa"/>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p>
        </w:tc>
      </w:tr>
      <w:tr w:rsidR="002E54A2" w:rsidRPr="00E5234E" w:rsidTr="00743AAB">
        <w:trPr>
          <w:trHeight w:val="533"/>
          <w:jc w:val="center"/>
        </w:trPr>
        <w:tc>
          <w:tcPr>
            <w:tcW w:w="2218" w:type="dxa"/>
            <w:vMerge w:val="restart"/>
            <w:tcBorders>
              <w:top w:val="single" w:sz="4" w:space="0" w:color="auto"/>
              <w:left w:val="nil"/>
              <w:bottom w:val="nil"/>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3</w:t>
            </w:r>
          </w:p>
        </w:tc>
        <w:tc>
          <w:tcPr>
            <w:tcW w:w="2172" w:type="dxa"/>
            <w:tcBorders>
              <w:top w:val="single" w:sz="4" w:space="0" w:color="auto"/>
              <w:left w:val="nil"/>
              <w:bottom w:val="nil"/>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Thiophanate-methyl</w:t>
            </w:r>
          </w:p>
        </w:tc>
        <w:tc>
          <w:tcPr>
            <w:tcW w:w="2498" w:type="dxa"/>
            <w:tcBorders>
              <w:top w:val="single" w:sz="4" w:space="0" w:color="auto"/>
              <w:left w:val="nil"/>
              <w:bottom w:val="nil"/>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Benzimidazole</w:t>
            </w:r>
          </w:p>
        </w:tc>
        <w:tc>
          <w:tcPr>
            <w:tcW w:w="1510" w:type="dxa"/>
            <w:tcBorders>
              <w:top w:val="single" w:sz="4" w:space="0" w:color="auto"/>
              <w:left w:val="nil"/>
              <w:bottom w:val="nil"/>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3.16</w:t>
            </w:r>
          </w:p>
        </w:tc>
      </w:tr>
      <w:tr w:rsidR="002E54A2" w:rsidRPr="00E5234E" w:rsidTr="00743AAB">
        <w:trPr>
          <w:trHeight w:val="533"/>
          <w:jc w:val="center"/>
        </w:trPr>
        <w:tc>
          <w:tcPr>
            <w:tcW w:w="2218" w:type="dxa"/>
            <w:vMerge/>
            <w:tcBorders>
              <w:top w:val="nil"/>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p>
        </w:tc>
        <w:tc>
          <w:tcPr>
            <w:tcW w:w="2172" w:type="dxa"/>
            <w:tcBorders>
              <w:top w:val="nil"/>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Chl</w:t>
            </w:r>
            <w:r w:rsidR="004C7A49">
              <w:rPr>
                <w:rFonts w:eastAsia="Calibri"/>
                <w:sz w:val="22"/>
                <w:szCs w:val="22"/>
              </w:rPr>
              <w:t>o</w:t>
            </w:r>
            <w:r w:rsidRPr="00E5234E">
              <w:rPr>
                <w:rFonts w:eastAsia="Calibri"/>
                <w:sz w:val="22"/>
                <w:szCs w:val="22"/>
              </w:rPr>
              <w:t>rothalonil</w:t>
            </w:r>
          </w:p>
        </w:tc>
        <w:tc>
          <w:tcPr>
            <w:tcW w:w="2498" w:type="dxa"/>
            <w:tcBorders>
              <w:top w:val="nil"/>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Benzonitrile</w:t>
            </w:r>
          </w:p>
        </w:tc>
        <w:tc>
          <w:tcPr>
            <w:tcW w:w="1510" w:type="dxa"/>
            <w:tcBorders>
              <w:top w:val="nil"/>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12.65</w:t>
            </w:r>
          </w:p>
        </w:tc>
      </w:tr>
      <w:tr w:rsidR="002E54A2" w:rsidRPr="00E5234E" w:rsidTr="00743AAB">
        <w:trPr>
          <w:trHeight w:val="533"/>
          <w:jc w:val="center"/>
        </w:trPr>
        <w:tc>
          <w:tcPr>
            <w:tcW w:w="2218" w:type="dxa"/>
            <w:vMerge w:val="restart"/>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4</w:t>
            </w:r>
          </w:p>
        </w:tc>
        <w:tc>
          <w:tcPr>
            <w:tcW w:w="2172" w:type="dxa"/>
            <w:tcBorders>
              <w:top w:val="single" w:sz="4" w:space="0" w:color="auto"/>
              <w:left w:val="nil"/>
              <w:bottom w:val="nil"/>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Fosetyl</w:t>
            </w:r>
            <w:r w:rsidR="006906E2">
              <w:rPr>
                <w:rFonts w:eastAsia="Calibri"/>
                <w:sz w:val="22"/>
                <w:szCs w:val="22"/>
              </w:rPr>
              <w:t>-a</w:t>
            </w:r>
            <w:r w:rsidRPr="00E5234E">
              <w:rPr>
                <w:rFonts w:eastAsia="Calibri"/>
                <w:sz w:val="22"/>
                <w:szCs w:val="22"/>
              </w:rPr>
              <w:t>luminum</w:t>
            </w:r>
          </w:p>
        </w:tc>
        <w:tc>
          <w:tcPr>
            <w:tcW w:w="2498" w:type="dxa"/>
            <w:tcBorders>
              <w:top w:val="single" w:sz="4" w:space="0" w:color="auto"/>
              <w:left w:val="nil"/>
              <w:bottom w:val="nil"/>
              <w:right w:val="nil"/>
            </w:tcBorders>
            <w:shd w:val="clear" w:color="auto" w:fill="auto"/>
            <w:vAlign w:val="center"/>
          </w:tcPr>
          <w:p w:rsidR="002E54A2" w:rsidRPr="00E5234E" w:rsidRDefault="004C7A49" w:rsidP="00E5234E">
            <w:pPr>
              <w:jc w:val="center"/>
              <w:rPr>
                <w:rFonts w:eastAsia="Calibri"/>
                <w:sz w:val="22"/>
                <w:szCs w:val="22"/>
              </w:rPr>
            </w:pPr>
            <w:r>
              <w:rPr>
                <w:rFonts w:eastAsia="Calibri"/>
                <w:sz w:val="22"/>
                <w:szCs w:val="22"/>
              </w:rPr>
              <w:t>P</w:t>
            </w:r>
            <w:r w:rsidR="002E54A2" w:rsidRPr="00E5234E">
              <w:rPr>
                <w:rFonts w:eastAsia="Calibri"/>
                <w:sz w:val="22"/>
                <w:szCs w:val="22"/>
              </w:rPr>
              <w:t>hosphonate</w:t>
            </w:r>
          </w:p>
        </w:tc>
        <w:tc>
          <w:tcPr>
            <w:tcW w:w="1510" w:type="dxa"/>
            <w:tcBorders>
              <w:top w:val="single" w:sz="4" w:space="0" w:color="auto"/>
              <w:left w:val="nil"/>
              <w:bottom w:val="nil"/>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9.76</w:t>
            </w:r>
          </w:p>
        </w:tc>
      </w:tr>
      <w:tr w:rsidR="002E54A2" w:rsidRPr="00E5234E" w:rsidTr="00743AAB">
        <w:trPr>
          <w:trHeight w:val="533"/>
          <w:jc w:val="center"/>
        </w:trPr>
        <w:tc>
          <w:tcPr>
            <w:tcW w:w="2218" w:type="dxa"/>
            <w:vMerge/>
            <w:tcBorders>
              <w:top w:val="single" w:sz="4" w:space="0" w:color="auto"/>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p>
        </w:tc>
        <w:tc>
          <w:tcPr>
            <w:tcW w:w="2172" w:type="dxa"/>
            <w:tcBorders>
              <w:top w:val="nil"/>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Chlorothalonil</w:t>
            </w:r>
          </w:p>
        </w:tc>
        <w:tc>
          <w:tcPr>
            <w:tcW w:w="2498" w:type="dxa"/>
            <w:tcBorders>
              <w:top w:val="nil"/>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Benzonitrile</w:t>
            </w:r>
          </w:p>
        </w:tc>
        <w:tc>
          <w:tcPr>
            <w:tcW w:w="1510" w:type="dxa"/>
            <w:tcBorders>
              <w:top w:val="nil"/>
              <w:left w:val="nil"/>
              <w:bottom w:val="single" w:sz="4" w:space="0" w:color="auto"/>
              <w:right w:val="nil"/>
            </w:tcBorders>
            <w:shd w:val="clear" w:color="auto" w:fill="auto"/>
            <w:vAlign w:val="center"/>
          </w:tcPr>
          <w:p w:rsidR="002E54A2" w:rsidRPr="00E5234E" w:rsidRDefault="002E54A2" w:rsidP="00E5234E">
            <w:pPr>
              <w:jc w:val="center"/>
              <w:rPr>
                <w:rFonts w:eastAsia="Calibri"/>
                <w:sz w:val="22"/>
                <w:szCs w:val="22"/>
              </w:rPr>
            </w:pPr>
            <w:r w:rsidRPr="00E5234E">
              <w:rPr>
                <w:rFonts w:eastAsia="Calibri"/>
                <w:sz w:val="22"/>
                <w:szCs w:val="22"/>
              </w:rPr>
              <w:t>8.05</w:t>
            </w:r>
          </w:p>
        </w:tc>
      </w:tr>
      <w:tr w:rsidR="002E54A2" w:rsidRPr="00E5234E" w:rsidTr="00743AAB">
        <w:trPr>
          <w:trHeight w:val="279"/>
          <w:jc w:val="center"/>
        </w:trPr>
        <w:tc>
          <w:tcPr>
            <w:tcW w:w="8399" w:type="dxa"/>
            <w:gridSpan w:val="4"/>
            <w:tcBorders>
              <w:left w:val="nil"/>
              <w:bottom w:val="nil"/>
              <w:right w:val="nil"/>
            </w:tcBorders>
            <w:shd w:val="clear" w:color="auto" w:fill="auto"/>
            <w:vAlign w:val="center"/>
          </w:tcPr>
          <w:p w:rsidR="002E54A2" w:rsidRPr="00E5234E" w:rsidRDefault="002E54A2" w:rsidP="002E54A2">
            <w:pPr>
              <w:rPr>
                <w:rFonts w:eastAsia="Calibri"/>
                <w:sz w:val="20"/>
                <w:szCs w:val="20"/>
              </w:rPr>
            </w:pPr>
            <w:r w:rsidRPr="00E5234E">
              <w:rPr>
                <w:rFonts w:eastAsia="Calibri"/>
                <w:sz w:val="20"/>
                <w:szCs w:val="20"/>
              </w:rPr>
              <w:t>†</w:t>
            </w:r>
            <w:r w:rsidR="00E760FD" w:rsidRPr="00E5234E">
              <w:rPr>
                <w:rFonts w:eastAsia="Calibri"/>
                <w:sz w:val="20"/>
                <w:szCs w:val="20"/>
              </w:rPr>
              <w:t xml:space="preserve"> </w:t>
            </w:r>
            <w:r w:rsidRPr="00E5234E">
              <w:rPr>
                <w:rFonts w:eastAsia="Calibri"/>
                <w:sz w:val="20"/>
                <w:szCs w:val="20"/>
              </w:rPr>
              <w:t xml:space="preserve">Applications were initiated </w:t>
            </w:r>
            <w:r w:rsidR="00577C44">
              <w:rPr>
                <w:rFonts w:eastAsia="Calibri"/>
                <w:sz w:val="20"/>
                <w:szCs w:val="20"/>
              </w:rPr>
              <w:t xml:space="preserve">in Strawberry Plains, TN, </w:t>
            </w:r>
            <w:r w:rsidRPr="00E5234E">
              <w:rPr>
                <w:rFonts w:eastAsia="Calibri"/>
                <w:sz w:val="20"/>
                <w:szCs w:val="20"/>
              </w:rPr>
              <w:t>on 1-JUN in 2011 and 31-May in 2012</w:t>
            </w:r>
            <w:r w:rsidR="00BE1B9F">
              <w:rPr>
                <w:rFonts w:eastAsia="Calibri"/>
                <w:sz w:val="20"/>
                <w:szCs w:val="20"/>
              </w:rPr>
              <w:t xml:space="preserve"> on </w:t>
            </w:r>
            <w:r w:rsidR="00D04762">
              <w:rPr>
                <w:rFonts w:eastAsia="Calibri"/>
                <w:sz w:val="20"/>
                <w:szCs w:val="20"/>
              </w:rPr>
              <w:t>a</w:t>
            </w:r>
            <w:r w:rsidR="00BE1B9F">
              <w:rPr>
                <w:rFonts w:eastAsia="Calibri"/>
                <w:sz w:val="20"/>
                <w:szCs w:val="20"/>
              </w:rPr>
              <w:t>‘</w:t>
            </w:r>
            <w:r w:rsidR="00577C44">
              <w:rPr>
                <w:rFonts w:eastAsia="Calibri"/>
                <w:sz w:val="20"/>
                <w:szCs w:val="20"/>
              </w:rPr>
              <w:t>Dominant Southern’ creeping bentgrass (</w:t>
            </w:r>
            <w:r w:rsidR="00577C44" w:rsidRPr="00577C44">
              <w:rPr>
                <w:rFonts w:eastAsia="Calibri"/>
                <w:i/>
                <w:sz w:val="20"/>
                <w:szCs w:val="20"/>
              </w:rPr>
              <w:t>Agrostis stolonifera</w:t>
            </w:r>
            <w:r w:rsidR="00577C44">
              <w:rPr>
                <w:rFonts w:eastAsia="Calibri"/>
                <w:sz w:val="20"/>
                <w:szCs w:val="20"/>
              </w:rPr>
              <w:t xml:space="preserve"> L.)</w:t>
            </w:r>
            <w:r w:rsidR="00D04762">
              <w:rPr>
                <w:rFonts w:eastAsia="Calibri"/>
                <w:sz w:val="20"/>
                <w:szCs w:val="20"/>
              </w:rPr>
              <w:t xml:space="preserve"> putting green</w:t>
            </w:r>
            <w:r w:rsidRPr="00E5234E">
              <w:rPr>
                <w:rFonts w:eastAsia="Calibri"/>
                <w:sz w:val="20"/>
                <w:szCs w:val="20"/>
              </w:rPr>
              <w:t>. Subse</w:t>
            </w:r>
            <w:r w:rsidR="00577C44">
              <w:rPr>
                <w:rFonts w:eastAsia="Calibri"/>
                <w:sz w:val="20"/>
                <w:szCs w:val="20"/>
              </w:rPr>
              <w:t xml:space="preserve">quent applications were made on </w:t>
            </w:r>
            <w:r w:rsidRPr="00E5234E">
              <w:rPr>
                <w:rFonts w:eastAsia="Calibri"/>
                <w:sz w:val="20"/>
                <w:szCs w:val="20"/>
              </w:rPr>
              <w:t xml:space="preserve">14-day intervals. </w:t>
            </w:r>
          </w:p>
        </w:tc>
      </w:tr>
      <w:tr w:rsidR="002E54A2" w:rsidRPr="00E5234E" w:rsidTr="00743AAB">
        <w:trPr>
          <w:trHeight w:val="279"/>
          <w:jc w:val="center"/>
        </w:trPr>
        <w:tc>
          <w:tcPr>
            <w:tcW w:w="8399" w:type="dxa"/>
            <w:gridSpan w:val="4"/>
            <w:tcBorders>
              <w:top w:val="nil"/>
              <w:left w:val="nil"/>
              <w:bottom w:val="nil"/>
              <w:right w:val="nil"/>
            </w:tcBorders>
            <w:shd w:val="clear" w:color="auto" w:fill="auto"/>
            <w:vAlign w:val="center"/>
          </w:tcPr>
          <w:p w:rsidR="002E54A2" w:rsidRPr="00E5234E" w:rsidRDefault="002E54A2" w:rsidP="002E54A2">
            <w:pPr>
              <w:rPr>
                <w:rFonts w:eastAsia="Calibri"/>
                <w:sz w:val="20"/>
                <w:szCs w:val="20"/>
              </w:rPr>
            </w:pPr>
            <w:r w:rsidRPr="00E5234E">
              <w:rPr>
                <w:rFonts w:eastAsia="Calibri"/>
                <w:sz w:val="20"/>
                <w:szCs w:val="20"/>
              </w:rPr>
              <w:t>‡</w:t>
            </w:r>
            <w:r w:rsidR="00E760FD" w:rsidRPr="00E5234E">
              <w:rPr>
                <w:rFonts w:eastAsia="Calibri"/>
                <w:sz w:val="20"/>
                <w:szCs w:val="20"/>
              </w:rPr>
              <w:t xml:space="preserve"> </w:t>
            </w:r>
            <w:r w:rsidRPr="00E5234E">
              <w:rPr>
                <w:rFonts w:eastAsia="Calibri"/>
                <w:sz w:val="20"/>
                <w:szCs w:val="20"/>
              </w:rPr>
              <w:t>Fungicides were applied using two, flat-fan, nozzles calibrated to deliver a spray volume of 807 L per ha</w:t>
            </w:r>
            <w:r w:rsidRPr="00E5234E">
              <w:rPr>
                <w:rFonts w:eastAsia="Calibri"/>
                <w:sz w:val="20"/>
                <w:szCs w:val="20"/>
                <w:vertAlign w:val="superscript"/>
              </w:rPr>
              <w:t>-1</w:t>
            </w:r>
            <w:r w:rsidRPr="00E5234E">
              <w:rPr>
                <w:rFonts w:eastAsia="Calibri"/>
                <w:sz w:val="20"/>
                <w:szCs w:val="20"/>
              </w:rPr>
              <w:t xml:space="preserve">. </w:t>
            </w:r>
          </w:p>
        </w:tc>
      </w:tr>
      <w:tr w:rsidR="002E54A2" w:rsidRPr="00E5234E" w:rsidTr="00743AAB">
        <w:trPr>
          <w:trHeight w:val="279"/>
          <w:jc w:val="center"/>
        </w:trPr>
        <w:tc>
          <w:tcPr>
            <w:tcW w:w="8399" w:type="dxa"/>
            <w:gridSpan w:val="4"/>
            <w:tcBorders>
              <w:top w:val="nil"/>
              <w:left w:val="nil"/>
              <w:bottom w:val="nil"/>
              <w:right w:val="nil"/>
            </w:tcBorders>
            <w:shd w:val="clear" w:color="auto" w:fill="auto"/>
            <w:vAlign w:val="center"/>
          </w:tcPr>
          <w:p w:rsidR="002E54A2" w:rsidRPr="00E5234E" w:rsidRDefault="002E54A2" w:rsidP="002E54A2">
            <w:pPr>
              <w:rPr>
                <w:rFonts w:eastAsia="Calibri"/>
                <w:sz w:val="20"/>
                <w:szCs w:val="20"/>
              </w:rPr>
            </w:pPr>
            <w:r w:rsidRPr="00E5234E">
              <w:rPr>
                <w:rFonts w:eastAsia="Calibri"/>
                <w:sz w:val="20"/>
                <w:szCs w:val="20"/>
              </w:rPr>
              <w:t>§</w:t>
            </w:r>
            <w:r w:rsidR="00E760FD" w:rsidRPr="00E5234E">
              <w:rPr>
                <w:rFonts w:eastAsia="Calibri"/>
                <w:sz w:val="20"/>
                <w:szCs w:val="20"/>
              </w:rPr>
              <w:t xml:space="preserve"> </w:t>
            </w:r>
            <w:r w:rsidRPr="00E5234E">
              <w:rPr>
                <w:rFonts w:eastAsia="Calibri"/>
                <w:sz w:val="20"/>
                <w:szCs w:val="20"/>
              </w:rPr>
              <w:t xml:space="preserve">Azoxystrobin, </w:t>
            </w:r>
            <w:r w:rsidR="005D39D6">
              <w:rPr>
                <w:rFonts w:eastAsia="Calibri"/>
                <w:sz w:val="20"/>
                <w:szCs w:val="20"/>
              </w:rPr>
              <w:t>p</w:t>
            </w:r>
            <w:r w:rsidRPr="00E5234E">
              <w:rPr>
                <w:rFonts w:eastAsia="Calibri"/>
                <w:sz w:val="20"/>
                <w:szCs w:val="20"/>
              </w:rPr>
              <w:t xml:space="preserve">yraclostrobin, </w:t>
            </w:r>
            <w:r w:rsidR="005D39D6">
              <w:rPr>
                <w:rFonts w:eastAsia="Calibri"/>
                <w:sz w:val="20"/>
                <w:szCs w:val="20"/>
              </w:rPr>
              <w:t>f</w:t>
            </w:r>
            <w:r w:rsidRPr="00E5234E">
              <w:rPr>
                <w:rFonts w:eastAsia="Calibri"/>
                <w:sz w:val="20"/>
                <w:szCs w:val="20"/>
              </w:rPr>
              <w:t xml:space="preserve">luoxastrobin, and </w:t>
            </w:r>
            <w:r w:rsidR="005D39D6">
              <w:rPr>
                <w:rFonts w:eastAsia="Calibri"/>
                <w:sz w:val="20"/>
                <w:szCs w:val="20"/>
              </w:rPr>
              <w:t>t</w:t>
            </w:r>
            <w:r w:rsidRPr="00E5234E">
              <w:rPr>
                <w:rFonts w:eastAsia="Calibri"/>
                <w:sz w:val="20"/>
                <w:szCs w:val="20"/>
              </w:rPr>
              <w:t xml:space="preserve">rifloxystrobin were applied at rates </w:t>
            </w:r>
            <w:r w:rsidRPr="00E5234E">
              <w:rPr>
                <w:rFonts w:eastAsia="Calibri"/>
                <w:color w:val="000033"/>
                <w:sz w:val="20"/>
                <w:szCs w:val="20"/>
              </w:rPr>
              <w:t>0.55, 0.61, 0.55, and 0.38 kg ha</w:t>
            </w:r>
            <w:r w:rsidRPr="00E5234E">
              <w:rPr>
                <w:rFonts w:eastAsia="Calibri"/>
                <w:color w:val="000033"/>
                <w:sz w:val="20"/>
                <w:szCs w:val="20"/>
                <w:vertAlign w:val="superscript"/>
              </w:rPr>
              <w:t>-1</w:t>
            </w:r>
            <w:r w:rsidRPr="00E5234E">
              <w:rPr>
                <w:rFonts w:eastAsia="Calibri"/>
                <w:color w:val="000033"/>
                <w:sz w:val="20"/>
                <w:szCs w:val="20"/>
              </w:rPr>
              <w:t>, respectively, on the 2</w:t>
            </w:r>
            <w:r w:rsidRPr="00E5234E">
              <w:rPr>
                <w:rFonts w:eastAsia="Calibri"/>
                <w:color w:val="000033"/>
                <w:sz w:val="20"/>
                <w:szCs w:val="20"/>
                <w:vertAlign w:val="superscript"/>
              </w:rPr>
              <w:t>nd</w:t>
            </w:r>
            <w:r w:rsidRPr="00E5234E">
              <w:rPr>
                <w:rFonts w:eastAsia="Calibri"/>
                <w:color w:val="000033"/>
                <w:sz w:val="20"/>
                <w:szCs w:val="20"/>
              </w:rPr>
              <w:t xml:space="preserve"> and 5</w:t>
            </w:r>
            <w:r w:rsidRPr="00E5234E">
              <w:rPr>
                <w:rFonts w:eastAsia="Calibri"/>
                <w:color w:val="000033"/>
                <w:sz w:val="20"/>
                <w:szCs w:val="20"/>
                <w:vertAlign w:val="superscript"/>
              </w:rPr>
              <w:t>th</w:t>
            </w:r>
            <w:r w:rsidRPr="00E5234E">
              <w:rPr>
                <w:rFonts w:eastAsia="Calibri"/>
                <w:color w:val="000033"/>
                <w:sz w:val="20"/>
                <w:szCs w:val="20"/>
              </w:rPr>
              <w:t xml:space="preserve"> application interval. </w:t>
            </w:r>
          </w:p>
        </w:tc>
      </w:tr>
    </w:tbl>
    <w:p w:rsidR="00232AE6" w:rsidRDefault="00232AE6"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2E54A2" w:rsidRDefault="002E54A2" w:rsidP="00232AE6"/>
    <w:p w:rsidR="006B7833" w:rsidRDefault="006B7833" w:rsidP="00232AE6"/>
    <w:tbl>
      <w:tblPr>
        <w:tblpPr w:leftFromText="180" w:rightFromText="180" w:vertAnchor="text" w:horzAnchor="margin" w:tblpY="262"/>
        <w:tblW w:w="8435" w:type="dxa"/>
        <w:tblBorders>
          <w:insideV w:val="single" w:sz="4" w:space="0" w:color="000000"/>
        </w:tblBorders>
        <w:tblLook w:val="04A0"/>
      </w:tblPr>
      <w:tblGrid>
        <w:gridCol w:w="1197"/>
        <w:gridCol w:w="1867"/>
        <w:gridCol w:w="589"/>
        <w:gridCol w:w="1002"/>
        <w:gridCol w:w="1000"/>
        <w:gridCol w:w="912"/>
        <w:gridCol w:w="913"/>
        <w:gridCol w:w="955"/>
      </w:tblGrid>
      <w:tr w:rsidR="006B7833" w:rsidRPr="006A3515" w:rsidTr="00577C44">
        <w:trPr>
          <w:trHeight w:val="506"/>
        </w:trPr>
        <w:tc>
          <w:tcPr>
            <w:tcW w:w="8435" w:type="dxa"/>
            <w:gridSpan w:val="8"/>
            <w:tcBorders>
              <w:left w:val="nil"/>
              <w:bottom w:val="single" w:sz="4" w:space="0" w:color="000000"/>
            </w:tcBorders>
            <w:shd w:val="clear" w:color="auto" w:fill="auto"/>
            <w:vAlign w:val="center"/>
          </w:tcPr>
          <w:p w:rsidR="006B7833" w:rsidRPr="00051556" w:rsidRDefault="006B7833" w:rsidP="00051556">
            <w:pPr>
              <w:pStyle w:val="Heading2"/>
              <w:jc w:val="left"/>
              <w:rPr>
                <w:rFonts w:eastAsia="Cambria"/>
                <w:sz w:val="23"/>
                <w:szCs w:val="23"/>
              </w:rPr>
            </w:pPr>
            <w:bookmarkStart w:id="71" w:name="_Toc353890895"/>
            <w:bookmarkStart w:id="72" w:name="_Toc353892636"/>
            <w:r w:rsidRPr="00051556">
              <w:rPr>
                <w:rFonts w:eastAsia="Cambria"/>
                <w:sz w:val="23"/>
                <w:szCs w:val="23"/>
              </w:rPr>
              <w:lastRenderedPageBreak/>
              <w:t xml:space="preserve">Table </w:t>
            </w:r>
            <w:r w:rsidR="00577C5A" w:rsidRPr="00051556">
              <w:rPr>
                <w:rFonts w:eastAsia="Cambria"/>
                <w:sz w:val="23"/>
                <w:szCs w:val="23"/>
              </w:rPr>
              <w:t>2</w:t>
            </w:r>
            <w:r w:rsidRPr="00051556">
              <w:rPr>
                <w:rFonts w:eastAsia="Cambria"/>
                <w:sz w:val="23"/>
                <w:szCs w:val="23"/>
              </w:rPr>
              <w:t>.</w:t>
            </w:r>
            <w:r w:rsidR="00577C5A" w:rsidRPr="00051556">
              <w:rPr>
                <w:rFonts w:eastAsia="Cambria"/>
                <w:sz w:val="23"/>
                <w:szCs w:val="23"/>
              </w:rPr>
              <w:t>2</w:t>
            </w:r>
            <w:r w:rsidRPr="00051556">
              <w:rPr>
                <w:rFonts w:eastAsia="Cambria"/>
                <w:sz w:val="23"/>
                <w:szCs w:val="23"/>
              </w:rPr>
              <w:t xml:space="preserve"> Analysis of variance for turfgrass quality, turfgrass cover, </w:t>
            </w:r>
            <w:r w:rsidR="00577C44" w:rsidRPr="00051556">
              <w:rPr>
                <w:rFonts w:eastAsia="Cambria"/>
                <w:sz w:val="23"/>
                <w:szCs w:val="23"/>
              </w:rPr>
              <w:t>n</w:t>
            </w:r>
            <w:r w:rsidR="00577C5A" w:rsidRPr="00051556">
              <w:rPr>
                <w:rFonts w:eastAsia="Cambria"/>
                <w:sz w:val="23"/>
                <w:szCs w:val="23"/>
              </w:rPr>
              <w:t>o</w:t>
            </w:r>
            <w:r w:rsidR="00577C44" w:rsidRPr="00051556">
              <w:rPr>
                <w:rFonts w:eastAsia="Cambria"/>
                <w:sz w:val="23"/>
                <w:szCs w:val="23"/>
              </w:rPr>
              <w:t>rmalized difference vegetation i</w:t>
            </w:r>
            <w:r w:rsidR="00577C5A" w:rsidRPr="00051556">
              <w:rPr>
                <w:rFonts w:eastAsia="Cambria"/>
                <w:sz w:val="23"/>
                <w:szCs w:val="23"/>
              </w:rPr>
              <w:t>ndex (</w:t>
            </w:r>
            <w:r w:rsidRPr="00051556">
              <w:rPr>
                <w:rFonts w:eastAsia="Cambria"/>
                <w:sz w:val="23"/>
                <w:szCs w:val="23"/>
              </w:rPr>
              <w:t>NDVI</w:t>
            </w:r>
            <w:r w:rsidR="00577C5A" w:rsidRPr="00051556">
              <w:rPr>
                <w:rFonts w:eastAsia="Cambria"/>
                <w:sz w:val="23"/>
                <w:szCs w:val="23"/>
              </w:rPr>
              <w:t>)</w:t>
            </w:r>
            <w:r w:rsidRPr="00051556">
              <w:rPr>
                <w:rFonts w:eastAsia="Cambria"/>
                <w:sz w:val="23"/>
                <w:szCs w:val="23"/>
              </w:rPr>
              <w:t>, and</w:t>
            </w:r>
            <w:r w:rsidR="00577C44" w:rsidRPr="00051556">
              <w:rPr>
                <w:rFonts w:eastAsia="Cambria"/>
                <w:sz w:val="23"/>
                <w:szCs w:val="23"/>
              </w:rPr>
              <w:t xml:space="preserve"> ratio vegetation i</w:t>
            </w:r>
            <w:r w:rsidR="00577C5A" w:rsidRPr="00051556">
              <w:rPr>
                <w:rFonts w:eastAsia="Cambria"/>
                <w:sz w:val="23"/>
                <w:szCs w:val="23"/>
              </w:rPr>
              <w:t>ndex</w:t>
            </w:r>
            <w:r w:rsidRPr="00051556">
              <w:rPr>
                <w:rFonts w:eastAsia="Cambria"/>
                <w:sz w:val="23"/>
                <w:szCs w:val="23"/>
              </w:rPr>
              <w:t xml:space="preserve"> </w:t>
            </w:r>
            <w:r w:rsidR="00577C5A" w:rsidRPr="00051556">
              <w:rPr>
                <w:rFonts w:eastAsia="Cambria"/>
                <w:sz w:val="23"/>
                <w:szCs w:val="23"/>
              </w:rPr>
              <w:t>(</w:t>
            </w:r>
            <w:r w:rsidRPr="00051556">
              <w:rPr>
                <w:rFonts w:eastAsia="Cambria"/>
                <w:sz w:val="23"/>
                <w:szCs w:val="23"/>
              </w:rPr>
              <w:t>RVI</w:t>
            </w:r>
            <w:r w:rsidR="00577C5A" w:rsidRPr="00051556">
              <w:rPr>
                <w:rFonts w:eastAsia="Cambria"/>
                <w:sz w:val="23"/>
                <w:szCs w:val="23"/>
              </w:rPr>
              <w:t>)</w:t>
            </w:r>
            <w:r w:rsidRPr="00051556">
              <w:rPr>
                <w:rFonts w:eastAsia="Cambria"/>
                <w:sz w:val="23"/>
                <w:szCs w:val="23"/>
              </w:rPr>
              <w:t xml:space="preserve"> on </w:t>
            </w:r>
            <w:r w:rsidR="005D39D6" w:rsidRPr="00051556">
              <w:rPr>
                <w:rFonts w:eastAsia="Cambria"/>
                <w:sz w:val="23"/>
                <w:szCs w:val="23"/>
              </w:rPr>
              <w:t xml:space="preserve">a </w:t>
            </w:r>
            <w:r w:rsidR="00743AAB" w:rsidRPr="00051556">
              <w:rPr>
                <w:rFonts w:eastAsia="Cambria"/>
                <w:sz w:val="23"/>
                <w:szCs w:val="23"/>
              </w:rPr>
              <w:t>‘</w:t>
            </w:r>
            <w:r w:rsidRPr="00051556">
              <w:rPr>
                <w:rFonts w:eastAsia="Cambria"/>
                <w:sz w:val="23"/>
                <w:szCs w:val="23"/>
              </w:rPr>
              <w:t>D</w:t>
            </w:r>
            <w:r w:rsidR="00743AAB" w:rsidRPr="00051556">
              <w:rPr>
                <w:rFonts w:eastAsia="Cambria"/>
                <w:sz w:val="23"/>
                <w:szCs w:val="23"/>
              </w:rPr>
              <w:t>ominant S</w:t>
            </w:r>
            <w:r w:rsidRPr="00051556">
              <w:rPr>
                <w:rFonts w:eastAsia="Cambria"/>
                <w:sz w:val="23"/>
                <w:szCs w:val="23"/>
              </w:rPr>
              <w:t>outhern</w:t>
            </w:r>
            <w:r w:rsidR="00743AAB" w:rsidRPr="00051556">
              <w:rPr>
                <w:rFonts w:eastAsia="Cambria"/>
                <w:sz w:val="23"/>
                <w:szCs w:val="23"/>
              </w:rPr>
              <w:t>’</w:t>
            </w:r>
            <w:r w:rsidRPr="00051556">
              <w:rPr>
                <w:rFonts w:eastAsia="Cambria"/>
                <w:sz w:val="23"/>
                <w:szCs w:val="23"/>
              </w:rPr>
              <w:t xml:space="preserve"> creeping bentgrass</w:t>
            </w:r>
            <w:r w:rsidR="005D39D6" w:rsidRPr="00051556">
              <w:rPr>
                <w:rFonts w:eastAsia="Cambria"/>
                <w:sz w:val="23"/>
                <w:szCs w:val="23"/>
              </w:rPr>
              <w:t xml:space="preserve"> (</w:t>
            </w:r>
            <w:r w:rsidR="006B3F29" w:rsidRPr="00051556">
              <w:rPr>
                <w:rFonts w:eastAsia="Cambria"/>
                <w:i/>
                <w:sz w:val="23"/>
                <w:szCs w:val="23"/>
              </w:rPr>
              <w:t>Agrostis stolonifera</w:t>
            </w:r>
            <w:r w:rsidR="005D39D6" w:rsidRPr="00051556">
              <w:rPr>
                <w:rFonts w:eastAsia="Cambria"/>
                <w:sz w:val="23"/>
                <w:szCs w:val="23"/>
              </w:rPr>
              <w:t xml:space="preserve"> L.) putting green</w:t>
            </w:r>
            <w:r w:rsidRPr="00051556">
              <w:rPr>
                <w:rFonts w:eastAsia="Cambria"/>
                <w:sz w:val="23"/>
                <w:szCs w:val="23"/>
              </w:rPr>
              <w:t xml:space="preserve"> subjected to various strobilurin fungicide programs in 2011</w:t>
            </w:r>
            <w:r w:rsidR="005D39D6" w:rsidRPr="00051556">
              <w:rPr>
                <w:rFonts w:eastAsia="Cambria"/>
                <w:sz w:val="23"/>
                <w:szCs w:val="23"/>
              </w:rPr>
              <w:t xml:space="preserve"> in Strawberry Plains, TN.</w:t>
            </w:r>
            <w:bookmarkEnd w:id="71"/>
            <w:bookmarkEnd w:id="72"/>
            <w:r w:rsidRPr="00051556">
              <w:rPr>
                <w:rFonts w:eastAsia="Cambria"/>
                <w:sz w:val="23"/>
                <w:szCs w:val="23"/>
              </w:rPr>
              <w:t xml:space="preserve"> </w:t>
            </w:r>
          </w:p>
        </w:tc>
      </w:tr>
      <w:tr w:rsidR="006B7833" w:rsidRPr="006A3515" w:rsidTr="00743AAB">
        <w:trPr>
          <w:trHeight w:val="313"/>
        </w:trPr>
        <w:tc>
          <w:tcPr>
            <w:tcW w:w="3653" w:type="dxa"/>
            <w:gridSpan w:val="3"/>
            <w:tcBorders>
              <w:top w:val="single" w:sz="4" w:space="0" w:color="000000"/>
              <w:bottom w:val="nil"/>
              <w:right w:val="nil"/>
            </w:tcBorders>
            <w:shd w:val="clear" w:color="auto" w:fill="auto"/>
            <w:vAlign w:val="center"/>
          </w:tcPr>
          <w:p w:rsidR="006B7833" w:rsidRPr="002E54A2" w:rsidRDefault="006B7833" w:rsidP="00577C5A">
            <w:pPr>
              <w:rPr>
                <w:rFonts w:eastAsia="Cambria"/>
                <w:b/>
                <w:sz w:val="22"/>
                <w:szCs w:val="22"/>
              </w:rPr>
            </w:pPr>
          </w:p>
        </w:tc>
        <w:tc>
          <w:tcPr>
            <w:tcW w:w="4782" w:type="dxa"/>
            <w:gridSpan w:val="5"/>
            <w:tcBorders>
              <w:top w:val="single" w:sz="4" w:space="0" w:color="000000"/>
              <w:left w:val="nil"/>
              <w:bottom w:val="nil"/>
            </w:tcBorders>
            <w:shd w:val="clear" w:color="auto" w:fill="auto"/>
            <w:vAlign w:val="center"/>
          </w:tcPr>
          <w:p w:rsidR="006B7833" w:rsidRPr="002E54A2" w:rsidRDefault="006B7833" w:rsidP="00577C5A">
            <w:pPr>
              <w:jc w:val="center"/>
              <w:rPr>
                <w:rFonts w:eastAsia="Cambria"/>
                <w:b/>
                <w:sz w:val="22"/>
                <w:szCs w:val="22"/>
              </w:rPr>
            </w:pPr>
            <w:r w:rsidRPr="002E54A2">
              <w:rPr>
                <w:rFonts w:eastAsia="Cambria"/>
                <w:b/>
                <w:sz w:val="22"/>
                <w:szCs w:val="22"/>
              </w:rPr>
              <w:t>Days after initial treatment</w:t>
            </w:r>
          </w:p>
        </w:tc>
      </w:tr>
      <w:tr w:rsidR="006B7833" w:rsidRPr="006A3515" w:rsidTr="008D5462">
        <w:trPr>
          <w:trHeight w:val="313"/>
        </w:trPr>
        <w:tc>
          <w:tcPr>
            <w:tcW w:w="1197" w:type="dxa"/>
            <w:tcBorders>
              <w:top w:val="nil"/>
              <w:bottom w:val="single" w:sz="4" w:space="0" w:color="000000"/>
              <w:right w:val="nil"/>
            </w:tcBorders>
            <w:shd w:val="clear" w:color="auto" w:fill="auto"/>
            <w:vAlign w:val="center"/>
          </w:tcPr>
          <w:p w:rsidR="006B7833" w:rsidRPr="002E54A2" w:rsidRDefault="006B7833" w:rsidP="00577C5A">
            <w:pPr>
              <w:rPr>
                <w:rFonts w:eastAsia="Cambria"/>
                <w:b/>
                <w:sz w:val="22"/>
                <w:szCs w:val="22"/>
              </w:rPr>
            </w:pPr>
          </w:p>
        </w:tc>
        <w:tc>
          <w:tcPr>
            <w:tcW w:w="1867" w:type="dxa"/>
            <w:tcBorders>
              <w:top w:val="nil"/>
              <w:left w:val="nil"/>
              <w:bottom w:val="single" w:sz="4" w:space="0" w:color="000000"/>
              <w:right w:val="nil"/>
            </w:tcBorders>
            <w:shd w:val="clear" w:color="auto" w:fill="auto"/>
            <w:vAlign w:val="center"/>
          </w:tcPr>
          <w:p w:rsidR="006B7833" w:rsidRPr="002E54A2" w:rsidRDefault="006B7833" w:rsidP="00577C5A">
            <w:pPr>
              <w:rPr>
                <w:rFonts w:eastAsia="Cambria"/>
                <w:b/>
                <w:sz w:val="22"/>
                <w:szCs w:val="22"/>
              </w:rPr>
            </w:pPr>
          </w:p>
        </w:tc>
        <w:tc>
          <w:tcPr>
            <w:tcW w:w="589" w:type="dxa"/>
            <w:tcBorders>
              <w:top w:val="nil"/>
              <w:left w:val="nil"/>
              <w:bottom w:val="single" w:sz="4" w:space="0" w:color="000000"/>
              <w:right w:val="nil"/>
            </w:tcBorders>
            <w:shd w:val="clear" w:color="auto" w:fill="auto"/>
            <w:vAlign w:val="center"/>
          </w:tcPr>
          <w:p w:rsidR="006B7833" w:rsidRPr="002E54A2" w:rsidRDefault="006B7833" w:rsidP="00577C5A">
            <w:pPr>
              <w:jc w:val="center"/>
              <w:rPr>
                <w:rFonts w:eastAsia="Cambria"/>
                <w:b/>
                <w:sz w:val="22"/>
                <w:szCs w:val="22"/>
              </w:rPr>
            </w:pPr>
            <w:r w:rsidRPr="002E54A2">
              <w:rPr>
                <w:rFonts w:eastAsia="Cambria"/>
                <w:b/>
                <w:sz w:val="22"/>
                <w:szCs w:val="22"/>
              </w:rPr>
              <w:t>df</w:t>
            </w:r>
          </w:p>
        </w:tc>
        <w:tc>
          <w:tcPr>
            <w:tcW w:w="1002" w:type="dxa"/>
            <w:tcBorders>
              <w:top w:val="nil"/>
              <w:left w:val="nil"/>
              <w:bottom w:val="single" w:sz="4" w:space="0" w:color="000000"/>
              <w:right w:val="nil"/>
            </w:tcBorders>
            <w:shd w:val="clear" w:color="auto" w:fill="auto"/>
            <w:vAlign w:val="center"/>
          </w:tcPr>
          <w:p w:rsidR="006B7833" w:rsidRPr="002E54A2" w:rsidRDefault="006B7833" w:rsidP="00577C5A">
            <w:pPr>
              <w:jc w:val="center"/>
              <w:rPr>
                <w:rFonts w:eastAsia="Cambria"/>
                <w:b/>
                <w:sz w:val="22"/>
                <w:szCs w:val="22"/>
              </w:rPr>
            </w:pPr>
            <w:r w:rsidRPr="002E54A2">
              <w:rPr>
                <w:rFonts w:eastAsia="Cambria"/>
                <w:b/>
                <w:sz w:val="22"/>
                <w:szCs w:val="22"/>
              </w:rPr>
              <w:t>14</w:t>
            </w:r>
          </w:p>
        </w:tc>
        <w:tc>
          <w:tcPr>
            <w:tcW w:w="1000" w:type="dxa"/>
            <w:tcBorders>
              <w:top w:val="nil"/>
              <w:left w:val="nil"/>
              <w:bottom w:val="single" w:sz="4" w:space="0" w:color="000000"/>
              <w:right w:val="nil"/>
            </w:tcBorders>
            <w:shd w:val="clear" w:color="auto" w:fill="auto"/>
            <w:vAlign w:val="center"/>
          </w:tcPr>
          <w:p w:rsidR="006B7833" w:rsidRPr="002E54A2" w:rsidRDefault="006B7833" w:rsidP="00577C5A">
            <w:pPr>
              <w:jc w:val="center"/>
              <w:rPr>
                <w:rFonts w:eastAsia="Cambria"/>
                <w:b/>
                <w:sz w:val="22"/>
                <w:szCs w:val="22"/>
              </w:rPr>
            </w:pPr>
            <w:r w:rsidRPr="002E54A2">
              <w:rPr>
                <w:rFonts w:eastAsia="Cambria"/>
                <w:b/>
                <w:sz w:val="22"/>
                <w:szCs w:val="22"/>
              </w:rPr>
              <w:t>28</w:t>
            </w:r>
          </w:p>
        </w:tc>
        <w:tc>
          <w:tcPr>
            <w:tcW w:w="912" w:type="dxa"/>
            <w:tcBorders>
              <w:top w:val="nil"/>
              <w:left w:val="nil"/>
              <w:bottom w:val="single" w:sz="4" w:space="0" w:color="000000"/>
              <w:right w:val="nil"/>
            </w:tcBorders>
            <w:shd w:val="clear" w:color="auto" w:fill="auto"/>
            <w:vAlign w:val="center"/>
          </w:tcPr>
          <w:p w:rsidR="006B7833" w:rsidRPr="002E54A2" w:rsidRDefault="006B7833" w:rsidP="00577C5A">
            <w:pPr>
              <w:jc w:val="center"/>
              <w:rPr>
                <w:rFonts w:eastAsia="Cambria"/>
                <w:b/>
                <w:sz w:val="22"/>
                <w:szCs w:val="22"/>
              </w:rPr>
            </w:pPr>
            <w:r w:rsidRPr="002E54A2">
              <w:rPr>
                <w:rFonts w:eastAsia="Cambria"/>
                <w:b/>
                <w:sz w:val="22"/>
                <w:szCs w:val="22"/>
              </w:rPr>
              <w:t>42</w:t>
            </w:r>
          </w:p>
        </w:tc>
        <w:tc>
          <w:tcPr>
            <w:tcW w:w="913" w:type="dxa"/>
            <w:tcBorders>
              <w:top w:val="nil"/>
              <w:left w:val="nil"/>
              <w:bottom w:val="single" w:sz="4" w:space="0" w:color="000000"/>
              <w:right w:val="nil"/>
            </w:tcBorders>
            <w:shd w:val="clear" w:color="auto" w:fill="auto"/>
            <w:vAlign w:val="center"/>
          </w:tcPr>
          <w:p w:rsidR="006B7833" w:rsidRPr="002E54A2" w:rsidRDefault="006B7833" w:rsidP="00577C5A">
            <w:pPr>
              <w:jc w:val="center"/>
              <w:rPr>
                <w:rFonts w:eastAsia="Cambria"/>
                <w:b/>
                <w:sz w:val="22"/>
                <w:szCs w:val="22"/>
              </w:rPr>
            </w:pPr>
            <w:r w:rsidRPr="002E54A2">
              <w:rPr>
                <w:rFonts w:eastAsia="Cambria"/>
                <w:b/>
                <w:sz w:val="22"/>
                <w:szCs w:val="22"/>
              </w:rPr>
              <w:t>56</w:t>
            </w:r>
          </w:p>
        </w:tc>
        <w:tc>
          <w:tcPr>
            <w:tcW w:w="955" w:type="dxa"/>
            <w:tcBorders>
              <w:top w:val="nil"/>
              <w:left w:val="nil"/>
              <w:bottom w:val="single" w:sz="4" w:space="0" w:color="000000"/>
            </w:tcBorders>
            <w:shd w:val="clear" w:color="auto" w:fill="auto"/>
            <w:vAlign w:val="center"/>
          </w:tcPr>
          <w:p w:rsidR="006B7833" w:rsidRPr="002E54A2" w:rsidRDefault="006B7833" w:rsidP="00577C5A">
            <w:pPr>
              <w:jc w:val="center"/>
              <w:rPr>
                <w:rFonts w:eastAsia="Cambria"/>
                <w:b/>
                <w:sz w:val="22"/>
                <w:szCs w:val="22"/>
              </w:rPr>
            </w:pPr>
            <w:r w:rsidRPr="002E54A2">
              <w:rPr>
                <w:rFonts w:eastAsia="Cambria"/>
                <w:b/>
                <w:sz w:val="22"/>
                <w:szCs w:val="22"/>
              </w:rPr>
              <w:t>70</w:t>
            </w:r>
          </w:p>
        </w:tc>
      </w:tr>
      <w:tr w:rsidR="008D5462" w:rsidRPr="006A3515" w:rsidTr="00F8034E">
        <w:trPr>
          <w:trHeight w:val="636"/>
        </w:trPr>
        <w:tc>
          <w:tcPr>
            <w:tcW w:w="1197" w:type="dxa"/>
            <w:tcBorders>
              <w:top w:val="single" w:sz="4" w:space="0" w:color="000000"/>
              <w:right w:val="nil"/>
            </w:tcBorders>
            <w:shd w:val="clear" w:color="auto" w:fill="auto"/>
            <w:vAlign w:val="center"/>
          </w:tcPr>
          <w:p w:rsidR="008D5462" w:rsidRPr="002E54A2" w:rsidRDefault="008D5462" w:rsidP="00577C5A">
            <w:pPr>
              <w:jc w:val="center"/>
              <w:rPr>
                <w:rFonts w:eastAsia="Cambria"/>
                <w:color w:val="000000"/>
                <w:sz w:val="22"/>
                <w:szCs w:val="22"/>
              </w:rPr>
            </w:pPr>
            <w:r w:rsidRPr="002E54A2">
              <w:rPr>
                <w:rFonts w:eastAsia="Cambria"/>
                <w:color w:val="000000"/>
                <w:sz w:val="22"/>
                <w:szCs w:val="22"/>
              </w:rPr>
              <w:t>Turfgrass</w:t>
            </w:r>
          </w:p>
          <w:p w:rsidR="008D5462" w:rsidRPr="002E54A2" w:rsidRDefault="008D5462" w:rsidP="00577C5A">
            <w:pPr>
              <w:jc w:val="center"/>
              <w:rPr>
                <w:rFonts w:eastAsia="Cambria"/>
                <w:color w:val="000000"/>
                <w:sz w:val="22"/>
                <w:szCs w:val="22"/>
              </w:rPr>
            </w:pPr>
            <w:r w:rsidRPr="002E54A2">
              <w:rPr>
                <w:rFonts w:eastAsia="Cambria"/>
                <w:color w:val="000000"/>
                <w:sz w:val="22"/>
                <w:szCs w:val="22"/>
              </w:rPr>
              <w:t>Quality</w:t>
            </w:r>
          </w:p>
        </w:tc>
        <w:tc>
          <w:tcPr>
            <w:tcW w:w="1867" w:type="dxa"/>
            <w:tcBorders>
              <w:top w:val="single" w:sz="4" w:space="0" w:color="000000"/>
              <w:left w:val="nil"/>
              <w:right w:val="nil"/>
            </w:tcBorders>
            <w:shd w:val="clear" w:color="auto" w:fill="auto"/>
            <w:vAlign w:val="center"/>
          </w:tcPr>
          <w:p w:rsidR="008D5462" w:rsidRPr="002E54A2" w:rsidRDefault="008D5462" w:rsidP="00F8034E">
            <w:pPr>
              <w:rPr>
                <w:rFonts w:eastAsia="Cambria"/>
                <w:color w:val="000000"/>
                <w:sz w:val="22"/>
                <w:szCs w:val="22"/>
              </w:rPr>
            </w:pPr>
            <w:r w:rsidRPr="002E54A2">
              <w:rPr>
                <w:rFonts w:eastAsia="Cambria"/>
                <w:color w:val="000000"/>
                <w:sz w:val="22"/>
                <w:szCs w:val="22"/>
              </w:rPr>
              <w:t>Treatment</w:t>
            </w:r>
          </w:p>
        </w:tc>
        <w:tc>
          <w:tcPr>
            <w:tcW w:w="589" w:type="dxa"/>
            <w:tcBorders>
              <w:top w:val="single" w:sz="4" w:space="0" w:color="000000"/>
              <w:left w:val="nil"/>
              <w:righ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4</w:t>
            </w:r>
          </w:p>
        </w:tc>
        <w:tc>
          <w:tcPr>
            <w:tcW w:w="1002" w:type="dxa"/>
            <w:tcBorders>
              <w:top w:val="single" w:sz="4" w:space="0" w:color="000000"/>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r w:rsidRPr="00C52984">
              <w:rPr>
                <w:rFonts w:eastAsia="Cambria"/>
                <w:color w:val="000000"/>
                <w:sz w:val="22"/>
                <w:szCs w:val="22"/>
                <w:vertAlign w:val="superscript"/>
              </w:rPr>
              <w:t>†</w:t>
            </w:r>
          </w:p>
        </w:tc>
        <w:tc>
          <w:tcPr>
            <w:tcW w:w="1000" w:type="dxa"/>
            <w:tcBorders>
              <w:top w:val="single" w:sz="4" w:space="0" w:color="000000"/>
              <w:left w:val="nil"/>
              <w:righ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NS</w:t>
            </w:r>
          </w:p>
        </w:tc>
        <w:tc>
          <w:tcPr>
            <w:tcW w:w="912" w:type="dxa"/>
            <w:tcBorders>
              <w:top w:val="single" w:sz="4" w:space="0" w:color="000000"/>
              <w:left w:val="nil"/>
              <w:righ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NS</w:t>
            </w:r>
          </w:p>
        </w:tc>
        <w:tc>
          <w:tcPr>
            <w:tcW w:w="913" w:type="dxa"/>
            <w:tcBorders>
              <w:top w:val="single" w:sz="4" w:space="0" w:color="000000"/>
              <w:left w:val="nil"/>
              <w:righ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w:t>
            </w:r>
          </w:p>
        </w:tc>
        <w:tc>
          <w:tcPr>
            <w:tcW w:w="955" w:type="dxa"/>
            <w:tcBorders>
              <w:top w:val="single" w:sz="4" w:space="0" w:color="000000"/>
              <w:lef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NS</w:t>
            </w:r>
          </w:p>
        </w:tc>
      </w:tr>
      <w:tr w:rsidR="006B7833" w:rsidRPr="006A3515" w:rsidTr="008D5462">
        <w:trPr>
          <w:trHeight w:val="313"/>
        </w:trPr>
        <w:tc>
          <w:tcPr>
            <w:tcW w:w="1197" w:type="dxa"/>
            <w:tcBorders>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867" w:type="dxa"/>
            <w:tcBorders>
              <w:left w:val="nil"/>
              <w:right w:val="nil"/>
            </w:tcBorders>
            <w:shd w:val="clear" w:color="auto" w:fill="auto"/>
            <w:vAlign w:val="center"/>
          </w:tcPr>
          <w:p w:rsidR="006B7833" w:rsidRPr="002E54A2" w:rsidRDefault="006B7833" w:rsidP="00577C5A">
            <w:pPr>
              <w:rPr>
                <w:rFonts w:eastAsia="Cambria"/>
                <w:color w:val="000000"/>
                <w:sz w:val="22"/>
                <w:szCs w:val="22"/>
              </w:rPr>
            </w:pPr>
          </w:p>
        </w:tc>
        <w:tc>
          <w:tcPr>
            <w:tcW w:w="589"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002"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000"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12"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13"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55" w:type="dxa"/>
            <w:tcBorders>
              <w:left w:val="nil"/>
            </w:tcBorders>
            <w:shd w:val="clear" w:color="auto" w:fill="auto"/>
            <w:vAlign w:val="center"/>
          </w:tcPr>
          <w:p w:rsidR="006B7833" w:rsidRPr="002E54A2" w:rsidRDefault="006B7833" w:rsidP="00577C5A">
            <w:pPr>
              <w:jc w:val="center"/>
              <w:rPr>
                <w:rFonts w:eastAsia="Cambria"/>
                <w:color w:val="000000"/>
                <w:sz w:val="22"/>
                <w:szCs w:val="22"/>
              </w:rPr>
            </w:pPr>
          </w:p>
        </w:tc>
      </w:tr>
      <w:tr w:rsidR="008D5462" w:rsidRPr="006A3515" w:rsidTr="00F8034E">
        <w:trPr>
          <w:trHeight w:val="626"/>
        </w:trPr>
        <w:tc>
          <w:tcPr>
            <w:tcW w:w="1197" w:type="dxa"/>
            <w:tcBorders>
              <w:right w:val="nil"/>
            </w:tcBorders>
            <w:shd w:val="clear" w:color="auto" w:fill="auto"/>
            <w:vAlign w:val="center"/>
          </w:tcPr>
          <w:p w:rsidR="008D5462" w:rsidRPr="002E54A2" w:rsidRDefault="008D5462" w:rsidP="00577C5A">
            <w:pPr>
              <w:jc w:val="center"/>
              <w:rPr>
                <w:rFonts w:eastAsia="Cambria"/>
                <w:color w:val="000000"/>
                <w:sz w:val="22"/>
                <w:szCs w:val="22"/>
              </w:rPr>
            </w:pPr>
            <w:r w:rsidRPr="002E54A2">
              <w:rPr>
                <w:rFonts w:eastAsia="Cambria"/>
                <w:color w:val="000000"/>
                <w:sz w:val="22"/>
                <w:szCs w:val="22"/>
              </w:rPr>
              <w:t>Turfgrass</w:t>
            </w:r>
          </w:p>
          <w:p w:rsidR="008D5462" w:rsidRPr="002E54A2" w:rsidRDefault="008D5462" w:rsidP="00577C5A">
            <w:pPr>
              <w:jc w:val="center"/>
              <w:rPr>
                <w:rFonts w:eastAsia="Cambria"/>
                <w:color w:val="000000"/>
                <w:sz w:val="22"/>
                <w:szCs w:val="22"/>
              </w:rPr>
            </w:pPr>
            <w:r w:rsidRPr="002E54A2">
              <w:rPr>
                <w:rFonts w:eastAsia="Cambria"/>
                <w:color w:val="000000"/>
                <w:sz w:val="22"/>
                <w:szCs w:val="22"/>
              </w:rPr>
              <w:t xml:space="preserve">Cover </w:t>
            </w:r>
          </w:p>
        </w:tc>
        <w:tc>
          <w:tcPr>
            <w:tcW w:w="1867" w:type="dxa"/>
            <w:tcBorders>
              <w:left w:val="nil"/>
              <w:right w:val="nil"/>
            </w:tcBorders>
            <w:shd w:val="clear" w:color="auto" w:fill="auto"/>
            <w:vAlign w:val="center"/>
          </w:tcPr>
          <w:p w:rsidR="008D5462" w:rsidRPr="002E54A2" w:rsidRDefault="008D5462" w:rsidP="00F8034E">
            <w:pPr>
              <w:rPr>
                <w:rFonts w:eastAsia="Cambria"/>
                <w:color w:val="000000"/>
                <w:sz w:val="22"/>
                <w:szCs w:val="22"/>
              </w:rPr>
            </w:pPr>
            <w:r w:rsidRPr="002E54A2">
              <w:rPr>
                <w:rFonts w:eastAsia="Cambria"/>
                <w:color w:val="000000"/>
                <w:sz w:val="22"/>
                <w:szCs w:val="22"/>
              </w:rPr>
              <w:t>Treatment</w:t>
            </w:r>
          </w:p>
        </w:tc>
        <w:tc>
          <w:tcPr>
            <w:tcW w:w="589" w:type="dxa"/>
            <w:tcBorders>
              <w:left w:val="nil"/>
              <w:righ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4</w:t>
            </w:r>
          </w:p>
        </w:tc>
        <w:tc>
          <w:tcPr>
            <w:tcW w:w="1002"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w:t>
            </w:r>
          </w:p>
        </w:tc>
        <w:tc>
          <w:tcPr>
            <w:tcW w:w="1000"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12"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13"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55" w:type="dxa"/>
            <w:tcBorders>
              <w:lef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r>
      <w:tr w:rsidR="006B7833" w:rsidRPr="006A3515" w:rsidTr="008D5462">
        <w:trPr>
          <w:trHeight w:val="313"/>
        </w:trPr>
        <w:tc>
          <w:tcPr>
            <w:tcW w:w="1197" w:type="dxa"/>
            <w:tcBorders>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867" w:type="dxa"/>
            <w:tcBorders>
              <w:left w:val="nil"/>
              <w:right w:val="nil"/>
            </w:tcBorders>
            <w:shd w:val="clear" w:color="auto" w:fill="auto"/>
            <w:vAlign w:val="center"/>
          </w:tcPr>
          <w:p w:rsidR="006B7833" w:rsidRPr="002E54A2" w:rsidRDefault="006B7833" w:rsidP="00577C5A">
            <w:pPr>
              <w:rPr>
                <w:rFonts w:eastAsia="Cambria"/>
                <w:color w:val="000000"/>
                <w:sz w:val="22"/>
                <w:szCs w:val="22"/>
              </w:rPr>
            </w:pPr>
          </w:p>
        </w:tc>
        <w:tc>
          <w:tcPr>
            <w:tcW w:w="589"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002"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000"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12"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13"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55" w:type="dxa"/>
            <w:tcBorders>
              <w:left w:val="nil"/>
            </w:tcBorders>
            <w:shd w:val="clear" w:color="auto" w:fill="auto"/>
            <w:vAlign w:val="center"/>
          </w:tcPr>
          <w:p w:rsidR="006B7833" w:rsidRPr="002E54A2" w:rsidRDefault="006B7833" w:rsidP="00577C5A">
            <w:pPr>
              <w:jc w:val="center"/>
              <w:rPr>
                <w:rFonts w:eastAsia="Cambria"/>
                <w:color w:val="000000"/>
                <w:sz w:val="22"/>
                <w:szCs w:val="22"/>
              </w:rPr>
            </w:pPr>
          </w:p>
        </w:tc>
      </w:tr>
      <w:tr w:rsidR="008D5462" w:rsidRPr="006A3515" w:rsidTr="00F8034E">
        <w:trPr>
          <w:trHeight w:val="626"/>
        </w:trPr>
        <w:tc>
          <w:tcPr>
            <w:tcW w:w="1197" w:type="dxa"/>
            <w:tcBorders>
              <w:right w:val="nil"/>
            </w:tcBorders>
            <w:shd w:val="clear" w:color="auto" w:fill="auto"/>
            <w:vAlign w:val="center"/>
          </w:tcPr>
          <w:p w:rsidR="008D5462" w:rsidRPr="002E54A2" w:rsidRDefault="008D5462" w:rsidP="00577C5A">
            <w:pPr>
              <w:jc w:val="center"/>
              <w:rPr>
                <w:rFonts w:eastAsia="Cambria"/>
                <w:color w:val="000000"/>
                <w:sz w:val="22"/>
                <w:szCs w:val="22"/>
              </w:rPr>
            </w:pPr>
            <w:r w:rsidRPr="002E54A2">
              <w:rPr>
                <w:rFonts w:eastAsia="Cambria"/>
                <w:color w:val="000000"/>
                <w:sz w:val="22"/>
                <w:szCs w:val="22"/>
              </w:rPr>
              <w:t>NDVI</w:t>
            </w:r>
          </w:p>
        </w:tc>
        <w:tc>
          <w:tcPr>
            <w:tcW w:w="1867" w:type="dxa"/>
            <w:tcBorders>
              <w:left w:val="nil"/>
              <w:right w:val="nil"/>
            </w:tcBorders>
            <w:shd w:val="clear" w:color="auto" w:fill="auto"/>
            <w:vAlign w:val="center"/>
          </w:tcPr>
          <w:p w:rsidR="008D5462" w:rsidRPr="002E54A2" w:rsidRDefault="008D5462" w:rsidP="00F8034E">
            <w:pPr>
              <w:rPr>
                <w:rFonts w:eastAsia="Cambria"/>
                <w:color w:val="000000"/>
                <w:sz w:val="22"/>
                <w:szCs w:val="22"/>
              </w:rPr>
            </w:pPr>
            <w:r w:rsidRPr="002E54A2">
              <w:rPr>
                <w:rFonts w:eastAsia="Cambria"/>
                <w:color w:val="000000"/>
                <w:sz w:val="22"/>
                <w:szCs w:val="22"/>
              </w:rPr>
              <w:t>Treatment</w:t>
            </w:r>
          </w:p>
        </w:tc>
        <w:tc>
          <w:tcPr>
            <w:tcW w:w="589" w:type="dxa"/>
            <w:tcBorders>
              <w:left w:val="nil"/>
              <w:righ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4</w:t>
            </w:r>
          </w:p>
        </w:tc>
        <w:tc>
          <w:tcPr>
            <w:tcW w:w="1002"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1000"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12"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13"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55" w:type="dxa"/>
            <w:tcBorders>
              <w:lef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r>
      <w:tr w:rsidR="006B7833" w:rsidRPr="006A3515" w:rsidTr="008D5462">
        <w:trPr>
          <w:trHeight w:val="313"/>
        </w:trPr>
        <w:tc>
          <w:tcPr>
            <w:tcW w:w="1197" w:type="dxa"/>
            <w:tcBorders>
              <w:bottom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867" w:type="dxa"/>
            <w:tcBorders>
              <w:left w:val="nil"/>
              <w:right w:val="nil"/>
            </w:tcBorders>
            <w:shd w:val="clear" w:color="auto" w:fill="auto"/>
            <w:vAlign w:val="center"/>
          </w:tcPr>
          <w:p w:rsidR="006B7833" w:rsidRPr="002E54A2" w:rsidRDefault="006B7833" w:rsidP="00577C5A">
            <w:pPr>
              <w:rPr>
                <w:rFonts w:eastAsia="Cambria"/>
                <w:color w:val="000000"/>
                <w:sz w:val="22"/>
                <w:szCs w:val="22"/>
              </w:rPr>
            </w:pPr>
          </w:p>
        </w:tc>
        <w:tc>
          <w:tcPr>
            <w:tcW w:w="589"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002"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1000"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12"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13" w:type="dxa"/>
            <w:tcBorders>
              <w:left w:val="nil"/>
              <w:right w:val="nil"/>
            </w:tcBorders>
            <w:shd w:val="clear" w:color="auto" w:fill="auto"/>
            <w:vAlign w:val="center"/>
          </w:tcPr>
          <w:p w:rsidR="006B7833" w:rsidRPr="002E54A2" w:rsidRDefault="006B7833" w:rsidP="00577C5A">
            <w:pPr>
              <w:jc w:val="center"/>
              <w:rPr>
                <w:rFonts w:eastAsia="Cambria"/>
                <w:color w:val="000000"/>
                <w:sz w:val="22"/>
                <w:szCs w:val="22"/>
              </w:rPr>
            </w:pPr>
          </w:p>
        </w:tc>
        <w:tc>
          <w:tcPr>
            <w:tcW w:w="955" w:type="dxa"/>
            <w:tcBorders>
              <w:left w:val="nil"/>
            </w:tcBorders>
            <w:shd w:val="clear" w:color="auto" w:fill="auto"/>
            <w:vAlign w:val="center"/>
          </w:tcPr>
          <w:p w:rsidR="006B7833" w:rsidRPr="002E54A2" w:rsidRDefault="006B7833" w:rsidP="00577C5A">
            <w:pPr>
              <w:jc w:val="center"/>
              <w:rPr>
                <w:rFonts w:eastAsia="Cambria"/>
                <w:color w:val="000000"/>
                <w:sz w:val="22"/>
                <w:szCs w:val="22"/>
              </w:rPr>
            </w:pPr>
          </w:p>
        </w:tc>
      </w:tr>
      <w:tr w:rsidR="008D5462" w:rsidRPr="006A3515" w:rsidTr="00F8034E">
        <w:trPr>
          <w:trHeight w:val="626"/>
        </w:trPr>
        <w:tc>
          <w:tcPr>
            <w:tcW w:w="1197" w:type="dxa"/>
            <w:tcBorders>
              <w:bottom w:val="single" w:sz="4" w:space="0" w:color="000000"/>
              <w:right w:val="nil"/>
            </w:tcBorders>
            <w:shd w:val="clear" w:color="auto" w:fill="auto"/>
            <w:vAlign w:val="center"/>
          </w:tcPr>
          <w:p w:rsidR="008D5462" w:rsidRPr="002E54A2" w:rsidRDefault="008D5462" w:rsidP="00577C5A">
            <w:pPr>
              <w:jc w:val="center"/>
              <w:rPr>
                <w:rFonts w:eastAsia="Cambria"/>
                <w:color w:val="000000"/>
                <w:sz w:val="22"/>
                <w:szCs w:val="22"/>
              </w:rPr>
            </w:pPr>
            <w:r w:rsidRPr="002E54A2">
              <w:rPr>
                <w:rFonts w:eastAsia="Cambria"/>
                <w:color w:val="000000"/>
                <w:sz w:val="22"/>
                <w:szCs w:val="22"/>
              </w:rPr>
              <w:t>RVI</w:t>
            </w:r>
          </w:p>
        </w:tc>
        <w:tc>
          <w:tcPr>
            <w:tcW w:w="1867" w:type="dxa"/>
            <w:tcBorders>
              <w:left w:val="nil"/>
              <w:right w:val="nil"/>
            </w:tcBorders>
            <w:shd w:val="clear" w:color="auto" w:fill="auto"/>
            <w:vAlign w:val="center"/>
          </w:tcPr>
          <w:p w:rsidR="008D5462" w:rsidRPr="002E54A2" w:rsidRDefault="008D5462" w:rsidP="00F8034E">
            <w:pPr>
              <w:rPr>
                <w:rFonts w:eastAsia="Cambria"/>
                <w:color w:val="000000"/>
                <w:sz w:val="22"/>
                <w:szCs w:val="22"/>
              </w:rPr>
            </w:pPr>
            <w:r w:rsidRPr="002E54A2">
              <w:rPr>
                <w:rFonts w:eastAsia="Cambria"/>
                <w:color w:val="000000"/>
                <w:sz w:val="22"/>
                <w:szCs w:val="22"/>
              </w:rPr>
              <w:t>Treatment</w:t>
            </w:r>
          </w:p>
        </w:tc>
        <w:tc>
          <w:tcPr>
            <w:tcW w:w="589" w:type="dxa"/>
            <w:tcBorders>
              <w:left w:val="nil"/>
              <w:right w:val="nil"/>
            </w:tcBorders>
            <w:shd w:val="clear" w:color="auto" w:fill="auto"/>
            <w:vAlign w:val="center"/>
          </w:tcPr>
          <w:p w:rsidR="008D5462" w:rsidRPr="002E54A2" w:rsidRDefault="008D5462" w:rsidP="00F8034E">
            <w:pPr>
              <w:jc w:val="center"/>
              <w:rPr>
                <w:rFonts w:eastAsia="Cambria"/>
                <w:sz w:val="22"/>
                <w:szCs w:val="22"/>
              </w:rPr>
            </w:pPr>
            <w:r w:rsidRPr="002E54A2">
              <w:rPr>
                <w:rFonts w:eastAsia="Cambria"/>
                <w:color w:val="000000"/>
                <w:sz w:val="22"/>
                <w:szCs w:val="22"/>
              </w:rPr>
              <w:t>4</w:t>
            </w:r>
          </w:p>
        </w:tc>
        <w:tc>
          <w:tcPr>
            <w:tcW w:w="1002"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1000"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12"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13" w:type="dxa"/>
            <w:tcBorders>
              <w:left w:val="nil"/>
              <w:righ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c>
          <w:tcPr>
            <w:tcW w:w="955" w:type="dxa"/>
            <w:tcBorders>
              <w:left w:val="nil"/>
            </w:tcBorders>
            <w:shd w:val="clear" w:color="auto" w:fill="auto"/>
            <w:vAlign w:val="center"/>
          </w:tcPr>
          <w:p w:rsidR="008D5462" w:rsidRPr="002E54A2" w:rsidRDefault="008D5462" w:rsidP="00F8034E">
            <w:pPr>
              <w:jc w:val="center"/>
              <w:rPr>
                <w:rFonts w:eastAsia="Cambria"/>
                <w:color w:val="000000"/>
                <w:sz w:val="22"/>
                <w:szCs w:val="22"/>
              </w:rPr>
            </w:pPr>
            <w:r w:rsidRPr="002E54A2">
              <w:rPr>
                <w:rFonts w:eastAsia="Cambria"/>
                <w:color w:val="000000"/>
                <w:sz w:val="22"/>
                <w:szCs w:val="22"/>
              </w:rPr>
              <w:t>NS</w:t>
            </w:r>
          </w:p>
        </w:tc>
      </w:tr>
      <w:tr w:rsidR="006B7833" w:rsidRPr="006A3515" w:rsidTr="00743AAB">
        <w:trPr>
          <w:trHeight w:val="248"/>
        </w:trPr>
        <w:tc>
          <w:tcPr>
            <w:tcW w:w="8435" w:type="dxa"/>
            <w:gridSpan w:val="8"/>
            <w:tcBorders>
              <w:top w:val="single" w:sz="4" w:space="0" w:color="auto"/>
              <w:bottom w:val="nil"/>
            </w:tcBorders>
            <w:shd w:val="clear" w:color="auto" w:fill="auto"/>
            <w:vAlign w:val="center"/>
          </w:tcPr>
          <w:p w:rsidR="006B7833" w:rsidRPr="00577C5A" w:rsidRDefault="00E760FD" w:rsidP="00E760FD">
            <w:pPr>
              <w:rPr>
                <w:rFonts w:eastAsia="Cambria"/>
                <w:color w:val="000000"/>
                <w:sz w:val="20"/>
                <w:szCs w:val="20"/>
              </w:rPr>
            </w:pPr>
            <w:r w:rsidRPr="00E760FD">
              <w:rPr>
                <w:rFonts w:eastAsia="Cambria"/>
                <w:color w:val="000000"/>
                <w:sz w:val="20"/>
                <w:szCs w:val="20"/>
              </w:rPr>
              <w:t>*</w:t>
            </w:r>
            <w:r>
              <w:rPr>
                <w:rFonts w:eastAsia="Cambria"/>
                <w:color w:val="000000"/>
                <w:sz w:val="20"/>
                <w:szCs w:val="20"/>
              </w:rPr>
              <w:t xml:space="preserve"> </w:t>
            </w:r>
            <w:r w:rsidR="006B7833" w:rsidRPr="00577C5A">
              <w:rPr>
                <w:rFonts w:eastAsia="Cambria"/>
                <w:color w:val="000000"/>
                <w:sz w:val="20"/>
                <w:szCs w:val="20"/>
              </w:rPr>
              <w:t>Significant at the p ≤ 0.05 level.</w:t>
            </w:r>
          </w:p>
        </w:tc>
      </w:tr>
      <w:tr w:rsidR="00577C5A" w:rsidRPr="006A3515" w:rsidTr="00743AAB">
        <w:trPr>
          <w:trHeight w:val="248"/>
        </w:trPr>
        <w:tc>
          <w:tcPr>
            <w:tcW w:w="8435" w:type="dxa"/>
            <w:gridSpan w:val="8"/>
            <w:tcBorders>
              <w:top w:val="nil"/>
            </w:tcBorders>
            <w:shd w:val="clear" w:color="auto" w:fill="auto"/>
            <w:vAlign w:val="center"/>
          </w:tcPr>
          <w:p w:rsidR="00577C5A" w:rsidRPr="00577C5A" w:rsidRDefault="00577C5A" w:rsidP="00E760FD">
            <w:pPr>
              <w:rPr>
                <w:rFonts w:eastAsia="Cambria"/>
                <w:color w:val="000000"/>
                <w:sz w:val="20"/>
                <w:szCs w:val="20"/>
              </w:rPr>
            </w:pPr>
            <w:r w:rsidRPr="00577C5A">
              <w:rPr>
                <w:rFonts w:eastAsia="Cambria"/>
                <w:color w:val="000000"/>
                <w:sz w:val="20"/>
                <w:szCs w:val="20"/>
              </w:rPr>
              <w:t>†</w:t>
            </w:r>
            <w:r w:rsidR="00E760FD">
              <w:rPr>
                <w:rFonts w:eastAsia="Cambria"/>
                <w:color w:val="000000"/>
                <w:sz w:val="20"/>
                <w:szCs w:val="20"/>
              </w:rPr>
              <w:t xml:space="preserve"> </w:t>
            </w:r>
            <w:r w:rsidRPr="00577C5A">
              <w:rPr>
                <w:rFonts w:eastAsia="Cambria"/>
                <w:color w:val="000000"/>
                <w:sz w:val="20"/>
                <w:szCs w:val="20"/>
              </w:rPr>
              <w:t>NS</w:t>
            </w:r>
            <w:r w:rsidR="00E760FD">
              <w:rPr>
                <w:rFonts w:eastAsia="Cambria"/>
                <w:color w:val="000000"/>
                <w:sz w:val="20"/>
                <w:szCs w:val="20"/>
              </w:rPr>
              <w:t>,</w:t>
            </w:r>
            <w:r w:rsidRPr="00577C5A">
              <w:rPr>
                <w:rFonts w:eastAsia="Cambria"/>
                <w:color w:val="000000"/>
                <w:sz w:val="20"/>
                <w:szCs w:val="20"/>
              </w:rPr>
              <w:t xml:space="preserve"> not significant.</w:t>
            </w:r>
          </w:p>
        </w:tc>
      </w:tr>
    </w:tbl>
    <w:p w:rsidR="006B7833" w:rsidRPr="00AC4A70" w:rsidRDefault="006B7833" w:rsidP="006B7833"/>
    <w:p w:rsidR="006B7833" w:rsidRDefault="006B7833" w:rsidP="006B7833">
      <w:pPr>
        <w:pStyle w:val="Caption"/>
        <w:jc w:val="center"/>
        <w:rPr>
          <w:sz w:val="32"/>
          <w:szCs w:val="32"/>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B16F2A" w:rsidRDefault="00B16F2A" w:rsidP="00B16F2A"/>
    <w:p w:rsidR="00B16F2A" w:rsidRDefault="00B16F2A" w:rsidP="00B16F2A"/>
    <w:p w:rsidR="00B16F2A" w:rsidRDefault="00B16F2A" w:rsidP="00B16F2A"/>
    <w:p w:rsidR="00B16F2A" w:rsidRDefault="00B16F2A" w:rsidP="00B16F2A"/>
    <w:p w:rsidR="00B16F2A" w:rsidRDefault="00B16F2A" w:rsidP="00B16F2A"/>
    <w:p w:rsidR="00B16F2A" w:rsidRDefault="00B16F2A" w:rsidP="00B16F2A"/>
    <w:p w:rsidR="00B16F2A" w:rsidRPr="00B16F2A" w:rsidRDefault="00B16F2A" w:rsidP="00B16F2A"/>
    <w:p w:rsidR="006B7833" w:rsidRDefault="006B7833" w:rsidP="006B7833">
      <w:pPr>
        <w:pStyle w:val="Caption"/>
        <w:jc w:val="center"/>
        <w:rPr>
          <w:rFonts w:ascii="Arial" w:hAnsi="Arial" w:cs="Arial"/>
          <w:sz w:val="24"/>
        </w:rPr>
      </w:pPr>
    </w:p>
    <w:p w:rsidR="00C071C1" w:rsidRPr="00C071C1" w:rsidRDefault="00C071C1" w:rsidP="00C071C1"/>
    <w:tbl>
      <w:tblPr>
        <w:tblpPr w:leftFromText="180" w:rightFromText="180" w:vertAnchor="text" w:horzAnchor="margin" w:tblpY="359"/>
        <w:tblW w:w="8335" w:type="dxa"/>
        <w:tblBorders>
          <w:right w:val="single" w:sz="4" w:space="0" w:color="000000"/>
        </w:tblBorders>
        <w:tblLook w:val="04A0"/>
      </w:tblPr>
      <w:tblGrid>
        <w:gridCol w:w="1601"/>
        <w:gridCol w:w="2315"/>
        <w:gridCol w:w="1264"/>
        <w:gridCol w:w="1014"/>
        <w:gridCol w:w="996"/>
        <w:gridCol w:w="1145"/>
      </w:tblGrid>
      <w:tr w:rsidR="00B16F2A" w:rsidRPr="006A3515" w:rsidTr="00743AAB">
        <w:trPr>
          <w:trHeight w:val="304"/>
        </w:trPr>
        <w:tc>
          <w:tcPr>
            <w:tcW w:w="8335" w:type="dxa"/>
            <w:gridSpan w:val="6"/>
            <w:tcBorders>
              <w:bottom w:val="single" w:sz="4" w:space="0" w:color="000000"/>
              <w:right w:val="nil"/>
            </w:tcBorders>
            <w:shd w:val="clear" w:color="auto" w:fill="auto"/>
            <w:vAlign w:val="center"/>
          </w:tcPr>
          <w:p w:rsidR="00B16F2A" w:rsidRPr="00051556" w:rsidRDefault="00577C44" w:rsidP="00051556">
            <w:pPr>
              <w:pStyle w:val="Heading2"/>
              <w:jc w:val="left"/>
              <w:rPr>
                <w:rFonts w:eastAsia="Calibri"/>
                <w:sz w:val="23"/>
                <w:szCs w:val="23"/>
              </w:rPr>
            </w:pPr>
            <w:bookmarkStart w:id="73" w:name="_Toc353890896"/>
            <w:bookmarkStart w:id="74" w:name="_Toc353892637"/>
            <w:r w:rsidRPr="00051556">
              <w:rPr>
                <w:rFonts w:eastAsia="Calibri"/>
                <w:sz w:val="23"/>
                <w:szCs w:val="23"/>
              </w:rPr>
              <w:lastRenderedPageBreak/>
              <w:t>Table 2.3. Analysis of area under the (X) progress c</w:t>
            </w:r>
            <w:r w:rsidR="00B16F2A" w:rsidRPr="00051556">
              <w:rPr>
                <w:rFonts w:eastAsia="Calibri"/>
                <w:sz w:val="23"/>
                <w:szCs w:val="23"/>
              </w:rPr>
              <w:t>urve</w:t>
            </w:r>
            <w:r w:rsidRPr="00051556">
              <w:rPr>
                <w:rFonts w:eastAsia="Calibri"/>
                <w:sz w:val="23"/>
                <w:szCs w:val="23"/>
              </w:rPr>
              <w:t xml:space="preserve"> for visual turfgrass quality, normalized difference vegetation index (NDVI), and ratio vegetation i</w:t>
            </w:r>
            <w:r w:rsidR="00B16F2A" w:rsidRPr="00051556">
              <w:rPr>
                <w:rFonts w:eastAsia="Calibri"/>
                <w:sz w:val="23"/>
                <w:szCs w:val="23"/>
              </w:rPr>
              <w:t xml:space="preserve">ndex (RVI), and percent turfgrass cover </w:t>
            </w:r>
            <w:r w:rsidR="005D39D6" w:rsidRPr="00051556">
              <w:rPr>
                <w:rFonts w:eastAsia="Calibri"/>
                <w:sz w:val="23"/>
                <w:szCs w:val="23"/>
              </w:rPr>
              <w:t>following applications of various</w:t>
            </w:r>
            <w:r w:rsidR="00B16F2A" w:rsidRPr="00051556">
              <w:rPr>
                <w:rFonts w:eastAsia="Calibri"/>
                <w:sz w:val="23"/>
                <w:szCs w:val="23"/>
              </w:rPr>
              <w:t xml:space="preserve"> strobilurin fungicide programs </w:t>
            </w:r>
            <w:r w:rsidR="005D39D6" w:rsidRPr="00051556">
              <w:rPr>
                <w:rFonts w:eastAsia="Calibri"/>
                <w:sz w:val="23"/>
                <w:szCs w:val="23"/>
              </w:rPr>
              <w:t xml:space="preserve">in </w:t>
            </w:r>
            <w:r w:rsidR="00B16F2A" w:rsidRPr="00051556">
              <w:rPr>
                <w:rFonts w:eastAsia="Calibri"/>
                <w:sz w:val="23"/>
                <w:szCs w:val="23"/>
              </w:rPr>
              <w:t>2011 and 2012</w:t>
            </w:r>
            <w:r w:rsidRPr="00051556">
              <w:rPr>
                <w:rFonts w:eastAsia="Calibri"/>
                <w:sz w:val="23"/>
                <w:szCs w:val="23"/>
              </w:rPr>
              <w:t xml:space="preserve"> in Strawberry Plains, TN, on </w:t>
            </w:r>
            <w:r w:rsidR="00D04762" w:rsidRPr="00051556">
              <w:rPr>
                <w:rFonts w:eastAsia="Calibri"/>
                <w:sz w:val="23"/>
                <w:szCs w:val="23"/>
              </w:rPr>
              <w:t xml:space="preserve">a </w:t>
            </w:r>
            <w:r w:rsidRPr="00051556">
              <w:rPr>
                <w:rFonts w:eastAsia="Calibri"/>
                <w:sz w:val="23"/>
                <w:szCs w:val="23"/>
              </w:rPr>
              <w:t>‘Dominant Southern’ creeping bentgrass</w:t>
            </w:r>
            <w:r w:rsidR="0086415C" w:rsidRPr="00051556">
              <w:rPr>
                <w:rFonts w:eastAsia="Calibri"/>
                <w:sz w:val="23"/>
                <w:szCs w:val="23"/>
              </w:rPr>
              <w:t xml:space="preserve"> (</w:t>
            </w:r>
            <w:r w:rsidR="0086415C" w:rsidRPr="00051556">
              <w:rPr>
                <w:rFonts w:eastAsia="Calibri"/>
                <w:i/>
                <w:sz w:val="23"/>
                <w:szCs w:val="23"/>
              </w:rPr>
              <w:t>Agrostis stolonifera</w:t>
            </w:r>
            <w:r w:rsidR="0086415C" w:rsidRPr="00051556">
              <w:rPr>
                <w:rFonts w:eastAsia="Calibri"/>
                <w:sz w:val="23"/>
                <w:szCs w:val="23"/>
              </w:rPr>
              <w:t xml:space="preserve"> L.)</w:t>
            </w:r>
            <w:r w:rsidR="00D04762" w:rsidRPr="00051556">
              <w:rPr>
                <w:rFonts w:eastAsia="Calibri"/>
                <w:sz w:val="23"/>
                <w:szCs w:val="23"/>
              </w:rPr>
              <w:t xml:space="preserve"> putting green</w:t>
            </w:r>
            <w:r w:rsidR="00B16F2A" w:rsidRPr="00051556">
              <w:rPr>
                <w:rFonts w:eastAsia="Calibri"/>
                <w:sz w:val="23"/>
                <w:szCs w:val="23"/>
              </w:rPr>
              <w:t>.</w:t>
            </w:r>
            <w:bookmarkEnd w:id="73"/>
            <w:bookmarkEnd w:id="74"/>
            <w:r w:rsidR="00B16F2A" w:rsidRPr="00051556">
              <w:rPr>
                <w:rFonts w:eastAsia="Calibri"/>
                <w:sz w:val="23"/>
                <w:szCs w:val="23"/>
              </w:rPr>
              <w:t xml:space="preserve">  </w:t>
            </w:r>
          </w:p>
        </w:tc>
      </w:tr>
      <w:tr w:rsidR="00B16F2A" w:rsidRPr="006A3515" w:rsidTr="00743AAB">
        <w:trPr>
          <w:trHeight w:val="280"/>
        </w:trPr>
        <w:tc>
          <w:tcPr>
            <w:tcW w:w="1606" w:type="dxa"/>
            <w:vMerge w:val="restart"/>
            <w:tcBorders>
              <w:top w:val="single" w:sz="4" w:space="0" w:color="000000"/>
            </w:tcBorders>
            <w:shd w:val="clear" w:color="auto" w:fill="auto"/>
            <w:vAlign w:val="center"/>
          </w:tcPr>
          <w:p w:rsidR="00B16F2A" w:rsidRPr="00777DF2" w:rsidRDefault="00B16F2A" w:rsidP="009B75E1">
            <w:pPr>
              <w:jc w:val="center"/>
              <w:rPr>
                <w:rFonts w:eastAsia="Cambria"/>
                <w:b/>
                <w:sz w:val="22"/>
                <w:szCs w:val="22"/>
              </w:rPr>
            </w:pPr>
            <w:r w:rsidRPr="00777DF2">
              <w:rPr>
                <w:rFonts w:eastAsia="Cambria"/>
                <w:b/>
                <w:sz w:val="22"/>
                <w:szCs w:val="22"/>
              </w:rPr>
              <w:t>Experimental year</w:t>
            </w:r>
          </w:p>
        </w:tc>
        <w:tc>
          <w:tcPr>
            <w:tcW w:w="2361" w:type="dxa"/>
            <w:vMerge w:val="restart"/>
            <w:tcBorders>
              <w:top w:val="single" w:sz="4" w:space="0" w:color="000000"/>
            </w:tcBorders>
            <w:shd w:val="clear" w:color="auto" w:fill="auto"/>
            <w:vAlign w:val="center"/>
          </w:tcPr>
          <w:p w:rsidR="00B16F2A" w:rsidRPr="00777DF2" w:rsidRDefault="00B16F2A" w:rsidP="009B75E1">
            <w:pPr>
              <w:tabs>
                <w:tab w:val="left" w:pos="1780"/>
              </w:tabs>
              <w:ind w:left="-50"/>
              <w:jc w:val="center"/>
              <w:rPr>
                <w:rFonts w:eastAsia="Cambria"/>
                <w:b/>
                <w:sz w:val="22"/>
                <w:szCs w:val="22"/>
              </w:rPr>
            </w:pPr>
            <w:r w:rsidRPr="00777DF2">
              <w:rPr>
                <w:rFonts w:eastAsia="Cambria"/>
                <w:b/>
                <w:sz w:val="22"/>
                <w:szCs w:val="22"/>
              </w:rPr>
              <w:t>Fungicide</w:t>
            </w:r>
          </w:p>
          <w:p w:rsidR="00B16F2A" w:rsidRPr="00777DF2" w:rsidRDefault="00B16F2A" w:rsidP="009B75E1">
            <w:pPr>
              <w:tabs>
                <w:tab w:val="left" w:pos="1780"/>
              </w:tabs>
              <w:ind w:left="-50"/>
              <w:jc w:val="center"/>
              <w:rPr>
                <w:rFonts w:eastAsia="Cambria"/>
                <w:b/>
                <w:sz w:val="22"/>
                <w:szCs w:val="22"/>
              </w:rPr>
            </w:pPr>
            <w:r w:rsidRPr="00777DF2">
              <w:rPr>
                <w:rFonts w:eastAsia="Cambria"/>
                <w:b/>
                <w:sz w:val="22"/>
                <w:szCs w:val="22"/>
              </w:rPr>
              <w:t>Program</w:t>
            </w:r>
          </w:p>
        </w:tc>
        <w:tc>
          <w:tcPr>
            <w:tcW w:w="4368" w:type="dxa"/>
            <w:gridSpan w:val="4"/>
            <w:tcBorders>
              <w:top w:val="single" w:sz="4" w:space="0" w:color="000000"/>
              <w:bottom w:val="single" w:sz="4" w:space="0" w:color="000000"/>
              <w:right w:val="nil"/>
            </w:tcBorders>
            <w:shd w:val="clear" w:color="auto" w:fill="auto"/>
            <w:vAlign w:val="center"/>
          </w:tcPr>
          <w:p w:rsidR="00B16F2A" w:rsidRPr="00777DF2" w:rsidRDefault="00B16F2A" w:rsidP="009B75E1">
            <w:pPr>
              <w:jc w:val="center"/>
              <w:rPr>
                <w:rFonts w:eastAsia="Cambria"/>
                <w:b/>
                <w:sz w:val="22"/>
                <w:szCs w:val="22"/>
              </w:rPr>
            </w:pPr>
            <w:r w:rsidRPr="00777DF2">
              <w:rPr>
                <w:rFonts w:eastAsia="Cambria"/>
                <w:b/>
                <w:sz w:val="22"/>
                <w:szCs w:val="22"/>
              </w:rPr>
              <w:t>Area Under the (X) Progress Curve</w:t>
            </w:r>
          </w:p>
        </w:tc>
      </w:tr>
      <w:tr w:rsidR="00B16F2A" w:rsidRPr="006A3515" w:rsidTr="00743AAB">
        <w:trPr>
          <w:trHeight w:val="489"/>
        </w:trPr>
        <w:tc>
          <w:tcPr>
            <w:tcW w:w="1606" w:type="dxa"/>
            <w:vMerge/>
            <w:tcBorders>
              <w:bottom w:val="single" w:sz="4" w:space="0" w:color="000000"/>
            </w:tcBorders>
            <w:shd w:val="clear" w:color="auto" w:fill="auto"/>
            <w:vAlign w:val="center"/>
          </w:tcPr>
          <w:p w:rsidR="00B16F2A" w:rsidRPr="00777DF2" w:rsidRDefault="00B16F2A" w:rsidP="009B75E1">
            <w:pPr>
              <w:jc w:val="center"/>
              <w:rPr>
                <w:rFonts w:eastAsia="Cambria"/>
                <w:b/>
                <w:sz w:val="22"/>
                <w:szCs w:val="22"/>
              </w:rPr>
            </w:pPr>
          </w:p>
        </w:tc>
        <w:tc>
          <w:tcPr>
            <w:tcW w:w="2361" w:type="dxa"/>
            <w:vMerge/>
            <w:tcBorders>
              <w:bottom w:val="single" w:sz="4" w:space="0" w:color="000000"/>
            </w:tcBorders>
            <w:shd w:val="clear" w:color="auto" w:fill="auto"/>
            <w:vAlign w:val="center"/>
          </w:tcPr>
          <w:p w:rsidR="00B16F2A" w:rsidRPr="00777DF2" w:rsidRDefault="00B16F2A" w:rsidP="009B75E1">
            <w:pPr>
              <w:tabs>
                <w:tab w:val="left" w:pos="1780"/>
              </w:tabs>
              <w:ind w:left="-50"/>
              <w:jc w:val="center"/>
              <w:rPr>
                <w:rFonts w:eastAsia="Cambria"/>
                <w:b/>
                <w:sz w:val="22"/>
                <w:szCs w:val="22"/>
              </w:rPr>
            </w:pPr>
          </w:p>
        </w:tc>
        <w:tc>
          <w:tcPr>
            <w:tcW w:w="1271" w:type="dxa"/>
            <w:tcBorders>
              <w:bottom w:val="single" w:sz="4" w:space="0" w:color="000000"/>
            </w:tcBorders>
            <w:shd w:val="clear" w:color="auto" w:fill="auto"/>
            <w:vAlign w:val="center"/>
          </w:tcPr>
          <w:p w:rsidR="00B16F2A" w:rsidRPr="00777DF2" w:rsidRDefault="00B16F2A" w:rsidP="009B75E1">
            <w:pPr>
              <w:jc w:val="center"/>
              <w:rPr>
                <w:rFonts w:eastAsia="Cambria"/>
                <w:b/>
                <w:sz w:val="22"/>
                <w:szCs w:val="22"/>
              </w:rPr>
            </w:pPr>
            <w:r w:rsidRPr="00777DF2">
              <w:rPr>
                <w:rFonts w:eastAsia="Cambria"/>
                <w:b/>
                <w:sz w:val="22"/>
                <w:szCs w:val="22"/>
              </w:rPr>
              <w:t>Turfgrass quality</w:t>
            </w:r>
          </w:p>
        </w:tc>
        <w:tc>
          <w:tcPr>
            <w:tcW w:w="1027" w:type="dxa"/>
            <w:tcBorders>
              <w:bottom w:val="single" w:sz="4" w:space="0" w:color="000000"/>
            </w:tcBorders>
            <w:shd w:val="clear" w:color="auto" w:fill="auto"/>
            <w:vAlign w:val="center"/>
          </w:tcPr>
          <w:p w:rsidR="00B16F2A" w:rsidRPr="00777DF2" w:rsidRDefault="00B16F2A" w:rsidP="009B75E1">
            <w:pPr>
              <w:jc w:val="center"/>
              <w:rPr>
                <w:rFonts w:eastAsia="Cambria"/>
                <w:b/>
                <w:sz w:val="22"/>
                <w:szCs w:val="22"/>
              </w:rPr>
            </w:pPr>
            <w:r w:rsidRPr="00777DF2">
              <w:rPr>
                <w:rFonts w:eastAsia="Cambria"/>
                <w:b/>
                <w:sz w:val="22"/>
                <w:szCs w:val="22"/>
              </w:rPr>
              <w:t>NDVI</w:t>
            </w:r>
          </w:p>
        </w:tc>
        <w:tc>
          <w:tcPr>
            <w:tcW w:w="1012" w:type="dxa"/>
            <w:tcBorders>
              <w:bottom w:val="single" w:sz="4" w:space="0" w:color="000000"/>
            </w:tcBorders>
            <w:shd w:val="clear" w:color="auto" w:fill="auto"/>
            <w:vAlign w:val="center"/>
          </w:tcPr>
          <w:p w:rsidR="00B16F2A" w:rsidRPr="00777DF2" w:rsidRDefault="00B16F2A" w:rsidP="009B75E1">
            <w:pPr>
              <w:jc w:val="center"/>
              <w:rPr>
                <w:rFonts w:eastAsia="Cambria"/>
                <w:b/>
                <w:sz w:val="22"/>
                <w:szCs w:val="22"/>
              </w:rPr>
            </w:pPr>
            <w:r w:rsidRPr="00777DF2">
              <w:rPr>
                <w:rFonts w:eastAsia="Cambria"/>
                <w:b/>
                <w:sz w:val="22"/>
                <w:szCs w:val="22"/>
              </w:rPr>
              <w:t>RVI</w:t>
            </w:r>
          </w:p>
        </w:tc>
        <w:tc>
          <w:tcPr>
            <w:tcW w:w="1058" w:type="dxa"/>
            <w:tcBorders>
              <w:bottom w:val="single" w:sz="4" w:space="0" w:color="000000"/>
              <w:right w:val="nil"/>
            </w:tcBorders>
            <w:shd w:val="clear" w:color="auto" w:fill="auto"/>
            <w:vAlign w:val="center"/>
          </w:tcPr>
          <w:p w:rsidR="00B16F2A" w:rsidRPr="00777DF2" w:rsidRDefault="00B16F2A" w:rsidP="009B75E1">
            <w:pPr>
              <w:jc w:val="center"/>
              <w:rPr>
                <w:rFonts w:eastAsia="Cambria"/>
                <w:b/>
                <w:sz w:val="22"/>
                <w:szCs w:val="22"/>
              </w:rPr>
            </w:pPr>
            <w:r w:rsidRPr="00777DF2">
              <w:rPr>
                <w:rFonts w:eastAsia="Cambria"/>
                <w:b/>
                <w:sz w:val="22"/>
                <w:szCs w:val="22"/>
              </w:rPr>
              <w:t>Turfgrass cover</w:t>
            </w:r>
          </w:p>
        </w:tc>
      </w:tr>
      <w:tr w:rsidR="00B16F2A" w:rsidRPr="006A3515" w:rsidTr="00743AAB">
        <w:trPr>
          <w:trHeight w:val="306"/>
        </w:trPr>
        <w:tc>
          <w:tcPr>
            <w:tcW w:w="1606" w:type="dxa"/>
            <w:tcBorders>
              <w:top w:val="single" w:sz="4" w:space="0" w:color="000000"/>
            </w:tcBorders>
            <w:shd w:val="clear" w:color="auto" w:fill="auto"/>
            <w:vAlign w:val="center"/>
          </w:tcPr>
          <w:p w:rsidR="00B16F2A" w:rsidRPr="00777DF2" w:rsidRDefault="00B16F2A" w:rsidP="009B75E1">
            <w:pPr>
              <w:rPr>
                <w:rFonts w:eastAsia="Cambria"/>
                <w:sz w:val="22"/>
                <w:szCs w:val="22"/>
              </w:rPr>
            </w:pPr>
            <w:r w:rsidRPr="00777DF2">
              <w:rPr>
                <w:rFonts w:eastAsia="Cambria"/>
                <w:sz w:val="22"/>
                <w:szCs w:val="22"/>
              </w:rPr>
              <w:t>2011</w:t>
            </w:r>
          </w:p>
        </w:tc>
        <w:tc>
          <w:tcPr>
            <w:tcW w:w="2361" w:type="dxa"/>
            <w:tcBorders>
              <w:top w:val="single" w:sz="4" w:space="0" w:color="000000"/>
            </w:tcBorders>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Trifloxystrobin</w:t>
            </w:r>
          </w:p>
        </w:tc>
        <w:tc>
          <w:tcPr>
            <w:tcW w:w="1271" w:type="dxa"/>
            <w:tcBorders>
              <w:top w:val="single" w:sz="4" w:space="0" w:color="000000"/>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388.3</w:t>
            </w:r>
          </w:p>
        </w:tc>
        <w:tc>
          <w:tcPr>
            <w:tcW w:w="1027" w:type="dxa"/>
            <w:tcBorders>
              <w:top w:val="single" w:sz="4" w:space="0" w:color="000000"/>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38.2</w:t>
            </w:r>
          </w:p>
        </w:tc>
        <w:tc>
          <w:tcPr>
            <w:tcW w:w="1012" w:type="dxa"/>
            <w:tcBorders>
              <w:top w:val="single" w:sz="4" w:space="0" w:color="000000"/>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304.9</w:t>
            </w:r>
          </w:p>
        </w:tc>
        <w:tc>
          <w:tcPr>
            <w:tcW w:w="1058" w:type="dxa"/>
            <w:tcBorders>
              <w:top w:val="single" w:sz="4" w:space="0" w:color="000000"/>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5579.4</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Fluoxastrobin</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391.3</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38.9</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317.1</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5584.6</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 xml:space="preserve">Pyraclostrobin </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390.6</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38.4</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306.8</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5584.8</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 xml:space="preserve">Azoxystrobin </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390.9</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38.8</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315.6</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5583.3</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Untreated check</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389.4</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38.6</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312.6</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5583.9</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sz w:val="22"/>
                <w:szCs w:val="22"/>
              </w:rPr>
              <w:t>LSD</w:t>
            </w:r>
            <w:r w:rsidRPr="00777DF2">
              <w:rPr>
                <w:rFonts w:eastAsia="Cambria"/>
                <w:sz w:val="22"/>
                <w:szCs w:val="22"/>
                <w:vertAlign w:val="subscript"/>
              </w:rPr>
              <w:t>0.05</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NS</w:t>
            </w:r>
            <w:r w:rsidRPr="00C52984">
              <w:rPr>
                <w:rFonts w:eastAsia="Cambria"/>
                <w:color w:val="000000"/>
                <w:sz w:val="22"/>
                <w:szCs w:val="22"/>
                <w:vertAlign w:val="superscript"/>
              </w:rPr>
              <w:t>†</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NS</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NS</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NS</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r w:rsidRPr="00777DF2">
              <w:rPr>
                <w:rFonts w:eastAsia="Cambria"/>
                <w:sz w:val="22"/>
                <w:szCs w:val="22"/>
              </w:rPr>
              <w:t>2012</w:t>
            </w: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Trifloxystrobin</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388.9</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38.8</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315.2</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5145.0</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Fluoxastrobin</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390.3</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38.8</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313.1</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5325.2</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Pyraclostrobin</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390.3</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39.2</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322.1</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5541.0</w:t>
            </w:r>
          </w:p>
        </w:tc>
      </w:tr>
      <w:tr w:rsidR="00B16F2A" w:rsidRPr="006A3515" w:rsidTr="00743AAB">
        <w:trPr>
          <w:trHeight w:val="306"/>
        </w:trPr>
        <w:tc>
          <w:tcPr>
            <w:tcW w:w="1606" w:type="dxa"/>
            <w:shd w:val="clear" w:color="auto" w:fill="auto"/>
            <w:vAlign w:val="center"/>
          </w:tcPr>
          <w:p w:rsidR="00B16F2A" w:rsidRPr="00777DF2" w:rsidRDefault="00B16F2A" w:rsidP="009B75E1">
            <w:pPr>
              <w:rPr>
                <w:rFonts w:eastAsia="Cambria"/>
                <w:sz w:val="22"/>
                <w:szCs w:val="22"/>
              </w:rPr>
            </w:pPr>
          </w:p>
        </w:tc>
        <w:tc>
          <w:tcPr>
            <w:tcW w:w="2361" w:type="dxa"/>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Azoxystrobin</w:t>
            </w:r>
          </w:p>
        </w:tc>
        <w:tc>
          <w:tcPr>
            <w:tcW w:w="1271"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390.8</w:t>
            </w:r>
          </w:p>
        </w:tc>
        <w:tc>
          <w:tcPr>
            <w:tcW w:w="1027"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39.0</w:t>
            </w:r>
          </w:p>
        </w:tc>
        <w:tc>
          <w:tcPr>
            <w:tcW w:w="1012" w:type="dxa"/>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317.4</w:t>
            </w:r>
          </w:p>
        </w:tc>
        <w:tc>
          <w:tcPr>
            <w:tcW w:w="1058" w:type="dxa"/>
            <w:tcBorders>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5580.1</w:t>
            </w:r>
          </w:p>
        </w:tc>
      </w:tr>
      <w:tr w:rsidR="00B16F2A" w:rsidRPr="006A3515" w:rsidTr="00743AAB">
        <w:trPr>
          <w:trHeight w:val="306"/>
        </w:trPr>
        <w:tc>
          <w:tcPr>
            <w:tcW w:w="1606" w:type="dxa"/>
            <w:tcBorders>
              <w:bottom w:val="nil"/>
            </w:tcBorders>
            <w:shd w:val="clear" w:color="auto" w:fill="auto"/>
            <w:vAlign w:val="center"/>
          </w:tcPr>
          <w:p w:rsidR="00B16F2A" w:rsidRPr="00777DF2" w:rsidRDefault="00B16F2A" w:rsidP="009B75E1">
            <w:pPr>
              <w:rPr>
                <w:rFonts w:eastAsia="Cambria"/>
                <w:sz w:val="22"/>
                <w:szCs w:val="22"/>
              </w:rPr>
            </w:pPr>
          </w:p>
        </w:tc>
        <w:tc>
          <w:tcPr>
            <w:tcW w:w="2361" w:type="dxa"/>
            <w:tcBorders>
              <w:bottom w:val="nil"/>
            </w:tcBorders>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color w:val="000000"/>
                <w:sz w:val="22"/>
                <w:szCs w:val="22"/>
              </w:rPr>
              <w:t>Untreated check</w:t>
            </w:r>
          </w:p>
        </w:tc>
        <w:tc>
          <w:tcPr>
            <w:tcW w:w="1271" w:type="dxa"/>
            <w:tcBorders>
              <w:bottom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378.1</w:t>
            </w:r>
          </w:p>
        </w:tc>
        <w:tc>
          <w:tcPr>
            <w:tcW w:w="1027" w:type="dxa"/>
            <w:tcBorders>
              <w:bottom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38.2</w:t>
            </w:r>
          </w:p>
        </w:tc>
        <w:tc>
          <w:tcPr>
            <w:tcW w:w="1012" w:type="dxa"/>
            <w:tcBorders>
              <w:bottom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308.7</w:t>
            </w:r>
          </w:p>
        </w:tc>
        <w:tc>
          <w:tcPr>
            <w:tcW w:w="1058" w:type="dxa"/>
            <w:tcBorders>
              <w:bottom w:val="nil"/>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4983.7</w:t>
            </w:r>
          </w:p>
        </w:tc>
      </w:tr>
      <w:tr w:rsidR="00B16F2A" w:rsidRPr="006A3515" w:rsidTr="00743AAB">
        <w:trPr>
          <w:trHeight w:val="306"/>
        </w:trPr>
        <w:tc>
          <w:tcPr>
            <w:tcW w:w="1606" w:type="dxa"/>
            <w:tcBorders>
              <w:bottom w:val="single" w:sz="4" w:space="0" w:color="000000"/>
            </w:tcBorders>
            <w:shd w:val="clear" w:color="auto" w:fill="auto"/>
            <w:vAlign w:val="center"/>
          </w:tcPr>
          <w:p w:rsidR="00B16F2A" w:rsidRPr="00777DF2" w:rsidRDefault="00B16F2A" w:rsidP="009B75E1">
            <w:pPr>
              <w:rPr>
                <w:rFonts w:eastAsia="Cambria"/>
                <w:sz w:val="22"/>
                <w:szCs w:val="22"/>
              </w:rPr>
            </w:pPr>
          </w:p>
        </w:tc>
        <w:tc>
          <w:tcPr>
            <w:tcW w:w="2361" w:type="dxa"/>
            <w:tcBorders>
              <w:bottom w:val="single" w:sz="4" w:space="0" w:color="000000"/>
            </w:tcBorders>
            <w:shd w:val="clear" w:color="auto" w:fill="auto"/>
            <w:vAlign w:val="center"/>
          </w:tcPr>
          <w:p w:rsidR="00B16F2A" w:rsidRPr="00777DF2" w:rsidRDefault="00B16F2A" w:rsidP="009B75E1">
            <w:pPr>
              <w:tabs>
                <w:tab w:val="left" w:pos="1780"/>
              </w:tabs>
              <w:ind w:left="-50" w:right="-45"/>
              <w:jc w:val="center"/>
              <w:rPr>
                <w:rFonts w:eastAsia="Cambria"/>
                <w:color w:val="000000"/>
                <w:sz w:val="22"/>
                <w:szCs w:val="22"/>
              </w:rPr>
            </w:pPr>
            <w:r w:rsidRPr="00777DF2">
              <w:rPr>
                <w:rFonts w:eastAsia="Cambria"/>
                <w:sz w:val="22"/>
                <w:szCs w:val="22"/>
              </w:rPr>
              <w:t>LSD</w:t>
            </w:r>
            <w:r w:rsidRPr="00777DF2">
              <w:rPr>
                <w:rFonts w:eastAsia="Cambria"/>
                <w:sz w:val="22"/>
                <w:szCs w:val="22"/>
                <w:vertAlign w:val="subscript"/>
              </w:rPr>
              <w:t>0.05</w:t>
            </w:r>
          </w:p>
        </w:tc>
        <w:tc>
          <w:tcPr>
            <w:tcW w:w="1271" w:type="dxa"/>
            <w:tcBorders>
              <w:bottom w:val="single" w:sz="4" w:space="0" w:color="000000"/>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sz w:val="22"/>
                <w:szCs w:val="22"/>
              </w:rPr>
              <w:t>2.6</w:t>
            </w:r>
          </w:p>
        </w:tc>
        <w:tc>
          <w:tcPr>
            <w:tcW w:w="1027" w:type="dxa"/>
            <w:tcBorders>
              <w:bottom w:val="single" w:sz="4" w:space="0" w:color="000000"/>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NS</w:t>
            </w:r>
          </w:p>
        </w:tc>
        <w:tc>
          <w:tcPr>
            <w:tcW w:w="1012" w:type="dxa"/>
            <w:tcBorders>
              <w:bottom w:val="single" w:sz="4" w:space="0" w:color="000000"/>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NS</w:t>
            </w:r>
          </w:p>
        </w:tc>
        <w:tc>
          <w:tcPr>
            <w:tcW w:w="1058" w:type="dxa"/>
            <w:tcBorders>
              <w:bottom w:val="single" w:sz="4" w:space="0" w:color="000000"/>
              <w:right w:val="nil"/>
            </w:tcBorders>
            <w:shd w:val="clear" w:color="auto" w:fill="auto"/>
            <w:vAlign w:val="center"/>
          </w:tcPr>
          <w:p w:rsidR="00B16F2A" w:rsidRPr="00777DF2" w:rsidRDefault="00B16F2A" w:rsidP="009B75E1">
            <w:pPr>
              <w:jc w:val="center"/>
              <w:rPr>
                <w:rFonts w:eastAsia="Cambria"/>
                <w:color w:val="000000"/>
                <w:sz w:val="22"/>
                <w:szCs w:val="22"/>
              </w:rPr>
            </w:pPr>
            <w:r w:rsidRPr="00777DF2">
              <w:rPr>
                <w:rFonts w:eastAsia="Cambria"/>
                <w:color w:val="000000"/>
                <w:sz w:val="22"/>
                <w:szCs w:val="22"/>
              </w:rPr>
              <w:t>207.6</w:t>
            </w:r>
          </w:p>
        </w:tc>
      </w:tr>
      <w:tr w:rsidR="00B16F2A" w:rsidRPr="006A3515" w:rsidTr="00743AAB">
        <w:trPr>
          <w:trHeight w:val="306"/>
        </w:trPr>
        <w:tc>
          <w:tcPr>
            <w:tcW w:w="8335" w:type="dxa"/>
            <w:gridSpan w:val="6"/>
            <w:tcBorders>
              <w:top w:val="single" w:sz="4" w:space="0" w:color="000000"/>
              <w:bottom w:val="nil"/>
              <w:right w:val="nil"/>
            </w:tcBorders>
            <w:shd w:val="clear" w:color="auto" w:fill="auto"/>
            <w:vAlign w:val="center"/>
          </w:tcPr>
          <w:p w:rsidR="00B16F2A" w:rsidRPr="006A3515" w:rsidRDefault="00B16F2A" w:rsidP="009B75E1">
            <w:pPr>
              <w:rPr>
                <w:rFonts w:eastAsia="Cambria"/>
                <w:color w:val="000000"/>
                <w:sz w:val="20"/>
                <w:szCs w:val="20"/>
              </w:rPr>
            </w:pPr>
            <w:r>
              <w:rPr>
                <w:rFonts w:eastAsia="Cambria"/>
                <w:color w:val="000000"/>
                <w:sz w:val="20"/>
                <w:szCs w:val="20"/>
              </w:rPr>
              <w:t>† NS,</w:t>
            </w:r>
            <w:r w:rsidRPr="006A3515">
              <w:rPr>
                <w:rFonts w:eastAsia="Cambria"/>
                <w:color w:val="000000"/>
                <w:sz w:val="20"/>
                <w:szCs w:val="20"/>
              </w:rPr>
              <w:t xml:space="preserve"> not significant.</w:t>
            </w:r>
          </w:p>
        </w:tc>
      </w:tr>
      <w:tr w:rsidR="00B16F2A" w:rsidRPr="006A3515" w:rsidTr="00743AAB">
        <w:trPr>
          <w:trHeight w:val="215"/>
        </w:trPr>
        <w:tc>
          <w:tcPr>
            <w:tcW w:w="8335" w:type="dxa"/>
            <w:gridSpan w:val="6"/>
            <w:tcBorders>
              <w:top w:val="nil"/>
              <w:right w:val="nil"/>
            </w:tcBorders>
            <w:shd w:val="clear" w:color="auto" w:fill="auto"/>
            <w:vAlign w:val="center"/>
          </w:tcPr>
          <w:p w:rsidR="00B16F2A" w:rsidRPr="006A3515" w:rsidRDefault="00B16F2A" w:rsidP="009B75E1">
            <w:pPr>
              <w:rPr>
                <w:rFonts w:eastAsia="Cambria"/>
                <w:color w:val="000000"/>
                <w:sz w:val="20"/>
                <w:szCs w:val="20"/>
              </w:rPr>
            </w:pPr>
          </w:p>
        </w:tc>
      </w:tr>
    </w:tbl>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6B7833" w:rsidRDefault="006B7833" w:rsidP="006B7833">
      <w:pPr>
        <w:pStyle w:val="Caption"/>
        <w:jc w:val="center"/>
        <w:rPr>
          <w:rFonts w:ascii="Arial" w:hAnsi="Arial" w:cs="Arial"/>
          <w:sz w:val="24"/>
        </w:rPr>
      </w:pPr>
    </w:p>
    <w:p w:rsidR="00B16F2A" w:rsidRDefault="00B16F2A" w:rsidP="00B16F2A"/>
    <w:p w:rsidR="00B16F2A" w:rsidRDefault="00B16F2A" w:rsidP="00B16F2A"/>
    <w:p w:rsidR="00B16F2A" w:rsidRDefault="00B16F2A" w:rsidP="00B16F2A"/>
    <w:p w:rsidR="00B16F2A" w:rsidRDefault="00B16F2A" w:rsidP="00B16F2A"/>
    <w:p w:rsidR="00B16F2A" w:rsidRDefault="00B16F2A" w:rsidP="00B16F2A"/>
    <w:p w:rsidR="00B16F2A" w:rsidRDefault="00B16F2A" w:rsidP="00B16F2A"/>
    <w:p w:rsidR="00B16F2A" w:rsidRDefault="00B16F2A" w:rsidP="00B16F2A"/>
    <w:p w:rsidR="00B16F2A" w:rsidRDefault="00B16F2A" w:rsidP="00B16F2A"/>
    <w:p w:rsidR="006B7833" w:rsidRDefault="006B7833" w:rsidP="00B16F2A">
      <w:pPr>
        <w:pStyle w:val="Caption"/>
        <w:rPr>
          <w:rFonts w:ascii="Arial" w:hAnsi="Arial" w:cs="Arial"/>
          <w:sz w:val="24"/>
        </w:rPr>
      </w:pPr>
    </w:p>
    <w:p w:rsidR="00743AAB" w:rsidRPr="00743AAB" w:rsidRDefault="00743AAB" w:rsidP="00743AAB"/>
    <w:tbl>
      <w:tblPr>
        <w:tblpPr w:leftFromText="180" w:rightFromText="180" w:vertAnchor="text" w:horzAnchor="margin" w:tblpY="262"/>
        <w:tblW w:w="8377" w:type="dxa"/>
        <w:tblBorders>
          <w:insideV w:val="single" w:sz="4" w:space="0" w:color="000000"/>
        </w:tblBorders>
        <w:tblLook w:val="04A0"/>
      </w:tblPr>
      <w:tblGrid>
        <w:gridCol w:w="1189"/>
        <w:gridCol w:w="1854"/>
        <w:gridCol w:w="584"/>
        <w:gridCol w:w="995"/>
        <w:gridCol w:w="993"/>
        <w:gridCol w:w="906"/>
        <w:gridCol w:w="907"/>
        <w:gridCol w:w="949"/>
      </w:tblGrid>
      <w:tr w:rsidR="006B7833" w:rsidRPr="006A3515" w:rsidTr="00743AAB">
        <w:trPr>
          <w:trHeight w:val="491"/>
        </w:trPr>
        <w:tc>
          <w:tcPr>
            <w:tcW w:w="8377" w:type="dxa"/>
            <w:gridSpan w:val="8"/>
            <w:tcBorders>
              <w:bottom w:val="single" w:sz="4" w:space="0" w:color="000000"/>
            </w:tcBorders>
            <w:shd w:val="clear" w:color="auto" w:fill="auto"/>
            <w:vAlign w:val="center"/>
          </w:tcPr>
          <w:p w:rsidR="006B7833" w:rsidRPr="00051556" w:rsidRDefault="006B7833" w:rsidP="00051556">
            <w:pPr>
              <w:pStyle w:val="Heading2"/>
              <w:jc w:val="left"/>
              <w:rPr>
                <w:rFonts w:eastAsia="Calibri"/>
                <w:sz w:val="23"/>
                <w:szCs w:val="23"/>
              </w:rPr>
            </w:pPr>
            <w:bookmarkStart w:id="75" w:name="_Toc353890897"/>
            <w:bookmarkStart w:id="76" w:name="_Toc353892638"/>
            <w:r w:rsidRPr="00051556">
              <w:rPr>
                <w:rFonts w:eastAsia="Cambria"/>
                <w:sz w:val="23"/>
                <w:szCs w:val="23"/>
              </w:rPr>
              <w:lastRenderedPageBreak/>
              <w:t xml:space="preserve">Table </w:t>
            </w:r>
            <w:r w:rsidR="00577C5A" w:rsidRPr="00051556">
              <w:rPr>
                <w:rFonts w:eastAsia="Cambria"/>
                <w:sz w:val="23"/>
                <w:szCs w:val="23"/>
              </w:rPr>
              <w:t>2</w:t>
            </w:r>
            <w:r w:rsidRPr="00051556">
              <w:rPr>
                <w:rFonts w:eastAsia="Cambria"/>
                <w:sz w:val="23"/>
                <w:szCs w:val="23"/>
              </w:rPr>
              <w:t>.</w:t>
            </w:r>
            <w:r w:rsidR="00B16F2A" w:rsidRPr="00051556">
              <w:rPr>
                <w:rFonts w:eastAsia="Cambria"/>
                <w:sz w:val="23"/>
                <w:szCs w:val="23"/>
              </w:rPr>
              <w:t>4</w:t>
            </w:r>
            <w:r w:rsidRPr="00051556">
              <w:rPr>
                <w:rFonts w:eastAsia="Cambria"/>
                <w:sz w:val="23"/>
                <w:szCs w:val="23"/>
              </w:rPr>
              <w:t xml:space="preserve">. </w:t>
            </w:r>
            <w:r w:rsidR="00D04762" w:rsidRPr="00051556">
              <w:rPr>
                <w:rFonts w:eastAsia="Calibri"/>
                <w:sz w:val="23"/>
                <w:szCs w:val="23"/>
              </w:rPr>
              <w:t xml:space="preserve"> </w:t>
            </w:r>
            <w:r w:rsidR="00F65EBA" w:rsidRPr="00051556">
              <w:rPr>
                <w:rFonts w:eastAsia="Calibri"/>
                <w:sz w:val="23"/>
                <w:szCs w:val="23"/>
              </w:rPr>
              <w:t>Analysis of</w:t>
            </w:r>
            <w:r w:rsidR="00D04762" w:rsidRPr="00051556">
              <w:rPr>
                <w:rFonts w:eastAsia="Cambria"/>
                <w:sz w:val="23"/>
                <w:szCs w:val="23"/>
              </w:rPr>
              <w:t xml:space="preserve"> variance for turfgrass quality, turfgrass cover, normalized difference vegetation index (NDVI), and ratio vegetation index (RVI) </w:t>
            </w:r>
            <w:r w:rsidR="00D04762" w:rsidRPr="00051556">
              <w:rPr>
                <w:rFonts w:eastAsia="Calibri"/>
                <w:sz w:val="23"/>
                <w:szCs w:val="23"/>
              </w:rPr>
              <w:t>following applications of various strobilurin fungicide programs in 2012 in Strawberry Plains, TN, on</w:t>
            </w:r>
            <w:r w:rsidR="00C52984" w:rsidRPr="00051556">
              <w:rPr>
                <w:rFonts w:eastAsia="Calibri"/>
                <w:sz w:val="23"/>
                <w:szCs w:val="23"/>
              </w:rPr>
              <w:t xml:space="preserve"> a</w:t>
            </w:r>
            <w:r w:rsidR="00D04762" w:rsidRPr="00051556">
              <w:rPr>
                <w:rFonts w:eastAsia="Calibri"/>
                <w:sz w:val="23"/>
                <w:szCs w:val="23"/>
              </w:rPr>
              <w:t xml:space="preserve"> ‘Dominant Southern’ creeping bentgrass</w:t>
            </w:r>
            <w:r w:rsidR="0086415C" w:rsidRPr="00051556">
              <w:rPr>
                <w:rFonts w:eastAsia="Calibri"/>
                <w:sz w:val="23"/>
                <w:szCs w:val="23"/>
              </w:rPr>
              <w:t xml:space="preserve"> (</w:t>
            </w:r>
            <w:r w:rsidR="0086415C" w:rsidRPr="00051556">
              <w:rPr>
                <w:rFonts w:eastAsia="Calibri"/>
                <w:i/>
                <w:sz w:val="23"/>
                <w:szCs w:val="23"/>
              </w:rPr>
              <w:t>Agrostis stolonifera</w:t>
            </w:r>
            <w:r w:rsidR="0086415C" w:rsidRPr="00051556">
              <w:rPr>
                <w:rFonts w:eastAsia="Calibri"/>
                <w:sz w:val="23"/>
                <w:szCs w:val="23"/>
              </w:rPr>
              <w:t xml:space="preserve"> L.)</w:t>
            </w:r>
            <w:r w:rsidR="00D04762" w:rsidRPr="00051556">
              <w:rPr>
                <w:rFonts w:eastAsia="Calibri"/>
                <w:sz w:val="23"/>
                <w:szCs w:val="23"/>
              </w:rPr>
              <w:t xml:space="preserve"> putting green subjected to various strobilurin fungicide programs in 2012.</w:t>
            </w:r>
            <w:bookmarkEnd w:id="75"/>
            <w:bookmarkEnd w:id="76"/>
          </w:p>
        </w:tc>
      </w:tr>
      <w:tr w:rsidR="006B7833" w:rsidRPr="006A3515" w:rsidTr="00743AAB">
        <w:trPr>
          <w:trHeight w:val="305"/>
        </w:trPr>
        <w:tc>
          <w:tcPr>
            <w:tcW w:w="3627" w:type="dxa"/>
            <w:gridSpan w:val="3"/>
            <w:tcBorders>
              <w:top w:val="single" w:sz="4" w:space="0" w:color="000000"/>
              <w:bottom w:val="nil"/>
              <w:right w:val="nil"/>
            </w:tcBorders>
            <w:shd w:val="clear" w:color="auto" w:fill="auto"/>
            <w:vAlign w:val="center"/>
          </w:tcPr>
          <w:p w:rsidR="006B7833" w:rsidRPr="00577C5A" w:rsidRDefault="006B7833" w:rsidP="00577C5A">
            <w:pPr>
              <w:rPr>
                <w:rFonts w:eastAsia="Cambria"/>
                <w:b/>
                <w:sz w:val="22"/>
                <w:szCs w:val="22"/>
              </w:rPr>
            </w:pPr>
          </w:p>
        </w:tc>
        <w:tc>
          <w:tcPr>
            <w:tcW w:w="4750" w:type="dxa"/>
            <w:gridSpan w:val="5"/>
            <w:tcBorders>
              <w:top w:val="single" w:sz="4" w:space="0" w:color="000000"/>
              <w:left w:val="nil"/>
              <w:bottom w:val="nil"/>
            </w:tcBorders>
            <w:shd w:val="clear" w:color="auto" w:fill="auto"/>
            <w:vAlign w:val="center"/>
          </w:tcPr>
          <w:p w:rsidR="006B7833" w:rsidRPr="00577C5A" w:rsidRDefault="006B7833" w:rsidP="00577C5A">
            <w:pPr>
              <w:jc w:val="center"/>
              <w:rPr>
                <w:rFonts w:eastAsia="Cambria"/>
                <w:b/>
                <w:sz w:val="22"/>
                <w:szCs w:val="22"/>
              </w:rPr>
            </w:pPr>
            <w:r w:rsidRPr="00577C5A">
              <w:rPr>
                <w:rFonts w:eastAsia="Cambria"/>
                <w:b/>
                <w:sz w:val="22"/>
                <w:szCs w:val="22"/>
              </w:rPr>
              <w:t>Days after initial treatment</w:t>
            </w:r>
          </w:p>
        </w:tc>
      </w:tr>
      <w:tr w:rsidR="006B7833" w:rsidRPr="006A3515" w:rsidTr="00692D9F">
        <w:trPr>
          <w:trHeight w:val="305"/>
        </w:trPr>
        <w:tc>
          <w:tcPr>
            <w:tcW w:w="1189" w:type="dxa"/>
            <w:tcBorders>
              <w:top w:val="nil"/>
              <w:bottom w:val="single" w:sz="4" w:space="0" w:color="000000"/>
              <w:right w:val="nil"/>
            </w:tcBorders>
            <w:shd w:val="clear" w:color="auto" w:fill="auto"/>
            <w:vAlign w:val="center"/>
          </w:tcPr>
          <w:p w:rsidR="006B7833" w:rsidRPr="00577C5A" w:rsidRDefault="006B7833" w:rsidP="00577C5A">
            <w:pPr>
              <w:rPr>
                <w:rFonts w:eastAsia="Cambria"/>
                <w:b/>
                <w:sz w:val="22"/>
                <w:szCs w:val="22"/>
              </w:rPr>
            </w:pPr>
          </w:p>
        </w:tc>
        <w:tc>
          <w:tcPr>
            <w:tcW w:w="1854" w:type="dxa"/>
            <w:tcBorders>
              <w:top w:val="nil"/>
              <w:left w:val="nil"/>
              <w:bottom w:val="single" w:sz="4" w:space="0" w:color="000000"/>
              <w:right w:val="nil"/>
            </w:tcBorders>
            <w:shd w:val="clear" w:color="auto" w:fill="auto"/>
            <w:vAlign w:val="center"/>
          </w:tcPr>
          <w:p w:rsidR="006B7833" w:rsidRPr="00577C5A" w:rsidRDefault="006B7833" w:rsidP="00577C5A">
            <w:pPr>
              <w:rPr>
                <w:rFonts w:eastAsia="Cambria"/>
                <w:b/>
                <w:sz w:val="22"/>
                <w:szCs w:val="22"/>
              </w:rPr>
            </w:pPr>
          </w:p>
        </w:tc>
        <w:tc>
          <w:tcPr>
            <w:tcW w:w="584" w:type="dxa"/>
            <w:tcBorders>
              <w:top w:val="nil"/>
              <w:left w:val="nil"/>
              <w:bottom w:val="single" w:sz="4" w:space="0" w:color="000000"/>
              <w:right w:val="nil"/>
            </w:tcBorders>
            <w:shd w:val="clear" w:color="auto" w:fill="auto"/>
            <w:vAlign w:val="center"/>
          </w:tcPr>
          <w:p w:rsidR="006B7833" w:rsidRPr="00577C5A" w:rsidRDefault="006B7833" w:rsidP="00577C5A">
            <w:pPr>
              <w:jc w:val="center"/>
              <w:rPr>
                <w:rFonts w:eastAsia="Cambria"/>
                <w:b/>
                <w:sz w:val="22"/>
                <w:szCs w:val="22"/>
              </w:rPr>
            </w:pPr>
            <w:r w:rsidRPr="00577C5A">
              <w:rPr>
                <w:rFonts w:eastAsia="Cambria"/>
                <w:b/>
                <w:sz w:val="22"/>
                <w:szCs w:val="22"/>
              </w:rPr>
              <w:t>df</w:t>
            </w:r>
          </w:p>
        </w:tc>
        <w:tc>
          <w:tcPr>
            <w:tcW w:w="995" w:type="dxa"/>
            <w:tcBorders>
              <w:top w:val="nil"/>
              <w:left w:val="nil"/>
              <w:bottom w:val="single" w:sz="4" w:space="0" w:color="000000"/>
              <w:right w:val="nil"/>
            </w:tcBorders>
            <w:shd w:val="clear" w:color="auto" w:fill="auto"/>
            <w:vAlign w:val="center"/>
          </w:tcPr>
          <w:p w:rsidR="006B7833" w:rsidRPr="00577C5A" w:rsidRDefault="006B7833" w:rsidP="00577C5A">
            <w:pPr>
              <w:jc w:val="center"/>
              <w:rPr>
                <w:rFonts w:eastAsia="Cambria"/>
                <w:b/>
                <w:sz w:val="22"/>
                <w:szCs w:val="22"/>
              </w:rPr>
            </w:pPr>
            <w:r w:rsidRPr="00577C5A">
              <w:rPr>
                <w:rFonts w:eastAsia="Cambria"/>
                <w:b/>
                <w:sz w:val="22"/>
                <w:szCs w:val="22"/>
              </w:rPr>
              <w:t>14</w:t>
            </w:r>
          </w:p>
        </w:tc>
        <w:tc>
          <w:tcPr>
            <w:tcW w:w="993" w:type="dxa"/>
            <w:tcBorders>
              <w:top w:val="nil"/>
              <w:left w:val="nil"/>
              <w:bottom w:val="single" w:sz="4" w:space="0" w:color="000000"/>
              <w:right w:val="nil"/>
            </w:tcBorders>
            <w:shd w:val="clear" w:color="auto" w:fill="auto"/>
            <w:vAlign w:val="center"/>
          </w:tcPr>
          <w:p w:rsidR="006B7833" w:rsidRPr="00577C5A" w:rsidRDefault="006B7833" w:rsidP="00577C5A">
            <w:pPr>
              <w:jc w:val="center"/>
              <w:rPr>
                <w:rFonts w:eastAsia="Cambria"/>
                <w:b/>
                <w:sz w:val="22"/>
                <w:szCs w:val="22"/>
              </w:rPr>
            </w:pPr>
            <w:r w:rsidRPr="00577C5A">
              <w:rPr>
                <w:rFonts w:eastAsia="Cambria"/>
                <w:b/>
                <w:sz w:val="22"/>
                <w:szCs w:val="22"/>
              </w:rPr>
              <w:t>28</w:t>
            </w:r>
          </w:p>
        </w:tc>
        <w:tc>
          <w:tcPr>
            <w:tcW w:w="906" w:type="dxa"/>
            <w:tcBorders>
              <w:top w:val="nil"/>
              <w:left w:val="nil"/>
              <w:bottom w:val="single" w:sz="4" w:space="0" w:color="000000"/>
              <w:right w:val="nil"/>
            </w:tcBorders>
            <w:shd w:val="clear" w:color="auto" w:fill="auto"/>
            <w:vAlign w:val="center"/>
          </w:tcPr>
          <w:p w:rsidR="006B7833" w:rsidRPr="00577C5A" w:rsidRDefault="006B7833" w:rsidP="00577C5A">
            <w:pPr>
              <w:jc w:val="center"/>
              <w:rPr>
                <w:rFonts w:eastAsia="Cambria"/>
                <w:b/>
                <w:sz w:val="22"/>
                <w:szCs w:val="22"/>
              </w:rPr>
            </w:pPr>
            <w:r w:rsidRPr="00577C5A">
              <w:rPr>
                <w:rFonts w:eastAsia="Cambria"/>
                <w:b/>
                <w:sz w:val="22"/>
                <w:szCs w:val="22"/>
              </w:rPr>
              <w:t>42</w:t>
            </w:r>
          </w:p>
        </w:tc>
        <w:tc>
          <w:tcPr>
            <w:tcW w:w="907" w:type="dxa"/>
            <w:tcBorders>
              <w:top w:val="nil"/>
              <w:left w:val="nil"/>
              <w:bottom w:val="single" w:sz="4" w:space="0" w:color="000000"/>
              <w:right w:val="nil"/>
            </w:tcBorders>
            <w:shd w:val="clear" w:color="auto" w:fill="auto"/>
            <w:vAlign w:val="center"/>
          </w:tcPr>
          <w:p w:rsidR="006B7833" w:rsidRPr="00577C5A" w:rsidRDefault="006B7833" w:rsidP="00577C5A">
            <w:pPr>
              <w:jc w:val="center"/>
              <w:rPr>
                <w:rFonts w:eastAsia="Cambria"/>
                <w:b/>
                <w:sz w:val="22"/>
                <w:szCs w:val="22"/>
              </w:rPr>
            </w:pPr>
            <w:r w:rsidRPr="00577C5A">
              <w:rPr>
                <w:rFonts w:eastAsia="Cambria"/>
                <w:b/>
                <w:sz w:val="22"/>
                <w:szCs w:val="22"/>
              </w:rPr>
              <w:t>56</w:t>
            </w:r>
          </w:p>
        </w:tc>
        <w:tc>
          <w:tcPr>
            <w:tcW w:w="949" w:type="dxa"/>
            <w:tcBorders>
              <w:top w:val="nil"/>
              <w:left w:val="nil"/>
              <w:bottom w:val="single" w:sz="4" w:space="0" w:color="000000"/>
            </w:tcBorders>
            <w:shd w:val="clear" w:color="auto" w:fill="auto"/>
            <w:vAlign w:val="center"/>
          </w:tcPr>
          <w:p w:rsidR="006B7833" w:rsidRPr="00577C5A" w:rsidRDefault="006B7833" w:rsidP="00577C5A">
            <w:pPr>
              <w:jc w:val="center"/>
              <w:rPr>
                <w:rFonts w:eastAsia="Cambria"/>
                <w:b/>
                <w:sz w:val="22"/>
                <w:szCs w:val="22"/>
              </w:rPr>
            </w:pPr>
            <w:r w:rsidRPr="00577C5A">
              <w:rPr>
                <w:rFonts w:eastAsia="Cambria"/>
                <w:b/>
                <w:sz w:val="22"/>
                <w:szCs w:val="22"/>
              </w:rPr>
              <w:t>70</w:t>
            </w:r>
          </w:p>
        </w:tc>
      </w:tr>
      <w:tr w:rsidR="00692D9F" w:rsidRPr="006A3515" w:rsidTr="00F8034E">
        <w:trPr>
          <w:trHeight w:val="620"/>
        </w:trPr>
        <w:tc>
          <w:tcPr>
            <w:tcW w:w="1189" w:type="dxa"/>
            <w:tcBorders>
              <w:top w:val="single" w:sz="4" w:space="0" w:color="000000"/>
              <w:right w:val="nil"/>
            </w:tcBorders>
            <w:shd w:val="clear" w:color="auto" w:fill="auto"/>
            <w:vAlign w:val="center"/>
          </w:tcPr>
          <w:p w:rsidR="00692D9F" w:rsidRPr="00577C5A" w:rsidRDefault="00692D9F" w:rsidP="00577C5A">
            <w:pPr>
              <w:jc w:val="center"/>
              <w:rPr>
                <w:rFonts w:eastAsia="Cambria"/>
                <w:color w:val="000000"/>
                <w:sz w:val="22"/>
                <w:szCs w:val="22"/>
              </w:rPr>
            </w:pPr>
            <w:r w:rsidRPr="00577C5A">
              <w:rPr>
                <w:rFonts w:eastAsia="Cambria"/>
                <w:color w:val="000000"/>
                <w:sz w:val="22"/>
                <w:szCs w:val="22"/>
              </w:rPr>
              <w:t>Turfgrass</w:t>
            </w:r>
          </w:p>
          <w:p w:rsidR="00692D9F" w:rsidRPr="00577C5A" w:rsidRDefault="00692D9F" w:rsidP="00577C5A">
            <w:pPr>
              <w:jc w:val="center"/>
              <w:rPr>
                <w:rFonts w:eastAsia="Cambria"/>
                <w:color w:val="000000"/>
                <w:sz w:val="22"/>
                <w:szCs w:val="22"/>
              </w:rPr>
            </w:pPr>
            <w:r w:rsidRPr="00577C5A">
              <w:rPr>
                <w:rFonts w:eastAsia="Cambria"/>
                <w:color w:val="000000"/>
                <w:sz w:val="22"/>
                <w:szCs w:val="22"/>
              </w:rPr>
              <w:t>Quality</w:t>
            </w:r>
          </w:p>
        </w:tc>
        <w:tc>
          <w:tcPr>
            <w:tcW w:w="1854" w:type="dxa"/>
            <w:tcBorders>
              <w:top w:val="single" w:sz="4" w:space="0" w:color="000000"/>
              <w:left w:val="nil"/>
              <w:right w:val="nil"/>
            </w:tcBorders>
            <w:shd w:val="clear" w:color="auto" w:fill="auto"/>
            <w:vAlign w:val="center"/>
          </w:tcPr>
          <w:p w:rsidR="00692D9F" w:rsidRPr="00577C5A" w:rsidRDefault="00692D9F" w:rsidP="00F8034E">
            <w:pPr>
              <w:rPr>
                <w:rFonts w:eastAsia="Cambria"/>
                <w:color w:val="000000"/>
                <w:sz w:val="22"/>
                <w:szCs w:val="22"/>
              </w:rPr>
            </w:pPr>
            <w:r w:rsidRPr="00577C5A">
              <w:rPr>
                <w:rFonts w:eastAsia="Cambria"/>
                <w:color w:val="000000"/>
                <w:sz w:val="22"/>
                <w:szCs w:val="22"/>
              </w:rPr>
              <w:t>Treatment</w:t>
            </w:r>
          </w:p>
        </w:tc>
        <w:tc>
          <w:tcPr>
            <w:tcW w:w="584" w:type="dxa"/>
            <w:tcBorders>
              <w:top w:val="single" w:sz="4" w:space="0" w:color="000000"/>
              <w:left w:val="nil"/>
              <w:righ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4</w:t>
            </w:r>
          </w:p>
        </w:tc>
        <w:tc>
          <w:tcPr>
            <w:tcW w:w="995" w:type="dxa"/>
            <w:tcBorders>
              <w:top w:val="single" w:sz="4" w:space="0" w:color="000000"/>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r w:rsidRPr="00C52984">
              <w:rPr>
                <w:rFonts w:eastAsia="Cambria"/>
                <w:color w:val="000000"/>
                <w:sz w:val="22"/>
                <w:szCs w:val="22"/>
                <w:vertAlign w:val="superscript"/>
              </w:rPr>
              <w:t>†</w:t>
            </w:r>
          </w:p>
        </w:tc>
        <w:tc>
          <w:tcPr>
            <w:tcW w:w="993" w:type="dxa"/>
            <w:tcBorders>
              <w:top w:val="single" w:sz="4" w:space="0" w:color="000000"/>
              <w:left w:val="nil"/>
              <w:righ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NS</w:t>
            </w:r>
          </w:p>
        </w:tc>
        <w:tc>
          <w:tcPr>
            <w:tcW w:w="906" w:type="dxa"/>
            <w:tcBorders>
              <w:top w:val="single" w:sz="4" w:space="0" w:color="000000"/>
              <w:left w:val="nil"/>
              <w:righ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w:t>
            </w:r>
          </w:p>
        </w:tc>
        <w:tc>
          <w:tcPr>
            <w:tcW w:w="907" w:type="dxa"/>
            <w:tcBorders>
              <w:top w:val="single" w:sz="4" w:space="0" w:color="000000"/>
              <w:left w:val="nil"/>
              <w:righ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w:t>
            </w:r>
          </w:p>
        </w:tc>
        <w:tc>
          <w:tcPr>
            <w:tcW w:w="949" w:type="dxa"/>
            <w:tcBorders>
              <w:top w:val="single" w:sz="4" w:space="0" w:color="000000"/>
              <w:lef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w:t>
            </w:r>
          </w:p>
        </w:tc>
      </w:tr>
      <w:tr w:rsidR="006B7833" w:rsidRPr="006A3515" w:rsidTr="00692D9F">
        <w:trPr>
          <w:trHeight w:val="305"/>
        </w:trPr>
        <w:tc>
          <w:tcPr>
            <w:tcW w:w="1189" w:type="dxa"/>
            <w:tcBorders>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1854" w:type="dxa"/>
            <w:tcBorders>
              <w:left w:val="nil"/>
              <w:right w:val="nil"/>
            </w:tcBorders>
            <w:shd w:val="clear" w:color="auto" w:fill="auto"/>
            <w:vAlign w:val="center"/>
          </w:tcPr>
          <w:p w:rsidR="006B7833" w:rsidRPr="00577C5A" w:rsidRDefault="006B7833" w:rsidP="00577C5A">
            <w:pPr>
              <w:rPr>
                <w:rFonts w:eastAsia="Cambria"/>
                <w:color w:val="000000"/>
                <w:sz w:val="22"/>
                <w:szCs w:val="22"/>
              </w:rPr>
            </w:pPr>
          </w:p>
        </w:tc>
        <w:tc>
          <w:tcPr>
            <w:tcW w:w="584"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95"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93"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06"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07"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49" w:type="dxa"/>
            <w:tcBorders>
              <w:left w:val="nil"/>
            </w:tcBorders>
            <w:shd w:val="clear" w:color="auto" w:fill="auto"/>
            <w:vAlign w:val="center"/>
          </w:tcPr>
          <w:p w:rsidR="006B7833" w:rsidRPr="00577C5A" w:rsidRDefault="006B7833" w:rsidP="00577C5A">
            <w:pPr>
              <w:jc w:val="center"/>
              <w:rPr>
                <w:rFonts w:eastAsia="Cambria"/>
                <w:color w:val="000000"/>
                <w:sz w:val="22"/>
                <w:szCs w:val="22"/>
              </w:rPr>
            </w:pPr>
          </w:p>
        </w:tc>
      </w:tr>
      <w:tr w:rsidR="00692D9F" w:rsidRPr="006A3515" w:rsidTr="00F8034E">
        <w:trPr>
          <w:trHeight w:val="610"/>
        </w:trPr>
        <w:tc>
          <w:tcPr>
            <w:tcW w:w="1189" w:type="dxa"/>
            <w:tcBorders>
              <w:right w:val="nil"/>
            </w:tcBorders>
            <w:shd w:val="clear" w:color="auto" w:fill="auto"/>
            <w:vAlign w:val="center"/>
          </w:tcPr>
          <w:p w:rsidR="00692D9F" w:rsidRPr="00577C5A" w:rsidRDefault="00692D9F" w:rsidP="00577C5A">
            <w:pPr>
              <w:jc w:val="center"/>
              <w:rPr>
                <w:rFonts w:eastAsia="Cambria"/>
                <w:color w:val="000000"/>
                <w:sz w:val="22"/>
                <w:szCs w:val="22"/>
              </w:rPr>
            </w:pPr>
            <w:r w:rsidRPr="00577C5A">
              <w:rPr>
                <w:rFonts w:eastAsia="Cambria"/>
                <w:color w:val="000000"/>
                <w:sz w:val="22"/>
                <w:szCs w:val="22"/>
              </w:rPr>
              <w:t>Turfgrass</w:t>
            </w:r>
          </w:p>
          <w:p w:rsidR="00692D9F" w:rsidRPr="00577C5A" w:rsidRDefault="00692D9F" w:rsidP="00577C5A">
            <w:pPr>
              <w:jc w:val="center"/>
              <w:rPr>
                <w:rFonts w:eastAsia="Cambria"/>
                <w:color w:val="000000"/>
                <w:sz w:val="22"/>
                <w:szCs w:val="22"/>
              </w:rPr>
            </w:pPr>
            <w:r w:rsidRPr="00577C5A">
              <w:rPr>
                <w:rFonts w:eastAsia="Cambria"/>
                <w:color w:val="000000"/>
                <w:sz w:val="22"/>
                <w:szCs w:val="22"/>
              </w:rPr>
              <w:t xml:space="preserve">Cover </w:t>
            </w:r>
          </w:p>
        </w:tc>
        <w:tc>
          <w:tcPr>
            <w:tcW w:w="1854" w:type="dxa"/>
            <w:tcBorders>
              <w:left w:val="nil"/>
              <w:right w:val="nil"/>
            </w:tcBorders>
            <w:shd w:val="clear" w:color="auto" w:fill="auto"/>
            <w:vAlign w:val="center"/>
          </w:tcPr>
          <w:p w:rsidR="00692D9F" w:rsidRPr="00577C5A" w:rsidRDefault="00692D9F" w:rsidP="00F8034E">
            <w:pPr>
              <w:rPr>
                <w:rFonts w:eastAsia="Cambria"/>
                <w:color w:val="000000"/>
                <w:sz w:val="22"/>
                <w:szCs w:val="22"/>
              </w:rPr>
            </w:pPr>
            <w:r w:rsidRPr="00577C5A">
              <w:rPr>
                <w:rFonts w:eastAsia="Cambria"/>
                <w:color w:val="000000"/>
                <w:sz w:val="22"/>
                <w:szCs w:val="22"/>
              </w:rPr>
              <w:t>Treatment</w:t>
            </w:r>
          </w:p>
        </w:tc>
        <w:tc>
          <w:tcPr>
            <w:tcW w:w="584" w:type="dxa"/>
            <w:tcBorders>
              <w:left w:val="nil"/>
              <w:righ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4</w:t>
            </w:r>
          </w:p>
        </w:tc>
        <w:tc>
          <w:tcPr>
            <w:tcW w:w="995"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93"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06"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w:t>
            </w:r>
          </w:p>
        </w:tc>
        <w:tc>
          <w:tcPr>
            <w:tcW w:w="907"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w:t>
            </w:r>
          </w:p>
        </w:tc>
        <w:tc>
          <w:tcPr>
            <w:tcW w:w="949" w:type="dxa"/>
            <w:tcBorders>
              <w:lef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w:t>
            </w:r>
          </w:p>
        </w:tc>
      </w:tr>
      <w:tr w:rsidR="006B7833" w:rsidRPr="006A3515" w:rsidTr="00692D9F">
        <w:trPr>
          <w:trHeight w:val="305"/>
        </w:trPr>
        <w:tc>
          <w:tcPr>
            <w:tcW w:w="1189" w:type="dxa"/>
            <w:tcBorders>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1854" w:type="dxa"/>
            <w:tcBorders>
              <w:left w:val="nil"/>
              <w:right w:val="nil"/>
            </w:tcBorders>
            <w:shd w:val="clear" w:color="auto" w:fill="auto"/>
            <w:vAlign w:val="center"/>
          </w:tcPr>
          <w:p w:rsidR="006B7833" w:rsidRPr="00577C5A" w:rsidRDefault="006B7833" w:rsidP="00577C5A">
            <w:pPr>
              <w:rPr>
                <w:rFonts w:eastAsia="Cambria"/>
                <w:color w:val="000000"/>
                <w:sz w:val="22"/>
                <w:szCs w:val="22"/>
              </w:rPr>
            </w:pPr>
          </w:p>
        </w:tc>
        <w:tc>
          <w:tcPr>
            <w:tcW w:w="584"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95"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93"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06"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07"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49" w:type="dxa"/>
            <w:tcBorders>
              <w:left w:val="nil"/>
            </w:tcBorders>
            <w:shd w:val="clear" w:color="auto" w:fill="auto"/>
            <w:vAlign w:val="center"/>
          </w:tcPr>
          <w:p w:rsidR="006B7833" w:rsidRPr="00577C5A" w:rsidRDefault="006B7833" w:rsidP="00577C5A">
            <w:pPr>
              <w:jc w:val="center"/>
              <w:rPr>
                <w:rFonts w:eastAsia="Cambria"/>
                <w:color w:val="000000"/>
                <w:sz w:val="22"/>
                <w:szCs w:val="22"/>
              </w:rPr>
            </w:pPr>
          </w:p>
        </w:tc>
      </w:tr>
      <w:tr w:rsidR="00692D9F" w:rsidRPr="006A3515" w:rsidTr="00F8034E">
        <w:trPr>
          <w:trHeight w:val="610"/>
        </w:trPr>
        <w:tc>
          <w:tcPr>
            <w:tcW w:w="1189" w:type="dxa"/>
            <w:tcBorders>
              <w:right w:val="nil"/>
            </w:tcBorders>
            <w:shd w:val="clear" w:color="auto" w:fill="auto"/>
            <w:vAlign w:val="center"/>
          </w:tcPr>
          <w:p w:rsidR="00692D9F" w:rsidRPr="00577C5A" w:rsidRDefault="00692D9F" w:rsidP="00577C5A">
            <w:pPr>
              <w:jc w:val="center"/>
              <w:rPr>
                <w:rFonts w:eastAsia="Cambria"/>
                <w:color w:val="000000"/>
                <w:sz w:val="22"/>
                <w:szCs w:val="22"/>
              </w:rPr>
            </w:pPr>
            <w:r w:rsidRPr="00577C5A">
              <w:rPr>
                <w:rFonts w:eastAsia="Cambria"/>
                <w:color w:val="000000"/>
                <w:sz w:val="22"/>
                <w:szCs w:val="22"/>
              </w:rPr>
              <w:t>NDVI</w:t>
            </w:r>
          </w:p>
        </w:tc>
        <w:tc>
          <w:tcPr>
            <w:tcW w:w="1854" w:type="dxa"/>
            <w:tcBorders>
              <w:left w:val="nil"/>
              <w:right w:val="nil"/>
            </w:tcBorders>
            <w:shd w:val="clear" w:color="auto" w:fill="auto"/>
            <w:vAlign w:val="center"/>
          </w:tcPr>
          <w:p w:rsidR="00692D9F" w:rsidRPr="00577C5A" w:rsidRDefault="00692D9F" w:rsidP="00F8034E">
            <w:pPr>
              <w:rPr>
                <w:rFonts w:eastAsia="Cambria"/>
                <w:color w:val="000000"/>
                <w:sz w:val="22"/>
                <w:szCs w:val="22"/>
              </w:rPr>
            </w:pPr>
            <w:r w:rsidRPr="00577C5A">
              <w:rPr>
                <w:rFonts w:eastAsia="Cambria"/>
                <w:color w:val="000000"/>
                <w:sz w:val="22"/>
                <w:szCs w:val="22"/>
              </w:rPr>
              <w:t>Treatment</w:t>
            </w:r>
          </w:p>
        </w:tc>
        <w:tc>
          <w:tcPr>
            <w:tcW w:w="584" w:type="dxa"/>
            <w:tcBorders>
              <w:left w:val="nil"/>
              <w:righ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4</w:t>
            </w:r>
          </w:p>
        </w:tc>
        <w:tc>
          <w:tcPr>
            <w:tcW w:w="995"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93"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06"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07"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w:t>
            </w:r>
          </w:p>
        </w:tc>
        <w:tc>
          <w:tcPr>
            <w:tcW w:w="949" w:type="dxa"/>
            <w:tcBorders>
              <w:lef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w:t>
            </w:r>
          </w:p>
        </w:tc>
      </w:tr>
      <w:tr w:rsidR="006B7833" w:rsidRPr="006A3515" w:rsidTr="00692D9F">
        <w:trPr>
          <w:trHeight w:val="305"/>
        </w:trPr>
        <w:tc>
          <w:tcPr>
            <w:tcW w:w="1189" w:type="dxa"/>
            <w:tcBorders>
              <w:bottom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1854" w:type="dxa"/>
            <w:tcBorders>
              <w:left w:val="nil"/>
              <w:right w:val="nil"/>
            </w:tcBorders>
            <w:shd w:val="clear" w:color="auto" w:fill="auto"/>
            <w:vAlign w:val="center"/>
          </w:tcPr>
          <w:p w:rsidR="006B7833" w:rsidRPr="00577C5A" w:rsidRDefault="006B7833" w:rsidP="00577C5A">
            <w:pPr>
              <w:rPr>
                <w:rFonts w:eastAsia="Cambria"/>
                <w:color w:val="000000"/>
                <w:sz w:val="22"/>
                <w:szCs w:val="22"/>
              </w:rPr>
            </w:pPr>
          </w:p>
        </w:tc>
        <w:tc>
          <w:tcPr>
            <w:tcW w:w="584"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95"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93"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06"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07" w:type="dxa"/>
            <w:tcBorders>
              <w:left w:val="nil"/>
              <w:right w:val="nil"/>
            </w:tcBorders>
            <w:shd w:val="clear" w:color="auto" w:fill="auto"/>
            <w:vAlign w:val="center"/>
          </w:tcPr>
          <w:p w:rsidR="006B7833" w:rsidRPr="00577C5A" w:rsidRDefault="006B7833" w:rsidP="00577C5A">
            <w:pPr>
              <w:jc w:val="center"/>
              <w:rPr>
                <w:rFonts w:eastAsia="Cambria"/>
                <w:color w:val="000000"/>
                <w:sz w:val="22"/>
                <w:szCs w:val="22"/>
              </w:rPr>
            </w:pPr>
          </w:p>
        </w:tc>
        <w:tc>
          <w:tcPr>
            <w:tcW w:w="949" w:type="dxa"/>
            <w:tcBorders>
              <w:left w:val="nil"/>
            </w:tcBorders>
            <w:shd w:val="clear" w:color="auto" w:fill="auto"/>
            <w:vAlign w:val="center"/>
          </w:tcPr>
          <w:p w:rsidR="006B7833" w:rsidRPr="00577C5A" w:rsidRDefault="006B7833" w:rsidP="00577C5A">
            <w:pPr>
              <w:jc w:val="center"/>
              <w:rPr>
                <w:rFonts w:eastAsia="Cambria"/>
                <w:color w:val="000000"/>
                <w:sz w:val="22"/>
                <w:szCs w:val="22"/>
              </w:rPr>
            </w:pPr>
          </w:p>
        </w:tc>
      </w:tr>
      <w:tr w:rsidR="00692D9F" w:rsidRPr="006A3515" w:rsidTr="00F8034E">
        <w:trPr>
          <w:trHeight w:val="610"/>
        </w:trPr>
        <w:tc>
          <w:tcPr>
            <w:tcW w:w="1189" w:type="dxa"/>
            <w:tcBorders>
              <w:bottom w:val="single" w:sz="4" w:space="0" w:color="000000"/>
              <w:right w:val="nil"/>
            </w:tcBorders>
            <w:shd w:val="clear" w:color="auto" w:fill="auto"/>
            <w:vAlign w:val="center"/>
          </w:tcPr>
          <w:p w:rsidR="00692D9F" w:rsidRPr="00577C5A" w:rsidRDefault="00692D9F" w:rsidP="00577C5A">
            <w:pPr>
              <w:jc w:val="center"/>
              <w:rPr>
                <w:rFonts w:eastAsia="Cambria"/>
                <w:color w:val="000000"/>
                <w:sz w:val="22"/>
                <w:szCs w:val="22"/>
              </w:rPr>
            </w:pPr>
            <w:r w:rsidRPr="00577C5A">
              <w:rPr>
                <w:rFonts w:eastAsia="Cambria"/>
                <w:color w:val="000000"/>
                <w:sz w:val="22"/>
                <w:szCs w:val="22"/>
              </w:rPr>
              <w:t>RVI</w:t>
            </w:r>
          </w:p>
        </w:tc>
        <w:tc>
          <w:tcPr>
            <w:tcW w:w="1854" w:type="dxa"/>
            <w:tcBorders>
              <w:left w:val="nil"/>
              <w:right w:val="nil"/>
            </w:tcBorders>
            <w:shd w:val="clear" w:color="auto" w:fill="auto"/>
            <w:vAlign w:val="center"/>
          </w:tcPr>
          <w:p w:rsidR="00692D9F" w:rsidRPr="00577C5A" w:rsidRDefault="00692D9F" w:rsidP="00F8034E">
            <w:pPr>
              <w:rPr>
                <w:rFonts w:eastAsia="Cambria"/>
                <w:color w:val="000000"/>
                <w:sz w:val="22"/>
                <w:szCs w:val="22"/>
              </w:rPr>
            </w:pPr>
            <w:r w:rsidRPr="00577C5A">
              <w:rPr>
                <w:rFonts w:eastAsia="Cambria"/>
                <w:color w:val="000000"/>
                <w:sz w:val="22"/>
                <w:szCs w:val="22"/>
              </w:rPr>
              <w:t>Treatment</w:t>
            </w:r>
          </w:p>
        </w:tc>
        <w:tc>
          <w:tcPr>
            <w:tcW w:w="584" w:type="dxa"/>
            <w:tcBorders>
              <w:left w:val="nil"/>
              <w:right w:val="nil"/>
            </w:tcBorders>
            <w:shd w:val="clear" w:color="auto" w:fill="auto"/>
            <w:vAlign w:val="center"/>
          </w:tcPr>
          <w:p w:rsidR="00692D9F" w:rsidRPr="00577C5A" w:rsidRDefault="00692D9F" w:rsidP="00F8034E">
            <w:pPr>
              <w:jc w:val="center"/>
              <w:rPr>
                <w:rFonts w:eastAsia="Cambria"/>
                <w:sz w:val="22"/>
                <w:szCs w:val="22"/>
              </w:rPr>
            </w:pPr>
            <w:r w:rsidRPr="00577C5A">
              <w:rPr>
                <w:rFonts w:eastAsia="Cambria"/>
                <w:color w:val="000000"/>
                <w:sz w:val="22"/>
                <w:szCs w:val="22"/>
              </w:rPr>
              <w:t>4</w:t>
            </w:r>
          </w:p>
        </w:tc>
        <w:tc>
          <w:tcPr>
            <w:tcW w:w="995"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93"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06"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NS</w:t>
            </w:r>
          </w:p>
        </w:tc>
        <w:tc>
          <w:tcPr>
            <w:tcW w:w="907" w:type="dxa"/>
            <w:tcBorders>
              <w:left w:val="nil"/>
              <w:righ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w:t>
            </w:r>
          </w:p>
        </w:tc>
        <w:tc>
          <w:tcPr>
            <w:tcW w:w="949" w:type="dxa"/>
            <w:tcBorders>
              <w:left w:val="nil"/>
            </w:tcBorders>
            <w:shd w:val="clear" w:color="auto" w:fill="auto"/>
            <w:vAlign w:val="center"/>
          </w:tcPr>
          <w:p w:rsidR="00692D9F" w:rsidRPr="00577C5A" w:rsidRDefault="00692D9F" w:rsidP="00F8034E">
            <w:pPr>
              <w:jc w:val="center"/>
              <w:rPr>
                <w:rFonts w:eastAsia="Cambria"/>
                <w:color w:val="000000"/>
                <w:sz w:val="22"/>
                <w:szCs w:val="22"/>
              </w:rPr>
            </w:pPr>
            <w:r w:rsidRPr="00577C5A">
              <w:rPr>
                <w:rFonts w:eastAsia="Cambria"/>
                <w:color w:val="000000"/>
                <w:sz w:val="22"/>
                <w:szCs w:val="22"/>
              </w:rPr>
              <w:t>***</w:t>
            </w:r>
          </w:p>
        </w:tc>
      </w:tr>
      <w:tr w:rsidR="006B7833" w:rsidRPr="006A3515" w:rsidTr="00743AAB">
        <w:trPr>
          <w:trHeight w:val="121"/>
        </w:trPr>
        <w:tc>
          <w:tcPr>
            <w:tcW w:w="8377" w:type="dxa"/>
            <w:gridSpan w:val="8"/>
            <w:tcBorders>
              <w:top w:val="single" w:sz="4" w:space="0" w:color="auto"/>
              <w:bottom w:val="nil"/>
            </w:tcBorders>
            <w:shd w:val="clear" w:color="auto" w:fill="auto"/>
            <w:vAlign w:val="center"/>
          </w:tcPr>
          <w:p w:rsidR="006B7833" w:rsidRPr="006A3515" w:rsidRDefault="00E760FD" w:rsidP="00E760FD">
            <w:pPr>
              <w:rPr>
                <w:rFonts w:eastAsia="Cambria"/>
                <w:color w:val="000000"/>
                <w:sz w:val="20"/>
                <w:szCs w:val="20"/>
              </w:rPr>
            </w:pPr>
            <w:r w:rsidRPr="00E760FD">
              <w:rPr>
                <w:rFonts w:eastAsia="Cambria"/>
                <w:color w:val="000000"/>
                <w:sz w:val="20"/>
                <w:szCs w:val="20"/>
              </w:rPr>
              <w:t>*</w:t>
            </w:r>
            <w:r>
              <w:rPr>
                <w:rFonts w:eastAsia="Cambria"/>
                <w:color w:val="000000"/>
                <w:sz w:val="20"/>
                <w:szCs w:val="20"/>
              </w:rPr>
              <w:t xml:space="preserve"> </w:t>
            </w:r>
            <w:r w:rsidR="006B7833" w:rsidRPr="006A3515">
              <w:rPr>
                <w:rFonts w:eastAsia="Cambria"/>
                <w:color w:val="000000"/>
                <w:sz w:val="20"/>
                <w:szCs w:val="20"/>
              </w:rPr>
              <w:t>Significant at the p ≤ 0.05 level.</w:t>
            </w:r>
          </w:p>
        </w:tc>
      </w:tr>
      <w:tr w:rsidR="00577C5A" w:rsidRPr="006A3515" w:rsidTr="00743AAB">
        <w:trPr>
          <w:trHeight w:val="121"/>
        </w:trPr>
        <w:tc>
          <w:tcPr>
            <w:tcW w:w="8377" w:type="dxa"/>
            <w:gridSpan w:val="8"/>
            <w:tcBorders>
              <w:top w:val="nil"/>
              <w:bottom w:val="nil"/>
            </w:tcBorders>
            <w:shd w:val="clear" w:color="auto" w:fill="auto"/>
            <w:vAlign w:val="center"/>
          </w:tcPr>
          <w:p w:rsidR="00577C5A" w:rsidRPr="006A3515" w:rsidRDefault="00577C5A" w:rsidP="00577C5A">
            <w:pPr>
              <w:rPr>
                <w:rFonts w:eastAsia="Cambria"/>
                <w:color w:val="000000"/>
                <w:sz w:val="20"/>
                <w:szCs w:val="20"/>
              </w:rPr>
            </w:pPr>
            <w:r w:rsidRPr="006A3515">
              <w:rPr>
                <w:rFonts w:eastAsia="Cambria"/>
                <w:color w:val="000000"/>
                <w:sz w:val="20"/>
                <w:szCs w:val="20"/>
              </w:rPr>
              <w:t>**</w:t>
            </w:r>
            <w:r w:rsidR="00E760FD">
              <w:rPr>
                <w:rFonts w:eastAsia="Cambria"/>
                <w:color w:val="000000"/>
                <w:sz w:val="20"/>
                <w:szCs w:val="20"/>
              </w:rPr>
              <w:t xml:space="preserve"> </w:t>
            </w:r>
            <w:r w:rsidRPr="006A3515">
              <w:rPr>
                <w:rFonts w:eastAsia="Cambria"/>
                <w:color w:val="000000"/>
                <w:sz w:val="20"/>
                <w:szCs w:val="20"/>
              </w:rPr>
              <w:t>Significant at the p ≤ 0.01 level.</w:t>
            </w:r>
          </w:p>
        </w:tc>
      </w:tr>
      <w:tr w:rsidR="00577C5A" w:rsidRPr="006A3515" w:rsidTr="00743AAB">
        <w:trPr>
          <w:trHeight w:val="121"/>
        </w:trPr>
        <w:tc>
          <w:tcPr>
            <w:tcW w:w="8377" w:type="dxa"/>
            <w:gridSpan w:val="8"/>
            <w:tcBorders>
              <w:top w:val="nil"/>
              <w:bottom w:val="nil"/>
            </w:tcBorders>
            <w:shd w:val="clear" w:color="auto" w:fill="auto"/>
            <w:vAlign w:val="center"/>
          </w:tcPr>
          <w:p w:rsidR="00577C5A" w:rsidRPr="006A3515" w:rsidRDefault="00577C5A" w:rsidP="00577C5A">
            <w:pPr>
              <w:rPr>
                <w:rFonts w:eastAsia="Cambria"/>
                <w:color w:val="000000"/>
                <w:sz w:val="20"/>
                <w:szCs w:val="20"/>
              </w:rPr>
            </w:pPr>
            <w:r w:rsidRPr="006A3515">
              <w:rPr>
                <w:rFonts w:eastAsia="Cambria"/>
                <w:color w:val="000000"/>
                <w:sz w:val="20"/>
                <w:szCs w:val="20"/>
              </w:rPr>
              <w:t>***</w:t>
            </w:r>
            <w:r w:rsidR="00E760FD">
              <w:rPr>
                <w:rFonts w:eastAsia="Cambria"/>
                <w:color w:val="000000"/>
                <w:sz w:val="20"/>
                <w:szCs w:val="20"/>
              </w:rPr>
              <w:t xml:space="preserve"> </w:t>
            </w:r>
            <w:r w:rsidRPr="006A3515">
              <w:rPr>
                <w:rFonts w:eastAsia="Cambria"/>
                <w:color w:val="000000"/>
                <w:sz w:val="20"/>
                <w:szCs w:val="20"/>
              </w:rPr>
              <w:t>Significant at the p ≤ 0.001 level.</w:t>
            </w:r>
          </w:p>
        </w:tc>
      </w:tr>
      <w:tr w:rsidR="00577C5A" w:rsidRPr="006A3515" w:rsidTr="00743AAB">
        <w:trPr>
          <w:trHeight w:val="121"/>
        </w:trPr>
        <w:tc>
          <w:tcPr>
            <w:tcW w:w="8377" w:type="dxa"/>
            <w:gridSpan w:val="8"/>
            <w:tcBorders>
              <w:top w:val="nil"/>
              <w:bottom w:val="nil"/>
            </w:tcBorders>
            <w:shd w:val="clear" w:color="auto" w:fill="auto"/>
            <w:vAlign w:val="center"/>
          </w:tcPr>
          <w:p w:rsidR="00577C5A" w:rsidRPr="006A3515" w:rsidRDefault="00577C5A" w:rsidP="00E760FD">
            <w:pPr>
              <w:rPr>
                <w:rFonts w:eastAsia="Cambria"/>
                <w:color w:val="000000"/>
                <w:sz w:val="20"/>
                <w:szCs w:val="20"/>
              </w:rPr>
            </w:pPr>
            <w:r w:rsidRPr="006A3515">
              <w:rPr>
                <w:rFonts w:eastAsia="Cambria"/>
                <w:color w:val="000000"/>
                <w:sz w:val="20"/>
                <w:szCs w:val="20"/>
              </w:rPr>
              <w:t>†</w:t>
            </w:r>
            <w:r w:rsidR="00E760FD">
              <w:rPr>
                <w:rFonts w:eastAsia="Cambria"/>
                <w:color w:val="000000"/>
                <w:sz w:val="20"/>
                <w:szCs w:val="20"/>
              </w:rPr>
              <w:t xml:space="preserve"> NS, </w:t>
            </w:r>
            <w:r w:rsidRPr="006A3515">
              <w:rPr>
                <w:rFonts w:eastAsia="Cambria"/>
                <w:color w:val="000000"/>
                <w:sz w:val="20"/>
                <w:szCs w:val="20"/>
              </w:rPr>
              <w:t>not significant.</w:t>
            </w:r>
          </w:p>
        </w:tc>
      </w:tr>
    </w:tbl>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6B7833" w:rsidRDefault="006B7833" w:rsidP="006B7833">
      <w:pPr>
        <w:pStyle w:val="Caption"/>
        <w:rPr>
          <w:rFonts w:ascii="Arial" w:hAnsi="Arial" w:cs="Arial"/>
          <w:sz w:val="24"/>
        </w:rPr>
      </w:pPr>
    </w:p>
    <w:p w:rsidR="009B2EE6" w:rsidRDefault="009B2EE6" w:rsidP="009B2EE6">
      <w:pPr>
        <w:rPr>
          <w:rFonts w:ascii="Arial" w:hAnsi="Arial" w:cs="Arial"/>
          <w:b/>
          <w:bCs/>
          <w:szCs w:val="20"/>
        </w:rPr>
      </w:pPr>
    </w:p>
    <w:p w:rsidR="009B2EE6" w:rsidRDefault="009B2EE6" w:rsidP="009B2EE6"/>
    <w:p w:rsidR="00743AAB" w:rsidRDefault="00743AAB" w:rsidP="009B2EE6"/>
    <w:p w:rsidR="00743AAB" w:rsidRPr="009B2EE6" w:rsidRDefault="00743AAB" w:rsidP="009B2EE6"/>
    <w:p w:rsidR="006B7833" w:rsidRDefault="006B7833" w:rsidP="006B7833"/>
    <w:tbl>
      <w:tblPr>
        <w:tblpPr w:leftFromText="180" w:rightFromText="180" w:vertAnchor="text" w:horzAnchor="margin" w:tblpY="74"/>
        <w:tblW w:w="8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92"/>
        <w:gridCol w:w="982"/>
        <w:gridCol w:w="974"/>
        <w:gridCol w:w="939"/>
        <w:gridCol w:w="900"/>
        <w:gridCol w:w="987"/>
      </w:tblGrid>
      <w:tr w:rsidR="009B2EE6" w:rsidRPr="006A3515" w:rsidTr="00743AAB">
        <w:trPr>
          <w:trHeight w:val="449"/>
        </w:trPr>
        <w:tc>
          <w:tcPr>
            <w:tcW w:w="8374" w:type="dxa"/>
            <w:gridSpan w:val="6"/>
            <w:tcBorders>
              <w:top w:val="nil"/>
              <w:left w:val="nil"/>
              <w:right w:val="nil"/>
            </w:tcBorders>
            <w:vAlign w:val="bottom"/>
          </w:tcPr>
          <w:p w:rsidR="009B2EE6" w:rsidRPr="00051556" w:rsidRDefault="009B2EE6" w:rsidP="00051556">
            <w:pPr>
              <w:pStyle w:val="Heading2"/>
              <w:jc w:val="left"/>
              <w:rPr>
                <w:sz w:val="23"/>
                <w:szCs w:val="23"/>
              </w:rPr>
            </w:pPr>
            <w:bookmarkStart w:id="77" w:name="_Toc353890898"/>
            <w:bookmarkStart w:id="78" w:name="_Toc353892639"/>
            <w:r w:rsidRPr="00051556">
              <w:rPr>
                <w:rFonts w:eastAsia="Calibri"/>
                <w:sz w:val="23"/>
                <w:szCs w:val="23"/>
              </w:rPr>
              <w:t xml:space="preserve">Table 2.5. Visual measurements of turfgrass quality under various strobilurin fungicide programs in 2012. </w:t>
            </w:r>
            <w:r w:rsidR="00F65EBA" w:rsidRPr="00051556">
              <w:rPr>
                <w:rFonts w:eastAsia="Calibri"/>
                <w:sz w:val="23"/>
                <w:szCs w:val="23"/>
              </w:rPr>
              <w:t>Fungicide programs were located in Strawberry Plains, TN, on a ‘Dominant Southern’ creeping bentgrass (</w:t>
            </w:r>
            <w:r w:rsidR="00F65EBA" w:rsidRPr="00051556">
              <w:rPr>
                <w:rFonts w:eastAsia="Calibri"/>
                <w:i/>
                <w:sz w:val="23"/>
                <w:szCs w:val="23"/>
              </w:rPr>
              <w:t>Agrostis stolonifera</w:t>
            </w:r>
            <w:r w:rsidR="00F65EBA" w:rsidRPr="00051556">
              <w:rPr>
                <w:rFonts w:eastAsia="Calibri"/>
                <w:sz w:val="23"/>
                <w:szCs w:val="23"/>
              </w:rPr>
              <w:t xml:space="preserve"> L.) putting green.</w:t>
            </w:r>
            <w:bookmarkEnd w:id="77"/>
            <w:bookmarkEnd w:id="78"/>
            <w:r w:rsidRPr="00051556">
              <w:rPr>
                <w:rFonts w:eastAsia="Calibri"/>
                <w:sz w:val="23"/>
                <w:szCs w:val="23"/>
              </w:rPr>
              <w:t xml:space="preserve"> </w:t>
            </w:r>
          </w:p>
        </w:tc>
      </w:tr>
      <w:tr w:rsidR="009B2EE6" w:rsidRPr="006A3515" w:rsidTr="00743AAB">
        <w:trPr>
          <w:trHeight w:val="336"/>
        </w:trPr>
        <w:tc>
          <w:tcPr>
            <w:tcW w:w="3592" w:type="dxa"/>
            <w:vMerge w:val="restart"/>
            <w:tcBorders>
              <w:left w:val="nil"/>
              <w:right w:val="nil"/>
            </w:tcBorders>
            <w:vAlign w:val="center"/>
          </w:tcPr>
          <w:p w:rsidR="009B2EE6" w:rsidRPr="001038AE" w:rsidRDefault="009B2EE6" w:rsidP="009B2EE6">
            <w:pPr>
              <w:jc w:val="center"/>
              <w:rPr>
                <w:b/>
                <w:sz w:val="22"/>
                <w:szCs w:val="22"/>
              </w:rPr>
            </w:pPr>
            <w:r w:rsidRPr="001038AE">
              <w:rPr>
                <w:b/>
                <w:sz w:val="22"/>
                <w:szCs w:val="22"/>
              </w:rPr>
              <w:t>Fungicide Program</w:t>
            </w:r>
          </w:p>
        </w:tc>
        <w:tc>
          <w:tcPr>
            <w:tcW w:w="4782" w:type="dxa"/>
            <w:gridSpan w:val="5"/>
            <w:tcBorders>
              <w:left w:val="nil"/>
              <w:right w:val="nil"/>
            </w:tcBorders>
            <w:vAlign w:val="center"/>
          </w:tcPr>
          <w:p w:rsidR="009B2EE6" w:rsidRPr="001038AE" w:rsidRDefault="009B2EE6" w:rsidP="009B2EE6">
            <w:pPr>
              <w:jc w:val="center"/>
              <w:rPr>
                <w:b/>
                <w:sz w:val="22"/>
                <w:szCs w:val="22"/>
              </w:rPr>
            </w:pPr>
            <w:r w:rsidRPr="001038AE">
              <w:rPr>
                <w:b/>
                <w:sz w:val="22"/>
                <w:szCs w:val="22"/>
              </w:rPr>
              <w:t>Turfgrass quality</w:t>
            </w:r>
            <w:r w:rsidRPr="00C52984">
              <w:rPr>
                <w:rFonts w:eastAsia="Cambria"/>
                <w:sz w:val="22"/>
                <w:szCs w:val="22"/>
                <w:vertAlign w:val="superscript"/>
              </w:rPr>
              <w:t>†</w:t>
            </w:r>
          </w:p>
        </w:tc>
      </w:tr>
      <w:tr w:rsidR="009B2EE6" w:rsidRPr="006A3515" w:rsidTr="00743AAB">
        <w:trPr>
          <w:trHeight w:val="336"/>
        </w:trPr>
        <w:tc>
          <w:tcPr>
            <w:tcW w:w="3592" w:type="dxa"/>
            <w:vMerge/>
            <w:tcBorders>
              <w:left w:val="nil"/>
              <w:right w:val="nil"/>
            </w:tcBorders>
            <w:vAlign w:val="center"/>
          </w:tcPr>
          <w:p w:rsidR="009B2EE6" w:rsidRPr="001038AE" w:rsidRDefault="009B2EE6" w:rsidP="009B2EE6">
            <w:pPr>
              <w:jc w:val="center"/>
              <w:rPr>
                <w:b/>
                <w:sz w:val="22"/>
                <w:szCs w:val="22"/>
              </w:rPr>
            </w:pPr>
          </w:p>
        </w:tc>
        <w:tc>
          <w:tcPr>
            <w:tcW w:w="4782" w:type="dxa"/>
            <w:gridSpan w:val="5"/>
            <w:tcBorders>
              <w:left w:val="nil"/>
              <w:bottom w:val="single" w:sz="4" w:space="0" w:color="000000"/>
              <w:right w:val="nil"/>
            </w:tcBorders>
            <w:vAlign w:val="center"/>
          </w:tcPr>
          <w:p w:rsidR="009B2EE6" w:rsidRPr="001038AE" w:rsidRDefault="009B2EE6" w:rsidP="009B2EE6">
            <w:pPr>
              <w:jc w:val="center"/>
              <w:rPr>
                <w:b/>
                <w:sz w:val="22"/>
                <w:szCs w:val="22"/>
              </w:rPr>
            </w:pPr>
            <w:r w:rsidRPr="001038AE">
              <w:rPr>
                <w:b/>
                <w:sz w:val="22"/>
                <w:szCs w:val="22"/>
              </w:rPr>
              <w:t>Days after initial treatment</w:t>
            </w:r>
          </w:p>
        </w:tc>
      </w:tr>
      <w:tr w:rsidR="009B2EE6" w:rsidRPr="006A3515" w:rsidTr="00743AAB">
        <w:trPr>
          <w:trHeight w:val="336"/>
        </w:trPr>
        <w:tc>
          <w:tcPr>
            <w:tcW w:w="3592" w:type="dxa"/>
            <w:vMerge/>
            <w:tcBorders>
              <w:left w:val="nil"/>
              <w:bottom w:val="single" w:sz="4" w:space="0" w:color="000000"/>
              <w:right w:val="nil"/>
            </w:tcBorders>
            <w:vAlign w:val="center"/>
          </w:tcPr>
          <w:p w:rsidR="009B2EE6" w:rsidRPr="001038AE" w:rsidRDefault="009B2EE6" w:rsidP="009B2EE6">
            <w:pPr>
              <w:jc w:val="center"/>
              <w:rPr>
                <w:b/>
                <w:sz w:val="22"/>
                <w:szCs w:val="22"/>
              </w:rPr>
            </w:pPr>
          </w:p>
        </w:tc>
        <w:tc>
          <w:tcPr>
            <w:tcW w:w="982" w:type="dxa"/>
            <w:tcBorders>
              <w:left w:val="nil"/>
              <w:bottom w:val="single" w:sz="4" w:space="0" w:color="000000"/>
              <w:right w:val="nil"/>
            </w:tcBorders>
            <w:vAlign w:val="center"/>
          </w:tcPr>
          <w:p w:rsidR="009B2EE6" w:rsidRPr="001038AE" w:rsidRDefault="009B2EE6" w:rsidP="009B2EE6">
            <w:pPr>
              <w:jc w:val="center"/>
              <w:rPr>
                <w:b/>
                <w:sz w:val="22"/>
                <w:szCs w:val="22"/>
              </w:rPr>
            </w:pPr>
            <w:r w:rsidRPr="001038AE">
              <w:rPr>
                <w:b/>
                <w:sz w:val="22"/>
                <w:szCs w:val="22"/>
              </w:rPr>
              <w:t>14</w:t>
            </w:r>
          </w:p>
        </w:tc>
        <w:tc>
          <w:tcPr>
            <w:tcW w:w="974" w:type="dxa"/>
            <w:tcBorders>
              <w:left w:val="nil"/>
              <w:bottom w:val="single" w:sz="4" w:space="0" w:color="000000"/>
              <w:right w:val="nil"/>
            </w:tcBorders>
            <w:vAlign w:val="center"/>
          </w:tcPr>
          <w:p w:rsidR="009B2EE6" w:rsidRPr="001038AE" w:rsidRDefault="009B2EE6" w:rsidP="009B2EE6">
            <w:pPr>
              <w:jc w:val="center"/>
              <w:rPr>
                <w:b/>
                <w:sz w:val="22"/>
                <w:szCs w:val="22"/>
              </w:rPr>
            </w:pPr>
            <w:r w:rsidRPr="001038AE">
              <w:rPr>
                <w:b/>
                <w:sz w:val="22"/>
                <w:szCs w:val="22"/>
              </w:rPr>
              <w:t>28</w:t>
            </w:r>
          </w:p>
        </w:tc>
        <w:tc>
          <w:tcPr>
            <w:tcW w:w="939" w:type="dxa"/>
            <w:tcBorders>
              <w:left w:val="nil"/>
              <w:bottom w:val="single" w:sz="4" w:space="0" w:color="000000"/>
              <w:right w:val="nil"/>
            </w:tcBorders>
            <w:vAlign w:val="center"/>
          </w:tcPr>
          <w:p w:rsidR="009B2EE6" w:rsidRPr="001038AE" w:rsidRDefault="009B2EE6" w:rsidP="009B2EE6">
            <w:pPr>
              <w:jc w:val="center"/>
              <w:rPr>
                <w:b/>
                <w:sz w:val="22"/>
                <w:szCs w:val="22"/>
              </w:rPr>
            </w:pPr>
            <w:r w:rsidRPr="001038AE">
              <w:rPr>
                <w:b/>
                <w:sz w:val="22"/>
                <w:szCs w:val="22"/>
              </w:rPr>
              <w:t>42</w:t>
            </w:r>
          </w:p>
        </w:tc>
        <w:tc>
          <w:tcPr>
            <w:tcW w:w="900" w:type="dxa"/>
            <w:tcBorders>
              <w:left w:val="nil"/>
              <w:bottom w:val="single" w:sz="4" w:space="0" w:color="000000"/>
              <w:right w:val="nil"/>
            </w:tcBorders>
            <w:vAlign w:val="center"/>
          </w:tcPr>
          <w:p w:rsidR="009B2EE6" w:rsidRPr="001038AE" w:rsidRDefault="009B2EE6" w:rsidP="009B2EE6">
            <w:pPr>
              <w:jc w:val="center"/>
              <w:rPr>
                <w:b/>
                <w:sz w:val="22"/>
                <w:szCs w:val="22"/>
              </w:rPr>
            </w:pPr>
            <w:r w:rsidRPr="001038AE">
              <w:rPr>
                <w:b/>
                <w:sz w:val="22"/>
                <w:szCs w:val="22"/>
              </w:rPr>
              <w:t>56</w:t>
            </w:r>
          </w:p>
        </w:tc>
        <w:tc>
          <w:tcPr>
            <w:tcW w:w="987" w:type="dxa"/>
            <w:tcBorders>
              <w:left w:val="nil"/>
              <w:bottom w:val="single" w:sz="4" w:space="0" w:color="000000"/>
              <w:right w:val="nil"/>
            </w:tcBorders>
            <w:vAlign w:val="center"/>
          </w:tcPr>
          <w:p w:rsidR="009B2EE6" w:rsidRPr="001038AE" w:rsidRDefault="009B2EE6" w:rsidP="009B2EE6">
            <w:pPr>
              <w:jc w:val="center"/>
              <w:rPr>
                <w:b/>
                <w:sz w:val="22"/>
                <w:szCs w:val="22"/>
                <w:vertAlign w:val="superscript"/>
              </w:rPr>
            </w:pPr>
            <w:r w:rsidRPr="001038AE">
              <w:rPr>
                <w:b/>
                <w:sz w:val="22"/>
                <w:szCs w:val="22"/>
              </w:rPr>
              <w:t>70</w:t>
            </w:r>
          </w:p>
        </w:tc>
      </w:tr>
      <w:tr w:rsidR="009B2EE6" w:rsidRPr="006A3515" w:rsidTr="00743AAB">
        <w:trPr>
          <w:trHeight w:val="392"/>
        </w:trPr>
        <w:tc>
          <w:tcPr>
            <w:tcW w:w="3592" w:type="dxa"/>
            <w:tcBorders>
              <w:left w:val="nil"/>
              <w:bottom w:val="nil"/>
              <w:right w:val="nil"/>
            </w:tcBorders>
            <w:vAlign w:val="center"/>
          </w:tcPr>
          <w:p w:rsidR="009B2EE6" w:rsidRPr="001038AE" w:rsidRDefault="009B2EE6" w:rsidP="009B2EE6">
            <w:pPr>
              <w:tabs>
                <w:tab w:val="left" w:pos="1780"/>
              </w:tabs>
              <w:ind w:left="-50" w:right="-45"/>
              <w:jc w:val="center"/>
              <w:rPr>
                <w:rFonts w:eastAsia="Cambria"/>
                <w:color w:val="000000"/>
                <w:sz w:val="22"/>
                <w:szCs w:val="22"/>
              </w:rPr>
            </w:pPr>
            <w:r w:rsidRPr="001038AE">
              <w:rPr>
                <w:rFonts w:eastAsia="Cambria"/>
                <w:color w:val="000000"/>
                <w:sz w:val="22"/>
                <w:szCs w:val="22"/>
              </w:rPr>
              <w:t>Trifloxystrobin</w:t>
            </w:r>
          </w:p>
        </w:tc>
        <w:tc>
          <w:tcPr>
            <w:tcW w:w="982" w:type="dxa"/>
            <w:tcBorders>
              <w:left w:val="nil"/>
              <w:bottom w:val="nil"/>
              <w:right w:val="nil"/>
            </w:tcBorders>
            <w:vAlign w:val="center"/>
          </w:tcPr>
          <w:p w:rsidR="009B2EE6" w:rsidRPr="001038AE" w:rsidRDefault="009B2EE6" w:rsidP="009B2EE6">
            <w:pPr>
              <w:jc w:val="center"/>
              <w:rPr>
                <w:sz w:val="22"/>
                <w:szCs w:val="22"/>
              </w:rPr>
            </w:pPr>
            <w:r w:rsidRPr="001038AE">
              <w:rPr>
                <w:sz w:val="22"/>
                <w:szCs w:val="22"/>
              </w:rPr>
              <w:t>7</w:t>
            </w:r>
            <w:r w:rsidRPr="00C52984">
              <w:rPr>
                <w:sz w:val="22"/>
                <w:szCs w:val="22"/>
                <w:vertAlign w:val="superscript"/>
              </w:rPr>
              <w:t>‡</w:t>
            </w:r>
          </w:p>
        </w:tc>
        <w:tc>
          <w:tcPr>
            <w:tcW w:w="974" w:type="dxa"/>
            <w:tcBorders>
              <w:left w:val="nil"/>
              <w:bottom w:val="nil"/>
              <w:right w:val="nil"/>
            </w:tcBorders>
            <w:vAlign w:val="center"/>
          </w:tcPr>
          <w:p w:rsidR="009B2EE6" w:rsidRPr="001038AE" w:rsidRDefault="009B2EE6" w:rsidP="009B2EE6">
            <w:pPr>
              <w:ind w:left="-18"/>
              <w:jc w:val="center"/>
              <w:rPr>
                <w:sz w:val="22"/>
                <w:szCs w:val="22"/>
              </w:rPr>
            </w:pPr>
            <w:r w:rsidRPr="001038AE">
              <w:rPr>
                <w:sz w:val="22"/>
                <w:szCs w:val="22"/>
              </w:rPr>
              <w:t>7</w:t>
            </w:r>
          </w:p>
        </w:tc>
        <w:tc>
          <w:tcPr>
            <w:tcW w:w="939" w:type="dxa"/>
            <w:tcBorders>
              <w:left w:val="nil"/>
              <w:bottom w:val="nil"/>
              <w:right w:val="nil"/>
            </w:tcBorders>
            <w:vAlign w:val="center"/>
          </w:tcPr>
          <w:p w:rsidR="009B2EE6" w:rsidRPr="001038AE" w:rsidRDefault="009B2EE6" w:rsidP="009B2EE6">
            <w:pPr>
              <w:ind w:left="-33"/>
              <w:jc w:val="center"/>
              <w:rPr>
                <w:sz w:val="22"/>
                <w:szCs w:val="22"/>
              </w:rPr>
            </w:pPr>
            <w:r w:rsidRPr="001038AE">
              <w:rPr>
                <w:sz w:val="22"/>
                <w:szCs w:val="22"/>
              </w:rPr>
              <w:t>7</w:t>
            </w:r>
          </w:p>
        </w:tc>
        <w:tc>
          <w:tcPr>
            <w:tcW w:w="900" w:type="dxa"/>
            <w:tcBorders>
              <w:left w:val="nil"/>
              <w:bottom w:val="nil"/>
              <w:right w:val="nil"/>
            </w:tcBorders>
            <w:vAlign w:val="center"/>
          </w:tcPr>
          <w:p w:rsidR="009B2EE6" w:rsidRPr="001038AE" w:rsidRDefault="009B2EE6" w:rsidP="009B2EE6">
            <w:pPr>
              <w:ind w:left="-63"/>
              <w:jc w:val="center"/>
              <w:rPr>
                <w:sz w:val="22"/>
                <w:szCs w:val="22"/>
              </w:rPr>
            </w:pPr>
            <w:r w:rsidRPr="001038AE">
              <w:rPr>
                <w:sz w:val="22"/>
                <w:szCs w:val="22"/>
              </w:rPr>
              <w:t>6.9</w:t>
            </w:r>
          </w:p>
        </w:tc>
        <w:tc>
          <w:tcPr>
            <w:tcW w:w="987" w:type="dxa"/>
            <w:tcBorders>
              <w:left w:val="nil"/>
              <w:bottom w:val="nil"/>
              <w:right w:val="nil"/>
            </w:tcBorders>
            <w:vAlign w:val="center"/>
          </w:tcPr>
          <w:p w:rsidR="009B2EE6" w:rsidRPr="001038AE" w:rsidRDefault="009B2EE6" w:rsidP="009B2EE6">
            <w:pPr>
              <w:ind w:left="-71"/>
              <w:jc w:val="center"/>
              <w:rPr>
                <w:sz w:val="22"/>
                <w:szCs w:val="22"/>
              </w:rPr>
            </w:pPr>
            <w:r w:rsidRPr="001038AE">
              <w:rPr>
                <w:sz w:val="22"/>
                <w:szCs w:val="22"/>
              </w:rPr>
              <w:t>6.8</w:t>
            </w:r>
          </w:p>
        </w:tc>
      </w:tr>
      <w:tr w:rsidR="009B2EE6" w:rsidRPr="006A3515" w:rsidTr="00743AAB">
        <w:trPr>
          <w:trHeight w:val="392"/>
        </w:trPr>
        <w:tc>
          <w:tcPr>
            <w:tcW w:w="3592" w:type="dxa"/>
            <w:tcBorders>
              <w:top w:val="nil"/>
              <w:left w:val="nil"/>
              <w:bottom w:val="nil"/>
              <w:right w:val="nil"/>
            </w:tcBorders>
            <w:vAlign w:val="center"/>
          </w:tcPr>
          <w:p w:rsidR="009B2EE6" w:rsidRPr="001038AE" w:rsidRDefault="009B2EE6" w:rsidP="009B2EE6">
            <w:pPr>
              <w:tabs>
                <w:tab w:val="left" w:pos="1780"/>
              </w:tabs>
              <w:ind w:left="-50" w:right="-45"/>
              <w:jc w:val="center"/>
              <w:rPr>
                <w:rFonts w:eastAsia="Cambria"/>
                <w:color w:val="000000"/>
                <w:sz w:val="22"/>
                <w:szCs w:val="22"/>
              </w:rPr>
            </w:pPr>
            <w:r w:rsidRPr="001038AE">
              <w:rPr>
                <w:rFonts w:eastAsia="Cambria"/>
                <w:color w:val="000000"/>
                <w:sz w:val="22"/>
                <w:szCs w:val="22"/>
              </w:rPr>
              <w:t>Fluoxastrobin</w:t>
            </w:r>
          </w:p>
        </w:tc>
        <w:tc>
          <w:tcPr>
            <w:tcW w:w="982" w:type="dxa"/>
            <w:tcBorders>
              <w:top w:val="nil"/>
              <w:left w:val="nil"/>
              <w:bottom w:val="nil"/>
              <w:right w:val="nil"/>
            </w:tcBorders>
            <w:vAlign w:val="center"/>
          </w:tcPr>
          <w:p w:rsidR="009B2EE6" w:rsidRPr="001038AE" w:rsidRDefault="009B2EE6" w:rsidP="009B2EE6">
            <w:pPr>
              <w:ind w:left="-18"/>
              <w:jc w:val="center"/>
              <w:rPr>
                <w:sz w:val="22"/>
                <w:szCs w:val="22"/>
              </w:rPr>
            </w:pPr>
            <w:r w:rsidRPr="001038AE">
              <w:rPr>
                <w:sz w:val="22"/>
                <w:szCs w:val="22"/>
              </w:rPr>
              <w:t>7</w:t>
            </w:r>
          </w:p>
        </w:tc>
        <w:tc>
          <w:tcPr>
            <w:tcW w:w="974" w:type="dxa"/>
            <w:tcBorders>
              <w:top w:val="nil"/>
              <w:left w:val="nil"/>
              <w:bottom w:val="nil"/>
              <w:right w:val="nil"/>
            </w:tcBorders>
            <w:vAlign w:val="center"/>
          </w:tcPr>
          <w:p w:rsidR="009B2EE6" w:rsidRPr="001038AE" w:rsidRDefault="009B2EE6" w:rsidP="009B2EE6">
            <w:pPr>
              <w:ind w:left="-33"/>
              <w:jc w:val="center"/>
              <w:rPr>
                <w:sz w:val="22"/>
                <w:szCs w:val="22"/>
              </w:rPr>
            </w:pPr>
            <w:r w:rsidRPr="001038AE">
              <w:rPr>
                <w:sz w:val="22"/>
                <w:szCs w:val="22"/>
              </w:rPr>
              <w:t>7</w:t>
            </w:r>
          </w:p>
        </w:tc>
        <w:tc>
          <w:tcPr>
            <w:tcW w:w="939" w:type="dxa"/>
            <w:tcBorders>
              <w:top w:val="nil"/>
              <w:left w:val="nil"/>
              <w:bottom w:val="nil"/>
              <w:right w:val="nil"/>
            </w:tcBorders>
            <w:vAlign w:val="center"/>
          </w:tcPr>
          <w:p w:rsidR="009B2EE6" w:rsidRPr="001038AE" w:rsidRDefault="009B2EE6" w:rsidP="009B2EE6">
            <w:pPr>
              <w:ind w:left="-33"/>
              <w:jc w:val="center"/>
              <w:rPr>
                <w:sz w:val="22"/>
                <w:szCs w:val="22"/>
              </w:rPr>
            </w:pPr>
            <w:r w:rsidRPr="001038AE">
              <w:rPr>
                <w:sz w:val="22"/>
                <w:szCs w:val="22"/>
              </w:rPr>
              <w:t>7</w:t>
            </w:r>
          </w:p>
        </w:tc>
        <w:tc>
          <w:tcPr>
            <w:tcW w:w="900" w:type="dxa"/>
            <w:tcBorders>
              <w:top w:val="nil"/>
              <w:left w:val="nil"/>
              <w:bottom w:val="nil"/>
              <w:right w:val="nil"/>
            </w:tcBorders>
            <w:vAlign w:val="center"/>
          </w:tcPr>
          <w:p w:rsidR="009B2EE6" w:rsidRPr="001038AE" w:rsidRDefault="009B2EE6" w:rsidP="009B2EE6">
            <w:pPr>
              <w:ind w:left="-63"/>
              <w:jc w:val="center"/>
              <w:rPr>
                <w:sz w:val="22"/>
                <w:szCs w:val="22"/>
              </w:rPr>
            </w:pPr>
            <w:r w:rsidRPr="001038AE">
              <w:rPr>
                <w:sz w:val="22"/>
                <w:szCs w:val="22"/>
              </w:rPr>
              <w:t>6.9</w:t>
            </w:r>
          </w:p>
        </w:tc>
        <w:tc>
          <w:tcPr>
            <w:tcW w:w="987" w:type="dxa"/>
            <w:tcBorders>
              <w:top w:val="nil"/>
              <w:left w:val="nil"/>
              <w:bottom w:val="nil"/>
              <w:right w:val="nil"/>
            </w:tcBorders>
            <w:vAlign w:val="center"/>
          </w:tcPr>
          <w:p w:rsidR="009B2EE6" w:rsidRPr="001038AE" w:rsidRDefault="009B2EE6" w:rsidP="009B2EE6">
            <w:pPr>
              <w:ind w:left="-71"/>
              <w:jc w:val="center"/>
              <w:rPr>
                <w:sz w:val="22"/>
                <w:szCs w:val="22"/>
              </w:rPr>
            </w:pPr>
            <w:r w:rsidRPr="001038AE">
              <w:rPr>
                <w:sz w:val="22"/>
                <w:szCs w:val="22"/>
              </w:rPr>
              <w:t>6.9</w:t>
            </w:r>
          </w:p>
        </w:tc>
      </w:tr>
      <w:tr w:rsidR="009B2EE6" w:rsidRPr="006A3515" w:rsidTr="00743AAB">
        <w:trPr>
          <w:trHeight w:val="392"/>
        </w:trPr>
        <w:tc>
          <w:tcPr>
            <w:tcW w:w="3592" w:type="dxa"/>
            <w:tcBorders>
              <w:top w:val="nil"/>
              <w:left w:val="nil"/>
              <w:bottom w:val="nil"/>
              <w:right w:val="nil"/>
            </w:tcBorders>
            <w:vAlign w:val="center"/>
          </w:tcPr>
          <w:p w:rsidR="009B2EE6" w:rsidRPr="001038AE" w:rsidRDefault="009B2EE6" w:rsidP="009B2EE6">
            <w:pPr>
              <w:tabs>
                <w:tab w:val="left" w:pos="1780"/>
              </w:tabs>
              <w:ind w:left="-50" w:right="-45"/>
              <w:jc w:val="center"/>
              <w:rPr>
                <w:rFonts w:eastAsia="Cambria"/>
                <w:color w:val="000000"/>
                <w:sz w:val="22"/>
                <w:szCs w:val="22"/>
              </w:rPr>
            </w:pPr>
            <w:r w:rsidRPr="001038AE">
              <w:rPr>
                <w:rFonts w:eastAsia="Cambria"/>
                <w:color w:val="000000"/>
                <w:sz w:val="22"/>
                <w:szCs w:val="22"/>
              </w:rPr>
              <w:t>Pyraclostrobin</w:t>
            </w:r>
          </w:p>
        </w:tc>
        <w:tc>
          <w:tcPr>
            <w:tcW w:w="982" w:type="dxa"/>
            <w:tcBorders>
              <w:top w:val="nil"/>
              <w:left w:val="nil"/>
              <w:bottom w:val="nil"/>
              <w:right w:val="nil"/>
            </w:tcBorders>
            <w:vAlign w:val="center"/>
          </w:tcPr>
          <w:p w:rsidR="009B2EE6" w:rsidRPr="001038AE" w:rsidRDefault="009B2EE6" w:rsidP="009B2EE6">
            <w:pPr>
              <w:jc w:val="center"/>
              <w:rPr>
                <w:sz w:val="22"/>
                <w:szCs w:val="22"/>
              </w:rPr>
            </w:pPr>
            <w:r w:rsidRPr="001038AE">
              <w:rPr>
                <w:sz w:val="22"/>
                <w:szCs w:val="22"/>
              </w:rPr>
              <w:t>7</w:t>
            </w:r>
          </w:p>
        </w:tc>
        <w:tc>
          <w:tcPr>
            <w:tcW w:w="974" w:type="dxa"/>
            <w:tcBorders>
              <w:top w:val="nil"/>
              <w:left w:val="nil"/>
              <w:bottom w:val="nil"/>
              <w:right w:val="nil"/>
            </w:tcBorders>
            <w:vAlign w:val="center"/>
          </w:tcPr>
          <w:p w:rsidR="009B2EE6" w:rsidRPr="001038AE" w:rsidRDefault="009B2EE6" w:rsidP="009B2EE6">
            <w:pPr>
              <w:ind w:left="-33"/>
              <w:jc w:val="center"/>
              <w:rPr>
                <w:sz w:val="22"/>
                <w:szCs w:val="22"/>
              </w:rPr>
            </w:pPr>
            <w:r w:rsidRPr="001038AE">
              <w:rPr>
                <w:sz w:val="22"/>
                <w:szCs w:val="22"/>
              </w:rPr>
              <w:t>7</w:t>
            </w:r>
          </w:p>
        </w:tc>
        <w:tc>
          <w:tcPr>
            <w:tcW w:w="939" w:type="dxa"/>
            <w:tcBorders>
              <w:top w:val="nil"/>
              <w:left w:val="nil"/>
              <w:bottom w:val="nil"/>
              <w:right w:val="nil"/>
            </w:tcBorders>
            <w:vAlign w:val="center"/>
          </w:tcPr>
          <w:p w:rsidR="009B2EE6" w:rsidRPr="001038AE" w:rsidRDefault="009B2EE6" w:rsidP="009B2EE6">
            <w:pPr>
              <w:jc w:val="center"/>
              <w:rPr>
                <w:sz w:val="22"/>
                <w:szCs w:val="22"/>
              </w:rPr>
            </w:pPr>
            <w:r w:rsidRPr="001038AE">
              <w:rPr>
                <w:sz w:val="22"/>
                <w:szCs w:val="22"/>
              </w:rPr>
              <w:t>6.9</w:t>
            </w:r>
          </w:p>
        </w:tc>
        <w:tc>
          <w:tcPr>
            <w:tcW w:w="900" w:type="dxa"/>
            <w:tcBorders>
              <w:top w:val="nil"/>
              <w:left w:val="nil"/>
              <w:bottom w:val="nil"/>
              <w:right w:val="nil"/>
            </w:tcBorders>
            <w:vAlign w:val="center"/>
          </w:tcPr>
          <w:p w:rsidR="009B2EE6" w:rsidRPr="001038AE" w:rsidRDefault="009B2EE6" w:rsidP="009B2EE6">
            <w:pPr>
              <w:ind w:left="-63"/>
              <w:jc w:val="center"/>
              <w:rPr>
                <w:sz w:val="22"/>
                <w:szCs w:val="22"/>
              </w:rPr>
            </w:pPr>
            <w:r w:rsidRPr="001038AE">
              <w:rPr>
                <w:sz w:val="22"/>
                <w:szCs w:val="22"/>
              </w:rPr>
              <w:t>6.9</w:t>
            </w:r>
          </w:p>
        </w:tc>
        <w:tc>
          <w:tcPr>
            <w:tcW w:w="987" w:type="dxa"/>
            <w:tcBorders>
              <w:top w:val="nil"/>
              <w:left w:val="nil"/>
              <w:bottom w:val="nil"/>
              <w:right w:val="nil"/>
            </w:tcBorders>
            <w:vAlign w:val="center"/>
          </w:tcPr>
          <w:p w:rsidR="009B2EE6" w:rsidRPr="001038AE" w:rsidRDefault="009B2EE6" w:rsidP="009B2EE6">
            <w:pPr>
              <w:ind w:left="-71"/>
              <w:jc w:val="center"/>
              <w:rPr>
                <w:sz w:val="22"/>
                <w:szCs w:val="22"/>
              </w:rPr>
            </w:pPr>
            <w:r w:rsidRPr="001038AE">
              <w:rPr>
                <w:sz w:val="22"/>
                <w:szCs w:val="22"/>
              </w:rPr>
              <w:t>6.9</w:t>
            </w:r>
          </w:p>
        </w:tc>
      </w:tr>
      <w:tr w:rsidR="009B2EE6" w:rsidRPr="006A3515" w:rsidTr="00743AAB">
        <w:trPr>
          <w:trHeight w:val="392"/>
        </w:trPr>
        <w:tc>
          <w:tcPr>
            <w:tcW w:w="3592" w:type="dxa"/>
            <w:tcBorders>
              <w:top w:val="nil"/>
              <w:left w:val="nil"/>
              <w:bottom w:val="nil"/>
              <w:right w:val="nil"/>
            </w:tcBorders>
            <w:vAlign w:val="center"/>
          </w:tcPr>
          <w:p w:rsidR="009B2EE6" w:rsidRPr="001038AE" w:rsidRDefault="009B2EE6" w:rsidP="009B2EE6">
            <w:pPr>
              <w:tabs>
                <w:tab w:val="left" w:pos="1780"/>
              </w:tabs>
              <w:ind w:left="-50" w:right="-45"/>
              <w:jc w:val="center"/>
              <w:rPr>
                <w:rFonts w:eastAsia="Cambria"/>
                <w:color w:val="000000"/>
                <w:sz w:val="22"/>
                <w:szCs w:val="22"/>
              </w:rPr>
            </w:pPr>
            <w:r w:rsidRPr="001038AE">
              <w:rPr>
                <w:rFonts w:eastAsia="Cambria"/>
                <w:color w:val="000000"/>
                <w:sz w:val="22"/>
                <w:szCs w:val="22"/>
              </w:rPr>
              <w:t>Azoxystrobin</w:t>
            </w:r>
          </w:p>
        </w:tc>
        <w:tc>
          <w:tcPr>
            <w:tcW w:w="982" w:type="dxa"/>
            <w:tcBorders>
              <w:top w:val="nil"/>
              <w:left w:val="nil"/>
              <w:bottom w:val="nil"/>
              <w:right w:val="nil"/>
            </w:tcBorders>
            <w:vAlign w:val="center"/>
          </w:tcPr>
          <w:p w:rsidR="009B2EE6" w:rsidRPr="001038AE" w:rsidRDefault="009B2EE6" w:rsidP="009B2EE6">
            <w:pPr>
              <w:jc w:val="center"/>
              <w:rPr>
                <w:sz w:val="22"/>
                <w:szCs w:val="22"/>
              </w:rPr>
            </w:pPr>
            <w:r w:rsidRPr="001038AE">
              <w:rPr>
                <w:sz w:val="22"/>
                <w:szCs w:val="22"/>
              </w:rPr>
              <w:t>7</w:t>
            </w:r>
          </w:p>
        </w:tc>
        <w:tc>
          <w:tcPr>
            <w:tcW w:w="974" w:type="dxa"/>
            <w:tcBorders>
              <w:top w:val="nil"/>
              <w:left w:val="nil"/>
              <w:bottom w:val="nil"/>
              <w:right w:val="nil"/>
            </w:tcBorders>
            <w:vAlign w:val="center"/>
          </w:tcPr>
          <w:p w:rsidR="009B2EE6" w:rsidRPr="001038AE" w:rsidRDefault="009B2EE6" w:rsidP="009B2EE6">
            <w:pPr>
              <w:ind w:left="-33"/>
              <w:jc w:val="center"/>
              <w:rPr>
                <w:sz w:val="22"/>
                <w:szCs w:val="22"/>
              </w:rPr>
            </w:pPr>
            <w:r w:rsidRPr="001038AE">
              <w:rPr>
                <w:sz w:val="22"/>
                <w:szCs w:val="22"/>
              </w:rPr>
              <w:t>7</w:t>
            </w:r>
          </w:p>
        </w:tc>
        <w:tc>
          <w:tcPr>
            <w:tcW w:w="939" w:type="dxa"/>
            <w:tcBorders>
              <w:top w:val="nil"/>
              <w:left w:val="nil"/>
              <w:bottom w:val="nil"/>
              <w:right w:val="nil"/>
            </w:tcBorders>
            <w:vAlign w:val="center"/>
          </w:tcPr>
          <w:p w:rsidR="009B2EE6" w:rsidRPr="001038AE" w:rsidRDefault="009B2EE6" w:rsidP="009B2EE6">
            <w:pPr>
              <w:jc w:val="center"/>
              <w:rPr>
                <w:sz w:val="22"/>
                <w:szCs w:val="22"/>
              </w:rPr>
            </w:pPr>
            <w:r w:rsidRPr="001038AE">
              <w:rPr>
                <w:sz w:val="22"/>
                <w:szCs w:val="22"/>
              </w:rPr>
              <w:t>7</w:t>
            </w:r>
          </w:p>
        </w:tc>
        <w:tc>
          <w:tcPr>
            <w:tcW w:w="900" w:type="dxa"/>
            <w:tcBorders>
              <w:top w:val="nil"/>
              <w:left w:val="nil"/>
              <w:bottom w:val="nil"/>
              <w:right w:val="nil"/>
            </w:tcBorders>
            <w:vAlign w:val="center"/>
          </w:tcPr>
          <w:p w:rsidR="009B2EE6" w:rsidRPr="001038AE" w:rsidRDefault="009B2EE6" w:rsidP="009B2EE6">
            <w:pPr>
              <w:ind w:left="-63"/>
              <w:jc w:val="center"/>
              <w:rPr>
                <w:sz w:val="22"/>
                <w:szCs w:val="22"/>
              </w:rPr>
            </w:pPr>
            <w:r w:rsidRPr="001038AE">
              <w:rPr>
                <w:sz w:val="22"/>
                <w:szCs w:val="22"/>
              </w:rPr>
              <w:t>6.9</w:t>
            </w:r>
          </w:p>
        </w:tc>
        <w:tc>
          <w:tcPr>
            <w:tcW w:w="987" w:type="dxa"/>
            <w:tcBorders>
              <w:top w:val="nil"/>
              <w:left w:val="nil"/>
              <w:bottom w:val="nil"/>
              <w:right w:val="nil"/>
            </w:tcBorders>
            <w:vAlign w:val="center"/>
          </w:tcPr>
          <w:p w:rsidR="009B2EE6" w:rsidRPr="001038AE" w:rsidRDefault="009B2EE6" w:rsidP="009B2EE6">
            <w:pPr>
              <w:ind w:left="-71"/>
              <w:jc w:val="center"/>
              <w:rPr>
                <w:sz w:val="22"/>
                <w:szCs w:val="22"/>
              </w:rPr>
            </w:pPr>
            <w:r w:rsidRPr="001038AE">
              <w:rPr>
                <w:sz w:val="22"/>
                <w:szCs w:val="22"/>
              </w:rPr>
              <w:t>6.9</w:t>
            </w:r>
          </w:p>
        </w:tc>
      </w:tr>
      <w:tr w:rsidR="009B2EE6" w:rsidRPr="006A3515" w:rsidTr="00743AAB">
        <w:trPr>
          <w:trHeight w:val="392"/>
        </w:trPr>
        <w:tc>
          <w:tcPr>
            <w:tcW w:w="3592" w:type="dxa"/>
            <w:tcBorders>
              <w:top w:val="nil"/>
              <w:left w:val="nil"/>
              <w:bottom w:val="nil"/>
              <w:right w:val="nil"/>
            </w:tcBorders>
            <w:vAlign w:val="center"/>
          </w:tcPr>
          <w:p w:rsidR="009B2EE6" w:rsidRPr="001038AE" w:rsidRDefault="009B2EE6" w:rsidP="009B2EE6">
            <w:pPr>
              <w:tabs>
                <w:tab w:val="left" w:pos="1780"/>
              </w:tabs>
              <w:ind w:left="-50" w:right="-45"/>
              <w:jc w:val="center"/>
              <w:rPr>
                <w:rFonts w:eastAsia="Cambria"/>
                <w:color w:val="000000"/>
                <w:sz w:val="22"/>
                <w:szCs w:val="22"/>
              </w:rPr>
            </w:pPr>
            <w:r w:rsidRPr="001038AE">
              <w:rPr>
                <w:rFonts w:eastAsia="Cambria"/>
                <w:color w:val="000000"/>
                <w:sz w:val="22"/>
                <w:szCs w:val="22"/>
              </w:rPr>
              <w:t>Untreated check</w:t>
            </w:r>
          </w:p>
        </w:tc>
        <w:tc>
          <w:tcPr>
            <w:tcW w:w="982" w:type="dxa"/>
            <w:tcBorders>
              <w:top w:val="nil"/>
              <w:left w:val="nil"/>
              <w:bottom w:val="nil"/>
              <w:right w:val="nil"/>
            </w:tcBorders>
            <w:vAlign w:val="center"/>
          </w:tcPr>
          <w:p w:rsidR="009B2EE6" w:rsidRPr="001038AE" w:rsidRDefault="009B2EE6" w:rsidP="009B2EE6">
            <w:pPr>
              <w:jc w:val="center"/>
              <w:rPr>
                <w:sz w:val="22"/>
                <w:szCs w:val="22"/>
              </w:rPr>
            </w:pPr>
            <w:r w:rsidRPr="001038AE">
              <w:rPr>
                <w:sz w:val="22"/>
                <w:szCs w:val="22"/>
              </w:rPr>
              <w:t>7</w:t>
            </w:r>
          </w:p>
        </w:tc>
        <w:tc>
          <w:tcPr>
            <w:tcW w:w="974" w:type="dxa"/>
            <w:tcBorders>
              <w:top w:val="nil"/>
              <w:left w:val="nil"/>
              <w:bottom w:val="nil"/>
              <w:right w:val="nil"/>
            </w:tcBorders>
            <w:vAlign w:val="center"/>
          </w:tcPr>
          <w:p w:rsidR="009B2EE6" w:rsidRPr="001038AE" w:rsidRDefault="009B2EE6" w:rsidP="009B2EE6">
            <w:pPr>
              <w:ind w:left="-33"/>
              <w:jc w:val="center"/>
              <w:rPr>
                <w:sz w:val="22"/>
                <w:szCs w:val="22"/>
              </w:rPr>
            </w:pPr>
            <w:r w:rsidRPr="001038AE">
              <w:rPr>
                <w:sz w:val="22"/>
                <w:szCs w:val="22"/>
              </w:rPr>
              <w:t>7</w:t>
            </w:r>
          </w:p>
        </w:tc>
        <w:tc>
          <w:tcPr>
            <w:tcW w:w="939" w:type="dxa"/>
            <w:tcBorders>
              <w:top w:val="nil"/>
              <w:left w:val="nil"/>
              <w:bottom w:val="nil"/>
              <w:right w:val="nil"/>
            </w:tcBorders>
            <w:vAlign w:val="center"/>
          </w:tcPr>
          <w:p w:rsidR="009B2EE6" w:rsidRPr="001038AE" w:rsidRDefault="009B2EE6" w:rsidP="009B2EE6">
            <w:pPr>
              <w:jc w:val="center"/>
              <w:rPr>
                <w:sz w:val="22"/>
                <w:szCs w:val="22"/>
              </w:rPr>
            </w:pPr>
            <w:r w:rsidRPr="001038AE">
              <w:rPr>
                <w:sz w:val="22"/>
                <w:szCs w:val="22"/>
              </w:rPr>
              <w:t>6.7</w:t>
            </w:r>
          </w:p>
        </w:tc>
        <w:tc>
          <w:tcPr>
            <w:tcW w:w="900" w:type="dxa"/>
            <w:tcBorders>
              <w:top w:val="nil"/>
              <w:left w:val="nil"/>
              <w:bottom w:val="nil"/>
              <w:right w:val="nil"/>
            </w:tcBorders>
            <w:vAlign w:val="center"/>
          </w:tcPr>
          <w:p w:rsidR="009B2EE6" w:rsidRPr="001038AE" w:rsidRDefault="009B2EE6" w:rsidP="009B2EE6">
            <w:pPr>
              <w:ind w:left="-63"/>
              <w:jc w:val="center"/>
              <w:rPr>
                <w:sz w:val="22"/>
                <w:szCs w:val="22"/>
              </w:rPr>
            </w:pPr>
            <w:r w:rsidRPr="001038AE">
              <w:rPr>
                <w:sz w:val="22"/>
                <w:szCs w:val="22"/>
              </w:rPr>
              <w:t>6.5</w:t>
            </w:r>
          </w:p>
        </w:tc>
        <w:tc>
          <w:tcPr>
            <w:tcW w:w="987" w:type="dxa"/>
            <w:tcBorders>
              <w:top w:val="nil"/>
              <w:left w:val="nil"/>
              <w:bottom w:val="nil"/>
              <w:right w:val="nil"/>
            </w:tcBorders>
            <w:vAlign w:val="center"/>
          </w:tcPr>
          <w:p w:rsidR="009B2EE6" w:rsidRPr="001038AE" w:rsidRDefault="009B2EE6" w:rsidP="009B2EE6">
            <w:pPr>
              <w:ind w:left="-71"/>
              <w:jc w:val="center"/>
              <w:rPr>
                <w:sz w:val="22"/>
                <w:szCs w:val="22"/>
              </w:rPr>
            </w:pPr>
            <w:r w:rsidRPr="001038AE">
              <w:rPr>
                <w:sz w:val="22"/>
                <w:szCs w:val="22"/>
              </w:rPr>
              <w:t>6.6</w:t>
            </w:r>
          </w:p>
        </w:tc>
      </w:tr>
      <w:tr w:rsidR="009B2EE6" w:rsidRPr="006A3515" w:rsidTr="00743AAB">
        <w:trPr>
          <w:trHeight w:val="392"/>
        </w:trPr>
        <w:tc>
          <w:tcPr>
            <w:tcW w:w="3592" w:type="dxa"/>
            <w:tcBorders>
              <w:top w:val="nil"/>
              <w:left w:val="nil"/>
              <w:bottom w:val="single" w:sz="4" w:space="0" w:color="000000"/>
              <w:right w:val="nil"/>
            </w:tcBorders>
            <w:vAlign w:val="center"/>
          </w:tcPr>
          <w:p w:rsidR="009B2EE6" w:rsidRPr="001038AE" w:rsidRDefault="009B2EE6" w:rsidP="009B2EE6">
            <w:pPr>
              <w:jc w:val="center"/>
              <w:rPr>
                <w:sz w:val="22"/>
                <w:szCs w:val="22"/>
              </w:rPr>
            </w:pPr>
            <w:r w:rsidRPr="001038AE">
              <w:rPr>
                <w:sz w:val="22"/>
                <w:szCs w:val="22"/>
              </w:rPr>
              <w:t>LSD</w:t>
            </w:r>
            <w:r w:rsidRPr="00777DF2">
              <w:rPr>
                <w:rFonts w:eastAsia="Cambria"/>
                <w:sz w:val="22"/>
                <w:szCs w:val="22"/>
                <w:vertAlign w:val="subscript"/>
              </w:rPr>
              <w:t>0.05</w:t>
            </w:r>
          </w:p>
        </w:tc>
        <w:tc>
          <w:tcPr>
            <w:tcW w:w="982" w:type="dxa"/>
            <w:tcBorders>
              <w:top w:val="nil"/>
              <w:left w:val="nil"/>
              <w:bottom w:val="single" w:sz="4" w:space="0" w:color="000000"/>
              <w:right w:val="nil"/>
            </w:tcBorders>
            <w:vAlign w:val="center"/>
          </w:tcPr>
          <w:p w:rsidR="009B2EE6" w:rsidRPr="001038AE" w:rsidRDefault="009B2EE6" w:rsidP="009B2EE6">
            <w:pPr>
              <w:jc w:val="center"/>
              <w:rPr>
                <w:sz w:val="22"/>
                <w:szCs w:val="22"/>
              </w:rPr>
            </w:pPr>
            <w:r w:rsidRPr="001038AE">
              <w:rPr>
                <w:sz w:val="22"/>
                <w:szCs w:val="22"/>
              </w:rPr>
              <w:t>NS</w:t>
            </w:r>
            <w:r w:rsidRPr="00C52984">
              <w:rPr>
                <w:rFonts w:eastAsia="Calibri"/>
                <w:sz w:val="20"/>
                <w:szCs w:val="20"/>
                <w:vertAlign w:val="superscript"/>
              </w:rPr>
              <w:t>§</w:t>
            </w:r>
          </w:p>
        </w:tc>
        <w:tc>
          <w:tcPr>
            <w:tcW w:w="974" w:type="dxa"/>
            <w:tcBorders>
              <w:top w:val="nil"/>
              <w:left w:val="nil"/>
              <w:bottom w:val="single" w:sz="4" w:space="0" w:color="000000"/>
              <w:right w:val="nil"/>
            </w:tcBorders>
            <w:vAlign w:val="center"/>
          </w:tcPr>
          <w:p w:rsidR="009B2EE6" w:rsidRPr="001038AE" w:rsidRDefault="009B2EE6" w:rsidP="009B2EE6">
            <w:pPr>
              <w:jc w:val="center"/>
              <w:rPr>
                <w:sz w:val="22"/>
                <w:szCs w:val="22"/>
              </w:rPr>
            </w:pPr>
            <w:r w:rsidRPr="001038AE">
              <w:rPr>
                <w:sz w:val="22"/>
                <w:szCs w:val="22"/>
              </w:rPr>
              <w:t>NS</w:t>
            </w:r>
          </w:p>
        </w:tc>
        <w:tc>
          <w:tcPr>
            <w:tcW w:w="939" w:type="dxa"/>
            <w:tcBorders>
              <w:top w:val="nil"/>
              <w:left w:val="nil"/>
              <w:bottom w:val="single" w:sz="4" w:space="0" w:color="000000"/>
              <w:right w:val="nil"/>
            </w:tcBorders>
            <w:vAlign w:val="center"/>
          </w:tcPr>
          <w:p w:rsidR="009B2EE6" w:rsidRPr="001038AE" w:rsidRDefault="009B2EE6" w:rsidP="009B2EE6">
            <w:pPr>
              <w:jc w:val="center"/>
              <w:rPr>
                <w:sz w:val="22"/>
                <w:szCs w:val="22"/>
              </w:rPr>
            </w:pPr>
            <w:r w:rsidRPr="001038AE">
              <w:rPr>
                <w:sz w:val="22"/>
                <w:szCs w:val="22"/>
              </w:rPr>
              <w:t>0.15</w:t>
            </w:r>
          </w:p>
        </w:tc>
        <w:tc>
          <w:tcPr>
            <w:tcW w:w="900" w:type="dxa"/>
            <w:tcBorders>
              <w:top w:val="nil"/>
              <w:left w:val="nil"/>
              <w:bottom w:val="single" w:sz="4" w:space="0" w:color="000000"/>
              <w:right w:val="nil"/>
            </w:tcBorders>
            <w:vAlign w:val="center"/>
          </w:tcPr>
          <w:p w:rsidR="009B2EE6" w:rsidRPr="001038AE" w:rsidRDefault="009B2EE6" w:rsidP="009B2EE6">
            <w:pPr>
              <w:jc w:val="center"/>
              <w:rPr>
                <w:sz w:val="22"/>
                <w:szCs w:val="22"/>
              </w:rPr>
            </w:pPr>
            <w:r w:rsidRPr="001038AE">
              <w:rPr>
                <w:sz w:val="22"/>
                <w:szCs w:val="22"/>
              </w:rPr>
              <w:t>0.09</w:t>
            </w:r>
          </w:p>
        </w:tc>
        <w:tc>
          <w:tcPr>
            <w:tcW w:w="987" w:type="dxa"/>
            <w:tcBorders>
              <w:top w:val="nil"/>
              <w:left w:val="nil"/>
              <w:bottom w:val="single" w:sz="4" w:space="0" w:color="000000"/>
              <w:right w:val="nil"/>
            </w:tcBorders>
            <w:vAlign w:val="center"/>
          </w:tcPr>
          <w:p w:rsidR="009B2EE6" w:rsidRPr="001038AE" w:rsidRDefault="009B2EE6" w:rsidP="009B2EE6">
            <w:pPr>
              <w:jc w:val="center"/>
              <w:rPr>
                <w:sz w:val="22"/>
                <w:szCs w:val="22"/>
              </w:rPr>
            </w:pPr>
            <w:r w:rsidRPr="001038AE">
              <w:rPr>
                <w:sz w:val="22"/>
                <w:szCs w:val="22"/>
              </w:rPr>
              <w:t>0.07</w:t>
            </w:r>
          </w:p>
        </w:tc>
      </w:tr>
      <w:tr w:rsidR="009B2EE6" w:rsidRPr="006A3515" w:rsidTr="00743AAB">
        <w:trPr>
          <w:trHeight w:val="142"/>
        </w:trPr>
        <w:tc>
          <w:tcPr>
            <w:tcW w:w="8374" w:type="dxa"/>
            <w:gridSpan w:val="6"/>
            <w:tcBorders>
              <w:left w:val="nil"/>
              <w:bottom w:val="nil"/>
              <w:right w:val="nil"/>
            </w:tcBorders>
          </w:tcPr>
          <w:p w:rsidR="009B2EE6" w:rsidRPr="006A3515" w:rsidRDefault="009B2EE6" w:rsidP="009B2EE6">
            <w:pPr>
              <w:rPr>
                <w:sz w:val="20"/>
                <w:szCs w:val="20"/>
              </w:rPr>
            </w:pPr>
            <w:r w:rsidRPr="00277250">
              <w:rPr>
                <w:rFonts w:eastAsia="Cambria"/>
                <w:sz w:val="20"/>
                <w:szCs w:val="20"/>
              </w:rPr>
              <w:t>†</w:t>
            </w:r>
            <w:r w:rsidRPr="00277250">
              <w:rPr>
                <w:sz w:val="20"/>
                <w:szCs w:val="20"/>
              </w:rPr>
              <w:t xml:space="preserve"> </w:t>
            </w:r>
            <w:r w:rsidRPr="006A3515">
              <w:rPr>
                <w:sz w:val="20"/>
                <w:szCs w:val="20"/>
              </w:rPr>
              <w:t>Turfgrass quality was quantified by using a 1</w:t>
            </w:r>
            <w:r w:rsidR="007D454F">
              <w:rPr>
                <w:sz w:val="20"/>
                <w:szCs w:val="20"/>
              </w:rPr>
              <w:t xml:space="preserve"> to </w:t>
            </w:r>
            <w:r w:rsidRPr="006A3515">
              <w:rPr>
                <w:sz w:val="20"/>
                <w:szCs w:val="20"/>
              </w:rPr>
              <w:t>9 scale where 1 = brown or dead turf and 9 = exceptional quality. A value of 6 is considered to the minimum acceptable level of quality for industry standards.</w:t>
            </w:r>
          </w:p>
        </w:tc>
      </w:tr>
      <w:tr w:rsidR="009B2EE6" w:rsidRPr="006A3515" w:rsidTr="00743AAB">
        <w:trPr>
          <w:trHeight w:val="142"/>
        </w:trPr>
        <w:tc>
          <w:tcPr>
            <w:tcW w:w="8374" w:type="dxa"/>
            <w:gridSpan w:val="6"/>
            <w:tcBorders>
              <w:top w:val="nil"/>
              <w:left w:val="nil"/>
              <w:bottom w:val="nil"/>
              <w:right w:val="nil"/>
            </w:tcBorders>
          </w:tcPr>
          <w:p w:rsidR="009B2EE6" w:rsidRPr="006A3515" w:rsidRDefault="009B2EE6" w:rsidP="009B2EE6">
            <w:pPr>
              <w:rPr>
                <w:rFonts w:eastAsia="Cambria"/>
                <w:sz w:val="20"/>
                <w:szCs w:val="20"/>
                <w:vertAlign w:val="superscript"/>
              </w:rPr>
            </w:pPr>
            <w:r w:rsidRPr="00277250">
              <w:rPr>
                <w:sz w:val="20"/>
                <w:szCs w:val="20"/>
              </w:rPr>
              <w:t>‡</w:t>
            </w:r>
            <w:r w:rsidRPr="006A3515">
              <w:rPr>
                <w:sz w:val="20"/>
                <w:szCs w:val="20"/>
                <w:vertAlign w:val="superscript"/>
              </w:rPr>
              <w:t xml:space="preserve"> </w:t>
            </w:r>
            <w:r w:rsidRPr="006A3515">
              <w:rPr>
                <w:sz w:val="20"/>
                <w:szCs w:val="20"/>
              </w:rPr>
              <w:t>Values are means of four replications.</w:t>
            </w:r>
          </w:p>
        </w:tc>
      </w:tr>
      <w:tr w:rsidR="009B2EE6" w:rsidRPr="006A3515" w:rsidTr="00743AAB">
        <w:trPr>
          <w:trHeight w:val="142"/>
        </w:trPr>
        <w:tc>
          <w:tcPr>
            <w:tcW w:w="8374" w:type="dxa"/>
            <w:gridSpan w:val="6"/>
            <w:tcBorders>
              <w:top w:val="nil"/>
              <w:left w:val="nil"/>
              <w:bottom w:val="nil"/>
              <w:right w:val="nil"/>
            </w:tcBorders>
          </w:tcPr>
          <w:p w:rsidR="009B2EE6" w:rsidRPr="00277250" w:rsidRDefault="009B2EE6" w:rsidP="009B2EE6">
            <w:pPr>
              <w:rPr>
                <w:sz w:val="20"/>
                <w:szCs w:val="20"/>
              </w:rPr>
            </w:pPr>
            <w:r w:rsidRPr="00777DF2">
              <w:rPr>
                <w:rFonts w:eastAsia="Calibri"/>
                <w:sz w:val="20"/>
                <w:szCs w:val="20"/>
              </w:rPr>
              <w:t>§</w:t>
            </w:r>
            <w:r>
              <w:rPr>
                <w:rFonts w:eastAsia="Calibri"/>
                <w:sz w:val="20"/>
                <w:szCs w:val="20"/>
              </w:rPr>
              <w:t xml:space="preserve"> NS, not significant. </w:t>
            </w:r>
          </w:p>
        </w:tc>
      </w:tr>
    </w:tbl>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944866" w:rsidRDefault="00944866" w:rsidP="006B7833"/>
    <w:p w:rsidR="00F906FC" w:rsidRDefault="00F906FC" w:rsidP="006B7833"/>
    <w:tbl>
      <w:tblPr>
        <w:tblpPr w:leftFromText="180" w:rightFromText="180" w:vertAnchor="text" w:horzAnchor="margin" w:tblpX="222" w:tblpY="359"/>
        <w:tblW w:w="8028" w:type="dxa"/>
        <w:tblBorders>
          <w:left w:val="single" w:sz="4" w:space="0" w:color="auto"/>
          <w:right w:val="single" w:sz="4" w:space="0" w:color="auto"/>
        </w:tblBorders>
        <w:tblLook w:val="04A0"/>
      </w:tblPr>
      <w:tblGrid>
        <w:gridCol w:w="2191"/>
        <w:gridCol w:w="1318"/>
        <w:gridCol w:w="1077"/>
        <w:gridCol w:w="1163"/>
        <w:gridCol w:w="951"/>
        <w:gridCol w:w="1328"/>
      </w:tblGrid>
      <w:tr w:rsidR="00944866" w:rsidRPr="006A3515" w:rsidTr="00944866">
        <w:trPr>
          <w:trHeight w:val="303"/>
        </w:trPr>
        <w:tc>
          <w:tcPr>
            <w:tcW w:w="8028" w:type="dxa"/>
            <w:gridSpan w:val="6"/>
            <w:tcBorders>
              <w:left w:val="nil"/>
              <w:bottom w:val="single" w:sz="4" w:space="0" w:color="auto"/>
              <w:right w:val="nil"/>
            </w:tcBorders>
          </w:tcPr>
          <w:p w:rsidR="00944866" w:rsidRPr="00051556" w:rsidRDefault="00944866" w:rsidP="00051556">
            <w:pPr>
              <w:pStyle w:val="Heading2"/>
              <w:jc w:val="left"/>
              <w:rPr>
                <w:rFonts w:eastAsia="Calibri"/>
                <w:sz w:val="23"/>
                <w:szCs w:val="23"/>
              </w:rPr>
            </w:pPr>
            <w:bookmarkStart w:id="79" w:name="_Toc353890899"/>
            <w:bookmarkStart w:id="80" w:name="_Toc353892640"/>
            <w:r w:rsidRPr="00051556">
              <w:rPr>
                <w:rFonts w:eastAsia="Calibri"/>
                <w:sz w:val="23"/>
                <w:szCs w:val="23"/>
              </w:rPr>
              <w:t>Table 2.6. Total root length, root surface area, root length density, root volume,</w:t>
            </w:r>
            <w:r w:rsidR="00CB3A59" w:rsidRPr="00051556">
              <w:rPr>
                <w:rFonts w:eastAsia="Calibri"/>
                <w:sz w:val="23"/>
                <w:szCs w:val="23"/>
              </w:rPr>
              <w:t xml:space="preserve"> </w:t>
            </w:r>
            <w:r w:rsidR="000A4A85" w:rsidRPr="00051556">
              <w:rPr>
                <w:rFonts w:eastAsia="Calibri"/>
                <w:sz w:val="23"/>
                <w:szCs w:val="23"/>
              </w:rPr>
              <w:t>and root biomass</w:t>
            </w:r>
            <w:r w:rsidRPr="00051556">
              <w:rPr>
                <w:rFonts w:eastAsia="Calibri"/>
                <w:sz w:val="23"/>
                <w:szCs w:val="23"/>
              </w:rPr>
              <w:t xml:space="preserve"> </w:t>
            </w:r>
            <w:r w:rsidR="007D454F" w:rsidRPr="00051556">
              <w:rPr>
                <w:rFonts w:eastAsia="Calibri"/>
                <w:sz w:val="23"/>
                <w:szCs w:val="23"/>
              </w:rPr>
              <w:t xml:space="preserve">of a </w:t>
            </w:r>
            <w:r w:rsidRPr="00051556">
              <w:rPr>
                <w:rFonts w:eastAsia="Calibri"/>
                <w:sz w:val="23"/>
                <w:szCs w:val="23"/>
              </w:rPr>
              <w:t xml:space="preserve">‘Dominant Southern’ creeping bentgrass </w:t>
            </w:r>
            <w:r w:rsidR="007D454F" w:rsidRPr="00051556">
              <w:rPr>
                <w:rFonts w:eastAsia="Cambria"/>
                <w:sz w:val="23"/>
                <w:szCs w:val="23"/>
              </w:rPr>
              <w:t>(</w:t>
            </w:r>
            <w:r w:rsidR="007D454F" w:rsidRPr="00051556">
              <w:rPr>
                <w:rFonts w:eastAsia="Cambria"/>
                <w:i/>
                <w:sz w:val="23"/>
                <w:szCs w:val="23"/>
              </w:rPr>
              <w:t>Agrostis stolonifera</w:t>
            </w:r>
            <w:r w:rsidR="007D454F" w:rsidRPr="00051556">
              <w:rPr>
                <w:rFonts w:eastAsia="Cambria"/>
                <w:sz w:val="23"/>
                <w:szCs w:val="23"/>
              </w:rPr>
              <w:t xml:space="preserve"> L.) putting green</w:t>
            </w:r>
            <w:r w:rsidR="007D454F" w:rsidRPr="00051556">
              <w:rPr>
                <w:rFonts w:eastAsia="Calibri"/>
                <w:sz w:val="23"/>
                <w:szCs w:val="23"/>
              </w:rPr>
              <w:t xml:space="preserve"> </w:t>
            </w:r>
            <w:r w:rsidRPr="00051556">
              <w:rPr>
                <w:rFonts w:eastAsia="Calibri"/>
                <w:sz w:val="23"/>
                <w:szCs w:val="23"/>
              </w:rPr>
              <w:t>treated with various strobilurin fungicide programs in 2011</w:t>
            </w:r>
            <w:r w:rsidR="007D454F" w:rsidRPr="00051556">
              <w:rPr>
                <w:rFonts w:eastAsia="Calibri"/>
                <w:sz w:val="23"/>
                <w:szCs w:val="23"/>
              </w:rPr>
              <w:t xml:space="preserve"> in Strawberry Plains, TN.</w:t>
            </w:r>
            <w:bookmarkEnd w:id="79"/>
            <w:bookmarkEnd w:id="80"/>
          </w:p>
        </w:tc>
      </w:tr>
      <w:tr w:rsidR="00944866" w:rsidRPr="006A3515" w:rsidTr="00944866">
        <w:trPr>
          <w:trHeight w:val="487"/>
        </w:trPr>
        <w:tc>
          <w:tcPr>
            <w:tcW w:w="2191" w:type="dxa"/>
            <w:tcBorders>
              <w:top w:val="single" w:sz="4" w:space="0" w:color="auto"/>
              <w:left w:val="nil"/>
              <w:bottom w:val="single" w:sz="4" w:space="0" w:color="auto"/>
            </w:tcBorders>
            <w:shd w:val="clear" w:color="auto" w:fill="auto"/>
            <w:vAlign w:val="center"/>
          </w:tcPr>
          <w:p w:rsidR="00944866" w:rsidRPr="002B68E0" w:rsidRDefault="00944866" w:rsidP="00944866">
            <w:pPr>
              <w:tabs>
                <w:tab w:val="left" w:pos="1780"/>
              </w:tabs>
              <w:ind w:left="-50"/>
              <w:jc w:val="center"/>
              <w:rPr>
                <w:rFonts w:eastAsia="Cambria"/>
                <w:b/>
                <w:sz w:val="22"/>
                <w:szCs w:val="22"/>
              </w:rPr>
            </w:pPr>
            <w:r w:rsidRPr="002B68E0">
              <w:rPr>
                <w:rFonts w:eastAsia="Cambria"/>
                <w:b/>
                <w:sz w:val="22"/>
                <w:szCs w:val="22"/>
              </w:rPr>
              <w:t>Fungicide program</w:t>
            </w:r>
          </w:p>
        </w:tc>
        <w:tc>
          <w:tcPr>
            <w:tcW w:w="1318" w:type="dxa"/>
            <w:tcBorders>
              <w:top w:val="single" w:sz="4" w:space="0" w:color="auto"/>
              <w:bottom w:val="single" w:sz="4" w:space="0" w:color="auto"/>
            </w:tcBorders>
            <w:shd w:val="clear" w:color="auto" w:fill="auto"/>
            <w:vAlign w:val="center"/>
          </w:tcPr>
          <w:p w:rsidR="00944866" w:rsidRPr="002B68E0" w:rsidRDefault="00944866" w:rsidP="00944866">
            <w:pPr>
              <w:jc w:val="center"/>
              <w:rPr>
                <w:rFonts w:eastAsia="Cambria"/>
                <w:b/>
                <w:sz w:val="22"/>
                <w:szCs w:val="22"/>
              </w:rPr>
            </w:pPr>
            <w:r w:rsidRPr="002B68E0">
              <w:rPr>
                <w:rFonts w:eastAsia="Cambria"/>
                <w:b/>
                <w:sz w:val="22"/>
                <w:szCs w:val="22"/>
              </w:rPr>
              <w:t>Total Root length</w:t>
            </w:r>
          </w:p>
        </w:tc>
        <w:tc>
          <w:tcPr>
            <w:tcW w:w="1077" w:type="dxa"/>
            <w:tcBorders>
              <w:top w:val="single" w:sz="4" w:space="0" w:color="auto"/>
              <w:bottom w:val="single" w:sz="4" w:space="0" w:color="auto"/>
            </w:tcBorders>
            <w:shd w:val="clear" w:color="auto" w:fill="auto"/>
            <w:vAlign w:val="center"/>
          </w:tcPr>
          <w:p w:rsidR="00944866" w:rsidRPr="002B68E0" w:rsidRDefault="00944866" w:rsidP="00944866">
            <w:pPr>
              <w:ind w:left="-104" w:right="-115"/>
              <w:jc w:val="center"/>
              <w:rPr>
                <w:rFonts w:eastAsia="Cambria"/>
                <w:b/>
                <w:sz w:val="22"/>
                <w:szCs w:val="22"/>
              </w:rPr>
            </w:pPr>
            <w:r w:rsidRPr="002B68E0">
              <w:rPr>
                <w:rFonts w:eastAsia="Cambria"/>
                <w:b/>
                <w:sz w:val="22"/>
                <w:szCs w:val="22"/>
              </w:rPr>
              <w:t>Root surface area</w:t>
            </w:r>
          </w:p>
        </w:tc>
        <w:tc>
          <w:tcPr>
            <w:tcW w:w="1163" w:type="dxa"/>
            <w:tcBorders>
              <w:top w:val="single" w:sz="4" w:space="0" w:color="auto"/>
              <w:bottom w:val="single" w:sz="4" w:space="0" w:color="auto"/>
            </w:tcBorders>
            <w:shd w:val="clear" w:color="auto" w:fill="auto"/>
            <w:vAlign w:val="center"/>
          </w:tcPr>
          <w:p w:rsidR="00944866" w:rsidRPr="002B68E0" w:rsidRDefault="00944866" w:rsidP="00944866">
            <w:pPr>
              <w:jc w:val="center"/>
              <w:rPr>
                <w:rFonts w:eastAsia="Cambria"/>
                <w:b/>
                <w:sz w:val="22"/>
                <w:szCs w:val="22"/>
              </w:rPr>
            </w:pPr>
            <w:r w:rsidRPr="002B68E0">
              <w:rPr>
                <w:rFonts w:eastAsia="Cambria"/>
                <w:b/>
                <w:sz w:val="22"/>
                <w:szCs w:val="22"/>
              </w:rPr>
              <w:t>Root diameter</w:t>
            </w:r>
          </w:p>
        </w:tc>
        <w:tc>
          <w:tcPr>
            <w:tcW w:w="951" w:type="dxa"/>
            <w:tcBorders>
              <w:top w:val="single" w:sz="4" w:space="0" w:color="auto"/>
              <w:bottom w:val="single" w:sz="4" w:space="0" w:color="auto"/>
            </w:tcBorders>
            <w:vAlign w:val="center"/>
          </w:tcPr>
          <w:p w:rsidR="00944866" w:rsidRPr="002B68E0" w:rsidRDefault="00944866" w:rsidP="00944866">
            <w:pPr>
              <w:jc w:val="center"/>
              <w:rPr>
                <w:rFonts w:eastAsia="Cambria"/>
                <w:b/>
                <w:sz w:val="22"/>
                <w:szCs w:val="22"/>
              </w:rPr>
            </w:pPr>
            <w:r w:rsidRPr="002B68E0">
              <w:rPr>
                <w:rFonts w:eastAsia="Cambria"/>
                <w:b/>
                <w:sz w:val="22"/>
                <w:szCs w:val="22"/>
              </w:rPr>
              <w:t>Root volume</w:t>
            </w:r>
          </w:p>
        </w:tc>
        <w:tc>
          <w:tcPr>
            <w:tcW w:w="1328" w:type="dxa"/>
            <w:tcBorders>
              <w:top w:val="single" w:sz="4" w:space="0" w:color="auto"/>
              <w:bottom w:val="single" w:sz="4" w:space="0" w:color="auto"/>
              <w:right w:val="nil"/>
            </w:tcBorders>
            <w:vAlign w:val="center"/>
          </w:tcPr>
          <w:p w:rsidR="00944866" w:rsidRPr="002B68E0" w:rsidRDefault="00944866" w:rsidP="00944866">
            <w:pPr>
              <w:jc w:val="center"/>
              <w:rPr>
                <w:rFonts w:eastAsia="Cambria"/>
                <w:b/>
                <w:sz w:val="22"/>
                <w:szCs w:val="22"/>
              </w:rPr>
            </w:pPr>
            <w:r w:rsidRPr="002B68E0">
              <w:rPr>
                <w:rFonts w:eastAsia="Cambria"/>
                <w:b/>
                <w:sz w:val="22"/>
                <w:szCs w:val="22"/>
              </w:rPr>
              <w:t xml:space="preserve">Root </w:t>
            </w:r>
            <w:r>
              <w:rPr>
                <w:rFonts w:eastAsia="Cambria"/>
                <w:b/>
                <w:sz w:val="22"/>
                <w:szCs w:val="22"/>
              </w:rPr>
              <w:t>biomass</w:t>
            </w:r>
          </w:p>
        </w:tc>
      </w:tr>
      <w:tr w:rsidR="00944866" w:rsidRPr="006A3515" w:rsidTr="00944866">
        <w:trPr>
          <w:trHeight w:val="305"/>
        </w:trPr>
        <w:tc>
          <w:tcPr>
            <w:tcW w:w="2191" w:type="dxa"/>
            <w:tcBorders>
              <w:top w:val="single" w:sz="4" w:space="0" w:color="auto"/>
              <w:left w:val="nil"/>
            </w:tcBorders>
            <w:shd w:val="clear" w:color="auto" w:fill="auto"/>
            <w:vAlign w:val="center"/>
          </w:tcPr>
          <w:p w:rsidR="00944866" w:rsidRPr="002B68E0" w:rsidRDefault="00944866" w:rsidP="00944866">
            <w:pPr>
              <w:tabs>
                <w:tab w:val="left" w:pos="1780"/>
              </w:tabs>
              <w:ind w:left="-50" w:right="-45"/>
              <w:jc w:val="center"/>
              <w:rPr>
                <w:rFonts w:eastAsia="Cambria"/>
                <w:color w:val="000000"/>
                <w:sz w:val="22"/>
                <w:szCs w:val="22"/>
              </w:rPr>
            </w:pPr>
          </w:p>
        </w:tc>
        <w:tc>
          <w:tcPr>
            <w:tcW w:w="1318" w:type="dxa"/>
            <w:tcBorders>
              <w:top w:val="single" w:sz="4" w:space="0" w:color="auto"/>
            </w:tcBorders>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cm</w:t>
            </w:r>
            <w:r w:rsidR="00F65EBA" w:rsidRPr="00F65EBA">
              <w:rPr>
                <w:rFonts w:eastAsia="Cambria"/>
                <w:color w:val="000000"/>
                <w:sz w:val="22"/>
                <w:szCs w:val="22"/>
                <w:vertAlign w:val="superscript"/>
              </w:rPr>
              <w:t>†</w:t>
            </w:r>
          </w:p>
        </w:tc>
        <w:tc>
          <w:tcPr>
            <w:tcW w:w="1077" w:type="dxa"/>
            <w:tcBorders>
              <w:top w:val="single" w:sz="4" w:space="0" w:color="auto"/>
            </w:tcBorders>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cm</w:t>
            </w:r>
            <w:r w:rsidRPr="002B68E0">
              <w:rPr>
                <w:rFonts w:eastAsia="Cambria"/>
                <w:color w:val="000000"/>
                <w:sz w:val="22"/>
                <w:szCs w:val="22"/>
                <w:vertAlign w:val="superscript"/>
              </w:rPr>
              <w:t>2</w:t>
            </w:r>
          </w:p>
        </w:tc>
        <w:tc>
          <w:tcPr>
            <w:tcW w:w="1163" w:type="dxa"/>
            <w:tcBorders>
              <w:top w:val="single" w:sz="4" w:space="0" w:color="auto"/>
            </w:tcBorders>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mm</w:t>
            </w:r>
          </w:p>
        </w:tc>
        <w:tc>
          <w:tcPr>
            <w:tcW w:w="951" w:type="dxa"/>
            <w:tcBorders>
              <w:top w:val="single" w:sz="4" w:space="0" w:color="auto"/>
            </w:tcBorders>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cm</w:t>
            </w:r>
            <w:r w:rsidRPr="002B68E0">
              <w:rPr>
                <w:rFonts w:eastAsia="Cambria"/>
                <w:color w:val="000000"/>
                <w:sz w:val="22"/>
                <w:szCs w:val="22"/>
                <w:vertAlign w:val="superscript"/>
              </w:rPr>
              <w:t>3</w:t>
            </w:r>
          </w:p>
        </w:tc>
        <w:tc>
          <w:tcPr>
            <w:tcW w:w="1328" w:type="dxa"/>
            <w:tcBorders>
              <w:top w:val="single" w:sz="4" w:space="0" w:color="auto"/>
              <w:right w:val="nil"/>
            </w:tcBorders>
            <w:vAlign w:val="center"/>
          </w:tcPr>
          <w:p w:rsidR="00944866" w:rsidRPr="002B68E0" w:rsidRDefault="00944866" w:rsidP="00944866">
            <w:pPr>
              <w:jc w:val="center"/>
              <w:rPr>
                <w:rFonts w:eastAsia="Cambria"/>
                <w:color w:val="000000"/>
                <w:sz w:val="22"/>
                <w:szCs w:val="22"/>
              </w:rPr>
            </w:pPr>
            <w:r>
              <w:rPr>
                <w:rFonts w:eastAsia="Cambria"/>
                <w:color w:val="000000"/>
                <w:sz w:val="22"/>
                <w:szCs w:val="22"/>
              </w:rPr>
              <w:t>g</w:t>
            </w:r>
          </w:p>
        </w:tc>
      </w:tr>
      <w:tr w:rsidR="00944866" w:rsidRPr="006A3515" w:rsidTr="00944866">
        <w:trPr>
          <w:trHeight w:val="305"/>
        </w:trPr>
        <w:tc>
          <w:tcPr>
            <w:tcW w:w="2191" w:type="dxa"/>
            <w:tcBorders>
              <w:left w:val="nil"/>
            </w:tcBorders>
            <w:shd w:val="clear" w:color="auto" w:fill="auto"/>
            <w:vAlign w:val="center"/>
          </w:tcPr>
          <w:p w:rsidR="00944866" w:rsidRPr="002B68E0" w:rsidRDefault="00944866" w:rsidP="00944866">
            <w:pPr>
              <w:tabs>
                <w:tab w:val="left" w:pos="1780"/>
              </w:tabs>
              <w:ind w:left="-50" w:right="-45"/>
              <w:jc w:val="center"/>
              <w:rPr>
                <w:rFonts w:eastAsia="Cambria"/>
                <w:color w:val="000000"/>
                <w:sz w:val="22"/>
                <w:szCs w:val="22"/>
              </w:rPr>
            </w:pPr>
            <w:r w:rsidRPr="002B68E0">
              <w:rPr>
                <w:rFonts w:eastAsia="Cambria"/>
                <w:color w:val="000000"/>
                <w:sz w:val="22"/>
                <w:szCs w:val="22"/>
              </w:rPr>
              <w:t>Trifloxystrobin</w:t>
            </w:r>
          </w:p>
        </w:tc>
        <w:tc>
          <w:tcPr>
            <w:tcW w:w="1318"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1760</w:t>
            </w:r>
            <w:r w:rsidR="00F65EBA" w:rsidRPr="00F65EBA">
              <w:rPr>
                <w:sz w:val="20"/>
                <w:szCs w:val="20"/>
                <w:vertAlign w:val="superscript"/>
              </w:rPr>
              <w:t>‡</w:t>
            </w:r>
          </w:p>
        </w:tc>
        <w:tc>
          <w:tcPr>
            <w:tcW w:w="1077"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134</w:t>
            </w:r>
          </w:p>
        </w:tc>
        <w:tc>
          <w:tcPr>
            <w:tcW w:w="1163"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0.232</w:t>
            </w:r>
          </w:p>
        </w:tc>
        <w:tc>
          <w:tcPr>
            <w:tcW w:w="951" w:type="dxa"/>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0.83</w:t>
            </w:r>
          </w:p>
        </w:tc>
        <w:tc>
          <w:tcPr>
            <w:tcW w:w="1328" w:type="dxa"/>
            <w:tcBorders>
              <w:right w:val="nil"/>
            </w:tcBorders>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w:t>
            </w:r>
            <w:r>
              <w:rPr>
                <w:rFonts w:eastAsia="Cambria"/>
                <w:color w:val="000000"/>
                <w:sz w:val="22"/>
                <w:szCs w:val="22"/>
              </w:rPr>
              <w:t>039</w:t>
            </w:r>
          </w:p>
        </w:tc>
      </w:tr>
      <w:tr w:rsidR="00944866" w:rsidRPr="006A3515" w:rsidTr="00944866">
        <w:trPr>
          <w:trHeight w:val="305"/>
        </w:trPr>
        <w:tc>
          <w:tcPr>
            <w:tcW w:w="2191" w:type="dxa"/>
            <w:tcBorders>
              <w:left w:val="nil"/>
            </w:tcBorders>
            <w:shd w:val="clear" w:color="auto" w:fill="auto"/>
            <w:vAlign w:val="center"/>
          </w:tcPr>
          <w:p w:rsidR="00944866" w:rsidRPr="002B68E0" w:rsidRDefault="00944866" w:rsidP="00944866">
            <w:pPr>
              <w:tabs>
                <w:tab w:val="left" w:pos="1780"/>
              </w:tabs>
              <w:ind w:left="-50" w:right="-45"/>
              <w:jc w:val="center"/>
              <w:rPr>
                <w:rFonts w:eastAsia="Cambria"/>
                <w:color w:val="000000"/>
                <w:sz w:val="22"/>
                <w:szCs w:val="22"/>
              </w:rPr>
            </w:pPr>
            <w:r w:rsidRPr="002B68E0">
              <w:rPr>
                <w:rFonts w:eastAsia="Cambria"/>
                <w:color w:val="000000"/>
                <w:sz w:val="22"/>
                <w:szCs w:val="22"/>
              </w:rPr>
              <w:t>Fluoxastrobin</w:t>
            </w:r>
          </w:p>
        </w:tc>
        <w:tc>
          <w:tcPr>
            <w:tcW w:w="1318"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1682</w:t>
            </w:r>
          </w:p>
        </w:tc>
        <w:tc>
          <w:tcPr>
            <w:tcW w:w="1077"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125</w:t>
            </w:r>
          </w:p>
        </w:tc>
        <w:tc>
          <w:tcPr>
            <w:tcW w:w="1163"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0.229</w:t>
            </w:r>
          </w:p>
        </w:tc>
        <w:tc>
          <w:tcPr>
            <w:tcW w:w="951" w:type="dxa"/>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0.75</w:t>
            </w:r>
          </w:p>
        </w:tc>
        <w:tc>
          <w:tcPr>
            <w:tcW w:w="1328" w:type="dxa"/>
            <w:tcBorders>
              <w:right w:val="nil"/>
            </w:tcBorders>
            <w:vAlign w:val="center"/>
          </w:tcPr>
          <w:p w:rsidR="00944866" w:rsidRPr="002B68E0" w:rsidRDefault="00944866" w:rsidP="000A4A85">
            <w:pPr>
              <w:jc w:val="center"/>
              <w:rPr>
                <w:rFonts w:eastAsia="Cambria"/>
                <w:color w:val="000000"/>
                <w:sz w:val="22"/>
                <w:szCs w:val="22"/>
              </w:rPr>
            </w:pPr>
            <w:r w:rsidRPr="002B68E0">
              <w:rPr>
                <w:rFonts w:eastAsia="Cambria"/>
                <w:color w:val="000000"/>
                <w:sz w:val="22"/>
                <w:szCs w:val="22"/>
              </w:rPr>
              <w:t>0.</w:t>
            </w:r>
            <w:r w:rsidR="000A4A85">
              <w:rPr>
                <w:rFonts w:eastAsia="Cambria"/>
                <w:color w:val="000000"/>
                <w:sz w:val="22"/>
                <w:szCs w:val="22"/>
              </w:rPr>
              <w:t>037</w:t>
            </w:r>
          </w:p>
        </w:tc>
      </w:tr>
      <w:tr w:rsidR="00944866" w:rsidRPr="006A3515" w:rsidTr="00944866">
        <w:trPr>
          <w:trHeight w:val="305"/>
        </w:trPr>
        <w:tc>
          <w:tcPr>
            <w:tcW w:w="2191" w:type="dxa"/>
            <w:tcBorders>
              <w:left w:val="nil"/>
            </w:tcBorders>
            <w:shd w:val="clear" w:color="auto" w:fill="auto"/>
            <w:vAlign w:val="center"/>
          </w:tcPr>
          <w:p w:rsidR="00944866" w:rsidRPr="002B68E0" w:rsidRDefault="00944866" w:rsidP="00944866">
            <w:pPr>
              <w:tabs>
                <w:tab w:val="left" w:pos="1780"/>
              </w:tabs>
              <w:ind w:left="-50" w:right="-45"/>
              <w:jc w:val="center"/>
              <w:rPr>
                <w:rFonts w:eastAsia="Cambria"/>
                <w:color w:val="000000"/>
                <w:sz w:val="22"/>
                <w:szCs w:val="22"/>
              </w:rPr>
            </w:pPr>
            <w:r w:rsidRPr="002B68E0">
              <w:rPr>
                <w:rFonts w:eastAsia="Cambria"/>
                <w:color w:val="000000"/>
                <w:sz w:val="22"/>
                <w:szCs w:val="22"/>
              </w:rPr>
              <w:t xml:space="preserve">Pyraclostrobin </w:t>
            </w:r>
          </w:p>
        </w:tc>
        <w:tc>
          <w:tcPr>
            <w:tcW w:w="1318"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1768</w:t>
            </w:r>
          </w:p>
        </w:tc>
        <w:tc>
          <w:tcPr>
            <w:tcW w:w="1077"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136</w:t>
            </w:r>
          </w:p>
        </w:tc>
        <w:tc>
          <w:tcPr>
            <w:tcW w:w="1163"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0.233</w:t>
            </w:r>
          </w:p>
        </w:tc>
        <w:tc>
          <w:tcPr>
            <w:tcW w:w="951" w:type="dxa"/>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0.85</w:t>
            </w:r>
          </w:p>
        </w:tc>
        <w:tc>
          <w:tcPr>
            <w:tcW w:w="1328" w:type="dxa"/>
            <w:tcBorders>
              <w:right w:val="nil"/>
            </w:tcBorders>
            <w:vAlign w:val="center"/>
          </w:tcPr>
          <w:p w:rsidR="00944866" w:rsidRPr="002B68E0" w:rsidRDefault="00944866" w:rsidP="000A4A85">
            <w:pPr>
              <w:jc w:val="center"/>
              <w:rPr>
                <w:rFonts w:eastAsia="Cambria"/>
                <w:color w:val="000000"/>
                <w:sz w:val="22"/>
                <w:szCs w:val="22"/>
              </w:rPr>
            </w:pPr>
            <w:r w:rsidRPr="002B68E0">
              <w:rPr>
                <w:rFonts w:eastAsia="Cambria"/>
                <w:color w:val="000000"/>
                <w:sz w:val="22"/>
                <w:szCs w:val="22"/>
              </w:rPr>
              <w:t>0.</w:t>
            </w:r>
            <w:r w:rsidR="000A4A85">
              <w:rPr>
                <w:rFonts w:eastAsia="Cambria"/>
                <w:color w:val="000000"/>
                <w:sz w:val="22"/>
                <w:szCs w:val="22"/>
              </w:rPr>
              <w:t>039</w:t>
            </w:r>
          </w:p>
        </w:tc>
      </w:tr>
      <w:tr w:rsidR="00944866" w:rsidRPr="006A3515" w:rsidTr="00944866">
        <w:trPr>
          <w:trHeight w:val="305"/>
        </w:trPr>
        <w:tc>
          <w:tcPr>
            <w:tcW w:w="2191" w:type="dxa"/>
            <w:tcBorders>
              <w:left w:val="nil"/>
            </w:tcBorders>
            <w:shd w:val="clear" w:color="auto" w:fill="auto"/>
            <w:vAlign w:val="center"/>
          </w:tcPr>
          <w:p w:rsidR="00944866" w:rsidRPr="002B68E0" w:rsidRDefault="00944866" w:rsidP="00944866">
            <w:pPr>
              <w:tabs>
                <w:tab w:val="left" w:pos="1780"/>
              </w:tabs>
              <w:ind w:left="-50" w:right="-45"/>
              <w:jc w:val="center"/>
              <w:rPr>
                <w:rFonts w:eastAsia="Cambria"/>
                <w:color w:val="000000"/>
                <w:sz w:val="22"/>
                <w:szCs w:val="22"/>
              </w:rPr>
            </w:pPr>
            <w:r w:rsidRPr="002B68E0">
              <w:rPr>
                <w:rFonts w:eastAsia="Cambria"/>
                <w:color w:val="000000"/>
                <w:sz w:val="22"/>
                <w:szCs w:val="22"/>
              </w:rPr>
              <w:t xml:space="preserve">Azoxystrobin </w:t>
            </w:r>
          </w:p>
        </w:tc>
        <w:tc>
          <w:tcPr>
            <w:tcW w:w="1318"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1965</w:t>
            </w:r>
          </w:p>
        </w:tc>
        <w:tc>
          <w:tcPr>
            <w:tcW w:w="1077"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154</w:t>
            </w:r>
          </w:p>
        </w:tc>
        <w:tc>
          <w:tcPr>
            <w:tcW w:w="1163"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0.238</w:t>
            </w:r>
          </w:p>
        </w:tc>
        <w:tc>
          <w:tcPr>
            <w:tcW w:w="951" w:type="dxa"/>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0.98</w:t>
            </w:r>
          </w:p>
        </w:tc>
        <w:tc>
          <w:tcPr>
            <w:tcW w:w="1328" w:type="dxa"/>
            <w:tcBorders>
              <w:right w:val="nil"/>
            </w:tcBorders>
            <w:vAlign w:val="center"/>
          </w:tcPr>
          <w:p w:rsidR="00944866" w:rsidRPr="002B68E0" w:rsidRDefault="00944866" w:rsidP="000A4A85">
            <w:pPr>
              <w:jc w:val="center"/>
              <w:rPr>
                <w:rFonts w:eastAsia="Cambria"/>
                <w:color w:val="000000"/>
                <w:sz w:val="22"/>
                <w:szCs w:val="22"/>
              </w:rPr>
            </w:pPr>
            <w:r w:rsidRPr="002B68E0">
              <w:rPr>
                <w:rFonts w:eastAsia="Cambria"/>
                <w:color w:val="000000"/>
                <w:sz w:val="22"/>
                <w:szCs w:val="22"/>
              </w:rPr>
              <w:t>0.</w:t>
            </w:r>
            <w:r w:rsidR="000A4A85">
              <w:rPr>
                <w:rFonts w:eastAsia="Cambria"/>
                <w:color w:val="000000"/>
                <w:sz w:val="22"/>
                <w:szCs w:val="22"/>
              </w:rPr>
              <w:t>042</w:t>
            </w:r>
          </w:p>
        </w:tc>
      </w:tr>
      <w:tr w:rsidR="00944866" w:rsidRPr="006A3515" w:rsidTr="00944866">
        <w:trPr>
          <w:trHeight w:val="305"/>
        </w:trPr>
        <w:tc>
          <w:tcPr>
            <w:tcW w:w="2191" w:type="dxa"/>
            <w:tcBorders>
              <w:left w:val="nil"/>
            </w:tcBorders>
            <w:shd w:val="clear" w:color="auto" w:fill="auto"/>
            <w:vAlign w:val="center"/>
          </w:tcPr>
          <w:p w:rsidR="00944866" w:rsidRPr="002B68E0" w:rsidRDefault="00944866" w:rsidP="00944866">
            <w:pPr>
              <w:tabs>
                <w:tab w:val="left" w:pos="1780"/>
              </w:tabs>
              <w:ind w:left="-50" w:right="-45"/>
              <w:jc w:val="center"/>
              <w:rPr>
                <w:rFonts w:eastAsia="Cambria"/>
                <w:color w:val="000000"/>
                <w:sz w:val="22"/>
                <w:szCs w:val="22"/>
              </w:rPr>
            </w:pPr>
            <w:r w:rsidRPr="002B68E0">
              <w:rPr>
                <w:rFonts w:eastAsia="Cambria"/>
                <w:color w:val="000000"/>
                <w:sz w:val="22"/>
                <w:szCs w:val="22"/>
              </w:rPr>
              <w:t>Untreated check</w:t>
            </w:r>
          </w:p>
        </w:tc>
        <w:tc>
          <w:tcPr>
            <w:tcW w:w="1318" w:type="dxa"/>
            <w:shd w:val="clear" w:color="auto" w:fill="auto"/>
            <w:vAlign w:val="center"/>
          </w:tcPr>
          <w:p w:rsidR="00944866" w:rsidRPr="002B68E0" w:rsidRDefault="00944866" w:rsidP="00F65EBA">
            <w:pPr>
              <w:jc w:val="center"/>
              <w:rPr>
                <w:rFonts w:eastAsia="Cambria"/>
                <w:color w:val="000000"/>
                <w:sz w:val="22"/>
                <w:szCs w:val="22"/>
              </w:rPr>
            </w:pPr>
            <w:r w:rsidRPr="002B68E0">
              <w:rPr>
                <w:rFonts w:eastAsia="Cambria"/>
                <w:color w:val="000000"/>
                <w:sz w:val="22"/>
                <w:szCs w:val="22"/>
              </w:rPr>
              <w:t>2045</w:t>
            </w:r>
          </w:p>
        </w:tc>
        <w:tc>
          <w:tcPr>
            <w:tcW w:w="1077"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172</w:t>
            </w:r>
          </w:p>
        </w:tc>
        <w:tc>
          <w:tcPr>
            <w:tcW w:w="1163" w:type="dxa"/>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0.258</w:t>
            </w:r>
          </w:p>
        </w:tc>
        <w:tc>
          <w:tcPr>
            <w:tcW w:w="951" w:type="dxa"/>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1.18</w:t>
            </w:r>
          </w:p>
        </w:tc>
        <w:tc>
          <w:tcPr>
            <w:tcW w:w="1328" w:type="dxa"/>
            <w:tcBorders>
              <w:right w:val="nil"/>
            </w:tcBorders>
            <w:vAlign w:val="center"/>
          </w:tcPr>
          <w:p w:rsidR="00944866" w:rsidRPr="002B68E0" w:rsidRDefault="000A4A85" w:rsidP="00944866">
            <w:pPr>
              <w:jc w:val="center"/>
              <w:rPr>
                <w:rFonts w:eastAsia="Cambria"/>
                <w:color w:val="000000"/>
                <w:sz w:val="22"/>
                <w:szCs w:val="22"/>
              </w:rPr>
            </w:pPr>
            <w:r>
              <w:rPr>
                <w:rFonts w:eastAsia="Cambria"/>
                <w:color w:val="000000"/>
                <w:sz w:val="22"/>
                <w:szCs w:val="22"/>
              </w:rPr>
              <w:t>0.045</w:t>
            </w:r>
          </w:p>
        </w:tc>
      </w:tr>
      <w:tr w:rsidR="00944866" w:rsidRPr="006A3515" w:rsidTr="00C52984">
        <w:trPr>
          <w:trHeight w:val="305"/>
        </w:trPr>
        <w:tc>
          <w:tcPr>
            <w:tcW w:w="2191" w:type="dxa"/>
            <w:tcBorders>
              <w:left w:val="nil"/>
              <w:bottom w:val="single" w:sz="4" w:space="0" w:color="auto"/>
            </w:tcBorders>
            <w:shd w:val="clear" w:color="auto" w:fill="auto"/>
            <w:vAlign w:val="center"/>
          </w:tcPr>
          <w:p w:rsidR="00944866" w:rsidRPr="002B68E0" w:rsidRDefault="00944866" w:rsidP="00944866">
            <w:pPr>
              <w:tabs>
                <w:tab w:val="left" w:pos="1780"/>
              </w:tabs>
              <w:ind w:left="-50" w:right="-45"/>
              <w:jc w:val="center"/>
              <w:rPr>
                <w:rFonts w:eastAsia="Cambria"/>
                <w:color w:val="000000"/>
                <w:sz w:val="22"/>
                <w:szCs w:val="22"/>
              </w:rPr>
            </w:pPr>
            <w:r w:rsidRPr="002B68E0">
              <w:rPr>
                <w:rFonts w:eastAsia="Cambria"/>
                <w:sz w:val="22"/>
                <w:szCs w:val="22"/>
              </w:rPr>
              <w:t>LSD</w:t>
            </w:r>
            <w:r w:rsidRPr="002B68E0">
              <w:rPr>
                <w:rFonts w:eastAsia="Cambria"/>
                <w:sz w:val="22"/>
                <w:szCs w:val="22"/>
                <w:vertAlign w:val="subscript"/>
              </w:rPr>
              <w:t>0.05</w:t>
            </w:r>
          </w:p>
        </w:tc>
        <w:tc>
          <w:tcPr>
            <w:tcW w:w="1318" w:type="dxa"/>
            <w:tcBorders>
              <w:bottom w:val="single" w:sz="4" w:space="0" w:color="auto"/>
            </w:tcBorders>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NS</w:t>
            </w:r>
            <w:r w:rsidR="00F65EBA" w:rsidRPr="00F65EBA">
              <w:rPr>
                <w:rFonts w:eastAsia="Calibri"/>
                <w:sz w:val="20"/>
                <w:szCs w:val="20"/>
                <w:vertAlign w:val="superscript"/>
              </w:rPr>
              <w:t>§</w:t>
            </w:r>
          </w:p>
        </w:tc>
        <w:tc>
          <w:tcPr>
            <w:tcW w:w="1077" w:type="dxa"/>
            <w:tcBorders>
              <w:bottom w:val="single" w:sz="4" w:space="0" w:color="auto"/>
            </w:tcBorders>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NS</w:t>
            </w:r>
          </w:p>
        </w:tc>
        <w:tc>
          <w:tcPr>
            <w:tcW w:w="1163" w:type="dxa"/>
            <w:tcBorders>
              <w:bottom w:val="single" w:sz="4" w:space="0" w:color="auto"/>
            </w:tcBorders>
            <w:shd w:val="clear" w:color="auto" w:fill="auto"/>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NS</w:t>
            </w:r>
          </w:p>
        </w:tc>
        <w:tc>
          <w:tcPr>
            <w:tcW w:w="951" w:type="dxa"/>
            <w:tcBorders>
              <w:bottom w:val="single" w:sz="4" w:space="0" w:color="auto"/>
            </w:tcBorders>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NS</w:t>
            </w:r>
          </w:p>
        </w:tc>
        <w:tc>
          <w:tcPr>
            <w:tcW w:w="1328" w:type="dxa"/>
            <w:tcBorders>
              <w:bottom w:val="single" w:sz="4" w:space="0" w:color="auto"/>
              <w:right w:val="nil"/>
            </w:tcBorders>
            <w:vAlign w:val="center"/>
          </w:tcPr>
          <w:p w:rsidR="00944866" w:rsidRPr="002B68E0" w:rsidRDefault="00944866" w:rsidP="00944866">
            <w:pPr>
              <w:jc w:val="center"/>
              <w:rPr>
                <w:rFonts w:eastAsia="Cambria"/>
                <w:color w:val="000000"/>
                <w:sz w:val="22"/>
                <w:szCs w:val="22"/>
              </w:rPr>
            </w:pPr>
            <w:r w:rsidRPr="002B68E0">
              <w:rPr>
                <w:rFonts w:eastAsia="Cambria"/>
                <w:color w:val="000000"/>
                <w:sz w:val="22"/>
                <w:szCs w:val="22"/>
              </w:rPr>
              <w:t>NS</w:t>
            </w:r>
          </w:p>
        </w:tc>
      </w:tr>
      <w:tr w:rsidR="00944866" w:rsidRPr="006A3515" w:rsidTr="00C52984">
        <w:trPr>
          <w:trHeight w:val="119"/>
        </w:trPr>
        <w:tc>
          <w:tcPr>
            <w:tcW w:w="8028" w:type="dxa"/>
            <w:gridSpan w:val="6"/>
            <w:tcBorders>
              <w:top w:val="single" w:sz="4" w:space="0" w:color="auto"/>
              <w:left w:val="nil"/>
              <w:bottom w:val="nil"/>
              <w:right w:val="nil"/>
            </w:tcBorders>
            <w:shd w:val="clear" w:color="auto" w:fill="auto"/>
            <w:vAlign w:val="center"/>
          </w:tcPr>
          <w:p w:rsidR="00944866" w:rsidRPr="006A3515" w:rsidRDefault="00944866" w:rsidP="007009E0">
            <w:pPr>
              <w:rPr>
                <w:rFonts w:eastAsia="Cambria"/>
                <w:color w:val="000000"/>
                <w:sz w:val="20"/>
                <w:szCs w:val="20"/>
              </w:rPr>
            </w:pPr>
            <w:r w:rsidRPr="006A3515">
              <w:rPr>
                <w:rFonts w:eastAsia="Cambria"/>
                <w:color w:val="000000"/>
                <w:sz w:val="20"/>
                <w:szCs w:val="20"/>
              </w:rPr>
              <w:t>†</w:t>
            </w:r>
            <w:r w:rsidRPr="006A3515">
              <w:rPr>
                <w:sz w:val="20"/>
                <w:szCs w:val="20"/>
                <w:vertAlign w:val="superscript"/>
              </w:rPr>
              <w:t xml:space="preserve"> </w:t>
            </w:r>
            <w:r w:rsidR="00C52984">
              <w:rPr>
                <w:sz w:val="20"/>
                <w:szCs w:val="20"/>
              </w:rPr>
              <w:t xml:space="preserve">14 soil profiles were removed from each plot. Profiles were measured </w:t>
            </w:r>
            <w:r w:rsidR="007009E0">
              <w:rPr>
                <w:sz w:val="20"/>
                <w:szCs w:val="20"/>
              </w:rPr>
              <w:t>separately</w:t>
            </w:r>
            <w:r w:rsidR="00C52984">
              <w:rPr>
                <w:sz w:val="20"/>
                <w:szCs w:val="20"/>
              </w:rPr>
              <w:t xml:space="preserve"> and then averaged across the entire plot. </w:t>
            </w:r>
          </w:p>
        </w:tc>
      </w:tr>
      <w:tr w:rsidR="00F65EBA" w:rsidRPr="006A3515" w:rsidTr="00C52984">
        <w:trPr>
          <w:trHeight w:val="119"/>
        </w:trPr>
        <w:tc>
          <w:tcPr>
            <w:tcW w:w="8028" w:type="dxa"/>
            <w:gridSpan w:val="6"/>
            <w:tcBorders>
              <w:top w:val="nil"/>
              <w:left w:val="nil"/>
              <w:right w:val="nil"/>
            </w:tcBorders>
            <w:shd w:val="clear" w:color="auto" w:fill="auto"/>
            <w:vAlign w:val="center"/>
          </w:tcPr>
          <w:p w:rsidR="00F65EBA" w:rsidRPr="00C52984" w:rsidRDefault="00F65EBA" w:rsidP="00944866">
            <w:pPr>
              <w:rPr>
                <w:rFonts w:eastAsia="Cambria"/>
                <w:color w:val="000000"/>
                <w:sz w:val="20"/>
                <w:szCs w:val="20"/>
              </w:rPr>
            </w:pPr>
            <w:r w:rsidRPr="00F65EBA">
              <w:rPr>
                <w:sz w:val="20"/>
                <w:szCs w:val="20"/>
                <w:vertAlign w:val="superscript"/>
              </w:rPr>
              <w:t>‡</w:t>
            </w:r>
            <w:r w:rsidR="00C52984">
              <w:rPr>
                <w:sz w:val="20"/>
                <w:szCs w:val="20"/>
              </w:rPr>
              <w:t xml:space="preserve"> Values are means of four replications.</w:t>
            </w:r>
          </w:p>
        </w:tc>
      </w:tr>
      <w:tr w:rsidR="00944866" w:rsidRPr="006A3515" w:rsidTr="00944866">
        <w:trPr>
          <w:trHeight w:val="119"/>
        </w:trPr>
        <w:tc>
          <w:tcPr>
            <w:tcW w:w="8028" w:type="dxa"/>
            <w:gridSpan w:val="6"/>
            <w:tcBorders>
              <w:left w:val="nil"/>
              <w:right w:val="nil"/>
            </w:tcBorders>
            <w:shd w:val="clear" w:color="auto" w:fill="auto"/>
            <w:vAlign w:val="center"/>
          </w:tcPr>
          <w:p w:rsidR="00944866" w:rsidRPr="006A3515" w:rsidRDefault="00F65EBA" w:rsidP="00944866">
            <w:pPr>
              <w:rPr>
                <w:rFonts w:eastAsia="Cambria"/>
                <w:color w:val="000000"/>
                <w:sz w:val="20"/>
                <w:szCs w:val="20"/>
              </w:rPr>
            </w:pPr>
            <w:r w:rsidRPr="00F65EBA">
              <w:rPr>
                <w:rFonts w:eastAsia="Calibri"/>
                <w:sz w:val="20"/>
                <w:szCs w:val="20"/>
                <w:vertAlign w:val="superscript"/>
              </w:rPr>
              <w:t>§</w:t>
            </w:r>
            <w:r w:rsidR="00944866">
              <w:rPr>
                <w:rFonts w:eastAsia="Cambria"/>
                <w:color w:val="000000"/>
                <w:sz w:val="20"/>
                <w:szCs w:val="20"/>
              </w:rPr>
              <w:t xml:space="preserve"> NS, </w:t>
            </w:r>
            <w:r w:rsidR="00944866" w:rsidRPr="006A3515">
              <w:rPr>
                <w:rFonts w:eastAsia="Cambria"/>
                <w:color w:val="000000"/>
                <w:sz w:val="20"/>
                <w:szCs w:val="20"/>
              </w:rPr>
              <w:t>not significant</w:t>
            </w:r>
            <w:r>
              <w:rPr>
                <w:rFonts w:eastAsia="Cambria"/>
                <w:color w:val="000000"/>
                <w:sz w:val="20"/>
                <w:szCs w:val="20"/>
              </w:rPr>
              <w:t>.</w:t>
            </w:r>
          </w:p>
        </w:tc>
      </w:tr>
    </w:tbl>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B16F2A" w:rsidRDefault="00B16F2A"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B16F2A" w:rsidRDefault="00B16F2A" w:rsidP="006B7833"/>
    <w:p w:rsidR="00B16F2A" w:rsidRDefault="00B16F2A" w:rsidP="006B7833"/>
    <w:p w:rsidR="00B16F2A" w:rsidRDefault="00B16F2A" w:rsidP="006B7833"/>
    <w:p w:rsidR="00743AAB" w:rsidRDefault="00743AAB" w:rsidP="006B7833"/>
    <w:tbl>
      <w:tblPr>
        <w:tblpPr w:leftFromText="180" w:rightFromText="180" w:vertAnchor="text" w:horzAnchor="margin" w:tblpY="262"/>
        <w:tblW w:w="8380" w:type="dxa"/>
        <w:tblBorders>
          <w:insideV w:val="single" w:sz="4" w:space="0" w:color="000000"/>
        </w:tblBorders>
        <w:tblLook w:val="04A0"/>
      </w:tblPr>
      <w:tblGrid>
        <w:gridCol w:w="990"/>
        <w:gridCol w:w="1586"/>
        <w:gridCol w:w="514"/>
        <w:gridCol w:w="840"/>
        <w:gridCol w:w="813"/>
        <w:gridCol w:w="764"/>
        <w:gridCol w:w="770"/>
        <w:gridCol w:w="789"/>
        <w:gridCol w:w="1314"/>
      </w:tblGrid>
      <w:tr w:rsidR="006B7833" w:rsidRPr="006A3515" w:rsidTr="00692D9F">
        <w:trPr>
          <w:trHeight w:val="521"/>
        </w:trPr>
        <w:tc>
          <w:tcPr>
            <w:tcW w:w="8380" w:type="dxa"/>
            <w:gridSpan w:val="9"/>
            <w:tcBorders>
              <w:bottom w:val="single" w:sz="4" w:space="0" w:color="000000"/>
            </w:tcBorders>
            <w:shd w:val="clear" w:color="auto" w:fill="auto"/>
            <w:vAlign w:val="center"/>
          </w:tcPr>
          <w:p w:rsidR="006B7833" w:rsidRPr="00051556" w:rsidRDefault="006B7833" w:rsidP="00051556">
            <w:pPr>
              <w:pStyle w:val="Heading2"/>
              <w:jc w:val="left"/>
              <w:rPr>
                <w:rFonts w:eastAsia="Cambria"/>
                <w:sz w:val="23"/>
                <w:szCs w:val="23"/>
              </w:rPr>
            </w:pPr>
            <w:bookmarkStart w:id="81" w:name="_Toc353890900"/>
            <w:bookmarkStart w:id="82" w:name="_Toc353892641"/>
            <w:r w:rsidRPr="00051556">
              <w:rPr>
                <w:rFonts w:eastAsia="Cambria"/>
                <w:sz w:val="23"/>
                <w:szCs w:val="23"/>
              </w:rPr>
              <w:t xml:space="preserve">Table </w:t>
            </w:r>
            <w:r w:rsidR="00277250" w:rsidRPr="00051556">
              <w:rPr>
                <w:rFonts w:eastAsia="Cambria"/>
                <w:sz w:val="23"/>
                <w:szCs w:val="23"/>
              </w:rPr>
              <w:t>2</w:t>
            </w:r>
            <w:r w:rsidRPr="00051556">
              <w:rPr>
                <w:rFonts w:eastAsia="Cambria"/>
                <w:sz w:val="23"/>
                <w:szCs w:val="23"/>
              </w:rPr>
              <w:t>.</w:t>
            </w:r>
            <w:r w:rsidR="00B16F2A" w:rsidRPr="00051556">
              <w:rPr>
                <w:rFonts w:eastAsia="Cambria"/>
                <w:sz w:val="23"/>
                <w:szCs w:val="23"/>
              </w:rPr>
              <w:t>7</w:t>
            </w:r>
            <w:r w:rsidRPr="00051556">
              <w:rPr>
                <w:rFonts w:eastAsia="Cambria"/>
                <w:sz w:val="23"/>
                <w:szCs w:val="23"/>
              </w:rPr>
              <w:t>. Analysis of variance for p</w:t>
            </w:r>
            <w:r w:rsidR="00743AAB" w:rsidRPr="00051556">
              <w:rPr>
                <w:rFonts w:eastAsia="Cambria"/>
                <w:sz w:val="23"/>
                <w:szCs w:val="23"/>
              </w:rPr>
              <w:t xml:space="preserve">ercent brown patch </w:t>
            </w:r>
            <w:r w:rsidR="00E91696" w:rsidRPr="00051556">
              <w:rPr>
                <w:rFonts w:eastAsia="Cambria"/>
                <w:sz w:val="23"/>
                <w:szCs w:val="23"/>
              </w:rPr>
              <w:t xml:space="preserve">for individual dates and the area under the brown patch progress curve (AUBPPC) </w:t>
            </w:r>
            <w:r w:rsidR="00743AAB" w:rsidRPr="00051556">
              <w:rPr>
                <w:rFonts w:eastAsia="Cambria"/>
                <w:sz w:val="23"/>
                <w:szCs w:val="23"/>
              </w:rPr>
              <w:t>on ‘Dominant S</w:t>
            </w:r>
            <w:r w:rsidRPr="00051556">
              <w:rPr>
                <w:rFonts w:eastAsia="Cambria"/>
                <w:sz w:val="23"/>
                <w:szCs w:val="23"/>
              </w:rPr>
              <w:t>outhern</w:t>
            </w:r>
            <w:r w:rsidR="00743AAB" w:rsidRPr="00051556">
              <w:rPr>
                <w:rFonts w:eastAsia="Cambria"/>
                <w:sz w:val="23"/>
                <w:szCs w:val="23"/>
              </w:rPr>
              <w:t>’</w:t>
            </w:r>
            <w:r w:rsidRPr="00051556">
              <w:rPr>
                <w:rFonts w:eastAsia="Cambria"/>
                <w:sz w:val="23"/>
                <w:szCs w:val="23"/>
              </w:rPr>
              <w:t xml:space="preserve"> creeping bentgrass </w:t>
            </w:r>
            <w:r w:rsidR="007D454F" w:rsidRPr="00051556">
              <w:rPr>
                <w:rFonts w:eastAsia="Cambria"/>
                <w:sz w:val="23"/>
                <w:szCs w:val="23"/>
              </w:rPr>
              <w:t>(</w:t>
            </w:r>
            <w:r w:rsidR="007D454F" w:rsidRPr="00051556">
              <w:rPr>
                <w:rFonts w:eastAsia="Cambria"/>
                <w:i/>
                <w:sz w:val="23"/>
                <w:szCs w:val="23"/>
              </w:rPr>
              <w:t>Agrostis stolonifera</w:t>
            </w:r>
            <w:r w:rsidR="007D454F" w:rsidRPr="00051556">
              <w:rPr>
                <w:rFonts w:eastAsia="Cambria"/>
                <w:sz w:val="23"/>
                <w:szCs w:val="23"/>
              </w:rPr>
              <w:t xml:space="preserve"> L.) putting green </w:t>
            </w:r>
            <w:r w:rsidRPr="00051556">
              <w:rPr>
                <w:rFonts w:eastAsia="Cambria"/>
                <w:sz w:val="23"/>
                <w:szCs w:val="23"/>
              </w:rPr>
              <w:t>subjected to various strobilurin fungicide programs in 2011 and 2012</w:t>
            </w:r>
            <w:r w:rsidR="007D454F" w:rsidRPr="00051556">
              <w:rPr>
                <w:rFonts w:eastAsia="Cambria"/>
                <w:sz w:val="23"/>
                <w:szCs w:val="23"/>
              </w:rPr>
              <w:t xml:space="preserve"> in Strawberry Plains, TN</w:t>
            </w:r>
            <w:r w:rsidRPr="00051556">
              <w:rPr>
                <w:rFonts w:eastAsia="Cambria"/>
                <w:sz w:val="23"/>
                <w:szCs w:val="23"/>
              </w:rPr>
              <w:t>.</w:t>
            </w:r>
            <w:bookmarkEnd w:id="81"/>
            <w:bookmarkEnd w:id="82"/>
            <w:r w:rsidRPr="00051556">
              <w:rPr>
                <w:rFonts w:eastAsia="Cambria"/>
                <w:sz w:val="23"/>
                <w:szCs w:val="23"/>
              </w:rPr>
              <w:t xml:space="preserve">  </w:t>
            </w:r>
          </w:p>
        </w:tc>
      </w:tr>
      <w:tr w:rsidR="006B7833" w:rsidRPr="006A3515" w:rsidTr="00692D9F">
        <w:trPr>
          <w:trHeight w:val="323"/>
        </w:trPr>
        <w:tc>
          <w:tcPr>
            <w:tcW w:w="3090" w:type="dxa"/>
            <w:gridSpan w:val="3"/>
            <w:tcBorders>
              <w:top w:val="single" w:sz="4" w:space="0" w:color="000000"/>
              <w:left w:val="nil"/>
              <w:bottom w:val="nil"/>
              <w:right w:val="nil"/>
            </w:tcBorders>
            <w:shd w:val="clear" w:color="auto" w:fill="auto"/>
            <w:vAlign w:val="center"/>
          </w:tcPr>
          <w:p w:rsidR="006B7833" w:rsidRPr="00777DF2" w:rsidRDefault="006B7833" w:rsidP="00777DF2">
            <w:pPr>
              <w:rPr>
                <w:rFonts w:eastAsia="Cambria"/>
                <w:b/>
                <w:sz w:val="22"/>
                <w:szCs w:val="22"/>
              </w:rPr>
            </w:pPr>
          </w:p>
        </w:tc>
        <w:tc>
          <w:tcPr>
            <w:tcW w:w="5290" w:type="dxa"/>
            <w:gridSpan w:val="6"/>
            <w:tcBorders>
              <w:top w:val="single" w:sz="4" w:space="0" w:color="000000"/>
              <w:left w:val="nil"/>
              <w:bottom w:val="nil"/>
              <w:right w:val="nil"/>
            </w:tcBorders>
            <w:shd w:val="clear" w:color="auto" w:fill="auto"/>
            <w:vAlign w:val="center"/>
          </w:tcPr>
          <w:p w:rsidR="006B7833" w:rsidRPr="00777DF2" w:rsidRDefault="006B7833" w:rsidP="00777DF2">
            <w:pPr>
              <w:jc w:val="center"/>
              <w:rPr>
                <w:rFonts w:eastAsia="Cambria"/>
                <w:b/>
                <w:sz w:val="22"/>
                <w:szCs w:val="22"/>
              </w:rPr>
            </w:pPr>
            <w:r w:rsidRPr="00777DF2">
              <w:rPr>
                <w:rFonts w:eastAsia="Cambria"/>
                <w:b/>
                <w:sz w:val="22"/>
                <w:szCs w:val="22"/>
              </w:rPr>
              <w:t>Days after initial treatment</w:t>
            </w:r>
          </w:p>
        </w:tc>
      </w:tr>
      <w:tr w:rsidR="006B7833" w:rsidRPr="006A3515" w:rsidTr="00692D9F">
        <w:trPr>
          <w:trHeight w:val="323"/>
        </w:trPr>
        <w:tc>
          <w:tcPr>
            <w:tcW w:w="990" w:type="dxa"/>
            <w:tcBorders>
              <w:top w:val="nil"/>
              <w:left w:val="nil"/>
              <w:bottom w:val="single" w:sz="4" w:space="0" w:color="000000"/>
              <w:right w:val="nil"/>
            </w:tcBorders>
            <w:shd w:val="clear" w:color="auto" w:fill="auto"/>
            <w:vAlign w:val="center"/>
          </w:tcPr>
          <w:p w:rsidR="006B7833" w:rsidRPr="00777DF2" w:rsidRDefault="006B7833" w:rsidP="00777DF2">
            <w:pPr>
              <w:rPr>
                <w:rFonts w:eastAsia="Cambria"/>
                <w:b/>
                <w:sz w:val="22"/>
                <w:szCs w:val="22"/>
              </w:rPr>
            </w:pPr>
          </w:p>
        </w:tc>
        <w:tc>
          <w:tcPr>
            <w:tcW w:w="1586" w:type="dxa"/>
            <w:tcBorders>
              <w:top w:val="nil"/>
              <w:left w:val="nil"/>
              <w:bottom w:val="single" w:sz="4" w:space="0" w:color="000000"/>
              <w:right w:val="nil"/>
            </w:tcBorders>
            <w:shd w:val="clear" w:color="auto" w:fill="auto"/>
            <w:vAlign w:val="center"/>
          </w:tcPr>
          <w:p w:rsidR="006B7833" w:rsidRPr="00777DF2" w:rsidRDefault="006B7833" w:rsidP="00777DF2">
            <w:pPr>
              <w:rPr>
                <w:rFonts w:eastAsia="Cambria"/>
                <w:b/>
                <w:sz w:val="22"/>
                <w:szCs w:val="22"/>
              </w:rPr>
            </w:pPr>
          </w:p>
        </w:tc>
        <w:tc>
          <w:tcPr>
            <w:tcW w:w="514" w:type="dxa"/>
            <w:tcBorders>
              <w:top w:val="nil"/>
              <w:left w:val="nil"/>
              <w:bottom w:val="single" w:sz="4" w:space="0" w:color="000000"/>
              <w:right w:val="nil"/>
            </w:tcBorders>
            <w:shd w:val="clear" w:color="auto" w:fill="auto"/>
            <w:vAlign w:val="center"/>
          </w:tcPr>
          <w:p w:rsidR="006B7833" w:rsidRPr="00777DF2" w:rsidRDefault="006B7833" w:rsidP="00777DF2">
            <w:pPr>
              <w:jc w:val="center"/>
              <w:rPr>
                <w:rFonts w:eastAsia="Cambria"/>
                <w:b/>
                <w:sz w:val="22"/>
                <w:szCs w:val="22"/>
              </w:rPr>
            </w:pPr>
            <w:r w:rsidRPr="00777DF2">
              <w:rPr>
                <w:rFonts w:eastAsia="Cambria"/>
                <w:b/>
                <w:sz w:val="22"/>
                <w:szCs w:val="22"/>
              </w:rPr>
              <w:t>df</w:t>
            </w:r>
          </w:p>
        </w:tc>
        <w:tc>
          <w:tcPr>
            <w:tcW w:w="840" w:type="dxa"/>
            <w:tcBorders>
              <w:top w:val="nil"/>
              <w:left w:val="nil"/>
              <w:bottom w:val="single" w:sz="4" w:space="0" w:color="000000"/>
              <w:right w:val="nil"/>
            </w:tcBorders>
            <w:shd w:val="clear" w:color="auto" w:fill="auto"/>
            <w:vAlign w:val="center"/>
          </w:tcPr>
          <w:p w:rsidR="006B7833" w:rsidRPr="00777DF2" w:rsidRDefault="006B7833" w:rsidP="00777DF2">
            <w:pPr>
              <w:jc w:val="center"/>
              <w:rPr>
                <w:rFonts w:eastAsia="Cambria"/>
                <w:b/>
                <w:sz w:val="22"/>
                <w:szCs w:val="22"/>
              </w:rPr>
            </w:pPr>
            <w:r w:rsidRPr="00777DF2">
              <w:rPr>
                <w:rFonts w:eastAsia="Cambria"/>
                <w:b/>
                <w:sz w:val="22"/>
                <w:szCs w:val="22"/>
              </w:rPr>
              <w:t>14</w:t>
            </w:r>
          </w:p>
        </w:tc>
        <w:tc>
          <w:tcPr>
            <w:tcW w:w="813" w:type="dxa"/>
            <w:tcBorders>
              <w:top w:val="nil"/>
              <w:left w:val="nil"/>
              <w:bottom w:val="single" w:sz="4" w:space="0" w:color="000000"/>
              <w:right w:val="nil"/>
            </w:tcBorders>
            <w:shd w:val="clear" w:color="auto" w:fill="auto"/>
            <w:vAlign w:val="center"/>
          </w:tcPr>
          <w:p w:rsidR="006B7833" w:rsidRPr="00777DF2" w:rsidRDefault="006B7833" w:rsidP="00777DF2">
            <w:pPr>
              <w:jc w:val="center"/>
              <w:rPr>
                <w:rFonts w:eastAsia="Cambria"/>
                <w:b/>
                <w:sz w:val="22"/>
                <w:szCs w:val="22"/>
              </w:rPr>
            </w:pPr>
            <w:r w:rsidRPr="00777DF2">
              <w:rPr>
                <w:rFonts w:eastAsia="Cambria"/>
                <w:b/>
                <w:sz w:val="22"/>
                <w:szCs w:val="22"/>
              </w:rPr>
              <w:t>28</w:t>
            </w:r>
          </w:p>
        </w:tc>
        <w:tc>
          <w:tcPr>
            <w:tcW w:w="764" w:type="dxa"/>
            <w:tcBorders>
              <w:top w:val="nil"/>
              <w:left w:val="nil"/>
              <w:bottom w:val="single" w:sz="4" w:space="0" w:color="000000"/>
              <w:right w:val="nil"/>
            </w:tcBorders>
            <w:shd w:val="clear" w:color="auto" w:fill="auto"/>
            <w:vAlign w:val="center"/>
          </w:tcPr>
          <w:p w:rsidR="006B7833" w:rsidRPr="00777DF2" w:rsidRDefault="006B7833" w:rsidP="00777DF2">
            <w:pPr>
              <w:jc w:val="center"/>
              <w:rPr>
                <w:rFonts w:eastAsia="Cambria"/>
                <w:b/>
                <w:sz w:val="22"/>
                <w:szCs w:val="22"/>
              </w:rPr>
            </w:pPr>
            <w:r w:rsidRPr="00777DF2">
              <w:rPr>
                <w:rFonts w:eastAsia="Cambria"/>
                <w:b/>
                <w:sz w:val="22"/>
                <w:szCs w:val="22"/>
              </w:rPr>
              <w:t>42</w:t>
            </w:r>
          </w:p>
        </w:tc>
        <w:tc>
          <w:tcPr>
            <w:tcW w:w="770" w:type="dxa"/>
            <w:tcBorders>
              <w:top w:val="nil"/>
              <w:left w:val="nil"/>
              <w:bottom w:val="single" w:sz="4" w:space="0" w:color="000000"/>
              <w:right w:val="nil"/>
            </w:tcBorders>
            <w:shd w:val="clear" w:color="auto" w:fill="auto"/>
            <w:vAlign w:val="center"/>
          </w:tcPr>
          <w:p w:rsidR="006B7833" w:rsidRPr="00777DF2" w:rsidRDefault="006B7833" w:rsidP="00777DF2">
            <w:pPr>
              <w:jc w:val="center"/>
              <w:rPr>
                <w:rFonts w:eastAsia="Cambria"/>
                <w:b/>
                <w:sz w:val="22"/>
                <w:szCs w:val="22"/>
              </w:rPr>
            </w:pPr>
            <w:r w:rsidRPr="00777DF2">
              <w:rPr>
                <w:rFonts w:eastAsia="Cambria"/>
                <w:b/>
                <w:sz w:val="22"/>
                <w:szCs w:val="22"/>
              </w:rPr>
              <w:t>56</w:t>
            </w:r>
          </w:p>
        </w:tc>
        <w:tc>
          <w:tcPr>
            <w:tcW w:w="789" w:type="dxa"/>
            <w:tcBorders>
              <w:top w:val="nil"/>
              <w:left w:val="nil"/>
              <w:bottom w:val="single" w:sz="4" w:space="0" w:color="000000"/>
              <w:right w:val="nil"/>
            </w:tcBorders>
            <w:shd w:val="clear" w:color="auto" w:fill="auto"/>
            <w:vAlign w:val="center"/>
          </w:tcPr>
          <w:p w:rsidR="006B7833" w:rsidRPr="00777DF2" w:rsidRDefault="006B7833" w:rsidP="00777DF2">
            <w:pPr>
              <w:jc w:val="center"/>
              <w:rPr>
                <w:rFonts w:eastAsia="Cambria"/>
                <w:b/>
                <w:sz w:val="22"/>
                <w:szCs w:val="22"/>
              </w:rPr>
            </w:pPr>
            <w:r w:rsidRPr="00777DF2">
              <w:rPr>
                <w:rFonts w:eastAsia="Cambria"/>
                <w:b/>
                <w:sz w:val="22"/>
                <w:szCs w:val="22"/>
              </w:rPr>
              <w:t>70</w:t>
            </w:r>
          </w:p>
        </w:tc>
        <w:tc>
          <w:tcPr>
            <w:tcW w:w="1314" w:type="dxa"/>
            <w:tcBorders>
              <w:top w:val="nil"/>
              <w:left w:val="nil"/>
              <w:bottom w:val="single" w:sz="4" w:space="0" w:color="000000"/>
              <w:right w:val="nil"/>
            </w:tcBorders>
            <w:vAlign w:val="center"/>
          </w:tcPr>
          <w:p w:rsidR="006B7833" w:rsidRPr="00777DF2" w:rsidRDefault="006B7833" w:rsidP="0086415C">
            <w:pPr>
              <w:jc w:val="center"/>
              <w:rPr>
                <w:rFonts w:eastAsia="Cambria"/>
                <w:b/>
                <w:sz w:val="22"/>
                <w:szCs w:val="22"/>
              </w:rPr>
            </w:pPr>
            <w:r w:rsidRPr="00777DF2">
              <w:rPr>
                <w:rFonts w:eastAsia="Cambria"/>
                <w:b/>
                <w:sz w:val="22"/>
                <w:szCs w:val="22"/>
              </w:rPr>
              <w:t>AU</w:t>
            </w:r>
            <w:r w:rsidR="0086415C">
              <w:rPr>
                <w:rFonts w:eastAsia="Cambria"/>
                <w:b/>
                <w:sz w:val="22"/>
                <w:szCs w:val="22"/>
              </w:rPr>
              <w:t>B</w:t>
            </w:r>
            <w:r w:rsidRPr="00777DF2">
              <w:rPr>
                <w:rFonts w:eastAsia="Cambria"/>
                <w:b/>
                <w:sz w:val="22"/>
                <w:szCs w:val="22"/>
              </w:rPr>
              <w:t>P</w:t>
            </w:r>
            <w:r w:rsidR="00E91696">
              <w:rPr>
                <w:rFonts w:eastAsia="Cambria"/>
                <w:b/>
                <w:sz w:val="22"/>
                <w:szCs w:val="22"/>
              </w:rPr>
              <w:t>P</w:t>
            </w:r>
            <w:r w:rsidRPr="00777DF2">
              <w:rPr>
                <w:rFonts w:eastAsia="Cambria"/>
                <w:b/>
                <w:sz w:val="22"/>
                <w:szCs w:val="22"/>
              </w:rPr>
              <w:t>C</w:t>
            </w:r>
          </w:p>
        </w:tc>
      </w:tr>
      <w:tr w:rsidR="00692D9F" w:rsidRPr="006A3515" w:rsidTr="00F8034E">
        <w:trPr>
          <w:trHeight w:val="656"/>
        </w:trPr>
        <w:tc>
          <w:tcPr>
            <w:tcW w:w="990" w:type="dxa"/>
            <w:tcBorders>
              <w:top w:val="single" w:sz="4" w:space="0" w:color="000000"/>
              <w:left w:val="nil"/>
              <w:right w:val="nil"/>
            </w:tcBorders>
            <w:shd w:val="clear" w:color="auto" w:fill="auto"/>
            <w:vAlign w:val="center"/>
          </w:tcPr>
          <w:p w:rsidR="00692D9F" w:rsidRPr="00777DF2" w:rsidRDefault="00692D9F" w:rsidP="00777DF2">
            <w:pPr>
              <w:jc w:val="center"/>
              <w:rPr>
                <w:rFonts w:eastAsia="Cambria"/>
                <w:color w:val="000000"/>
                <w:sz w:val="22"/>
                <w:szCs w:val="22"/>
              </w:rPr>
            </w:pPr>
            <w:r w:rsidRPr="00777DF2">
              <w:rPr>
                <w:rFonts w:eastAsia="Cambria"/>
                <w:color w:val="000000"/>
                <w:sz w:val="22"/>
                <w:szCs w:val="22"/>
              </w:rPr>
              <w:t>2011</w:t>
            </w:r>
          </w:p>
        </w:tc>
        <w:tc>
          <w:tcPr>
            <w:tcW w:w="1586" w:type="dxa"/>
            <w:tcBorders>
              <w:top w:val="single" w:sz="4" w:space="0" w:color="000000"/>
              <w:left w:val="nil"/>
              <w:right w:val="nil"/>
            </w:tcBorders>
            <w:shd w:val="clear" w:color="auto" w:fill="auto"/>
            <w:vAlign w:val="center"/>
          </w:tcPr>
          <w:p w:rsidR="00692D9F" w:rsidRPr="00777DF2" w:rsidRDefault="00692D9F" w:rsidP="00F8034E">
            <w:pPr>
              <w:rPr>
                <w:rFonts w:eastAsia="Cambria"/>
                <w:color w:val="000000"/>
                <w:sz w:val="22"/>
                <w:szCs w:val="22"/>
              </w:rPr>
            </w:pPr>
            <w:r w:rsidRPr="00777DF2">
              <w:rPr>
                <w:rFonts w:eastAsia="Cambria"/>
                <w:color w:val="000000"/>
                <w:sz w:val="22"/>
                <w:szCs w:val="22"/>
              </w:rPr>
              <w:t>Treatment</w:t>
            </w:r>
          </w:p>
        </w:tc>
        <w:tc>
          <w:tcPr>
            <w:tcW w:w="514" w:type="dxa"/>
            <w:tcBorders>
              <w:top w:val="single" w:sz="4" w:space="0" w:color="000000"/>
              <w:left w:val="nil"/>
              <w:right w:val="nil"/>
            </w:tcBorders>
            <w:shd w:val="clear" w:color="auto" w:fill="auto"/>
            <w:vAlign w:val="center"/>
          </w:tcPr>
          <w:p w:rsidR="00692D9F" w:rsidRPr="00777DF2" w:rsidRDefault="00692D9F" w:rsidP="00F8034E">
            <w:pPr>
              <w:jc w:val="center"/>
              <w:rPr>
                <w:rFonts w:eastAsia="Cambria"/>
                <w:sz w:val="22"/>
                <w:szCs w:val="22"/>
              </w:rPr>
            </w:pPr>
            <w:r w:rsidRPr="00777DF2">
              <w:rPr>
                <w:rFonts w:eastAsia="Cambria"/>
                <w:color w:val="000000"/>
                <w:sz w:val="22"/>
                <w:szCs w:val="22"/>
              </w:rPr>
              <w:t>4</w:t>
            </w:r>
          </w:p>
        </w:tc>
        <w:tc>
          <w:tcPr>
            <w:tcW w:w="840" w:type="dxa"/>
            <w:tcBorders>
              <w:top w:val="single" w:sz="4" w:space="0" w:color="000000"/>
              <w:left w:val="nil"/>
              <w:right w:val="nil"/>
            </w:tcBorders>
            <w:shd w:val="clear" w:color="auto" w:fill="auto"/>
            <w:vAlign w:val="center"/>
          </w:tcPr>
          <w:p w:rsidR="00692D9F" w:rsidRPr="00777DF2" w:rsidRDefault="00692D9F" w:rsidP="00F8034E">
            <w:pPr>
              <w:jc w:val="center"/>
              <w:rPr>
                <w:rFonts w:eastAsia="Cambria"/>
                <w:color w:val="000000"/>
                <w:sz w:val="22"/>
                <w:szCs w:val="22"/>
              </w:rPr>
            </w:pPr>
            <w:r w:rsidRPr="00777DF2">
              <w:rPr>
                <w:rFonts w:eastAsia="Cambria"/>
                <w:color w:val="000000"/>
                <w:sz w:val="22"/>
                <w:szCs w:val="22"/>
              </w:rPr>
              <w:t>NS</w:t>
            </w:r>
            <w:r w:rsidRPr="00692D9F">
              <w:rPr>
                <w:rFonts w:eastAsia="Cambria"/>
                <w:color w:val="000000"/>
                <w:sz w:val="22"/>
                <w:szCs w:val="22"/>
                <w:vertAlign w:val="superscript"/>
              </w:rPr>
              <w:t>†</w:t>
            </w:r>
          </w:p>
        </w:tc>
        <w:tc>
          <w:tcPr>
            <w:tcW w:w="813" w:type="dxa"/>
            <w:tcBorders>
              <w:top w:val="single" w:sz="4" w:space="0" w:color="000000"/>
              <w:left w:val="nil"/>
              <w:right w:val="nil"/>
            </w:tcBorders>
            <w:shd w:val="clear" w:color="auto" w:fill="auto"/>
            <w:vAlign w:val="center"/>
          </w:tcPr>
          <w:p w:rsidR="00692D9F" w:rsidRPr="00777DF2" w:rsidRDefault="00692D9F" w:rsidP="00F8034E">
            <w:pPr>
              <w:jc w:val="center"/>
              <w:rPr>
                <w:rFonts w:eastAsia="Cambria"/>
                <w:sz w:val="22"/>
                <w:szCs w:val="22"/>
              </w:rPr>
            </w:pPr>
            <w:r w:rsidRPr="00777DF2">
              <w:rPr>
                <w:rFonts w:eastAsia="Cambria"/>
                <w:color w:val="000000"/>
                <w:sz w:val="22"/>
                <w:szCs w:val="22"/>
              </w:rPr>
              <w:t>NS</w:t>
            </w:r>
          </w:p>
        </w:tc>
        <w:tc>
          <w:tcPr>
            <w:tcW w:w="764" w:type="dxa"/>
            <w:tcBorders>
              <w:top w:val="single" w:sz="4" w:space="0" w:color="000000"/>
              <w:left w:val="nil"/>
              <w:right w:val="nil"/>
            </w:tcBorders>
            <w:shd w:val="clear" w:color="auto" w:fill="auto"/>
            <w:vAlign w:val="center"/>
          </w:tcPr>
          <w:p w:rsidR="00692D9F" w:rsidRPr="00777DF2" w:rsidRDefault="00692D9F" w:rsidP="00F8034E">
            <w:pPr>
              <w:jc w:val="center"/>
              <w:rPr>
                <w:rFonts w:eastAsia="Cambria"/>
                <w:sz w:val="22"/>
                <w:szCs w:val="22"/>
              </w:rPr>
            </w:pPr>
            <w:r w:rsidRPr="00777DF2">
              <w:rPr>
                <w:rFonts w:eastAsia="Cambria"/>
                <w:color w:val="000000"/>
                <w:sz w:val="22"/>
                <w:szCs w:val="22"/>
              </w:rPr>
              <w:t>NS</w:t>
            </w:r>
          </w:p>
        </w:tc>
        <w:tc>
          <w:tcPr>
            <w:tcW w:w="770" w:type="dxa"/>
            <w:tcBorders>
              <w:top w:val="single" w:sz="4" w:space="0" w:color="000000"/>
              <w:left w:val="nil"/>
              <w:right w:val="nil"/>
            </w:tcBorders>
            <w:shd w:val="clear" w:color="auto" w:fill="auto"/>
            <w:vAlign w:val="center"/>
          </w:tcPr>
          <w:p w:rsidR="00692D9F" w:rsidRPr="00777DF2" w:rsidRDefault="00692D9F" w:rsidP="00F8034E">
            <w:pPr>
              <w:jc w:val="center"/>
              <w:rPr>
                <w:rFonts w:eastAsia="Cambria"/>
                <w:sz w:val="22"/>
                <w:szCs w:val="22"/>
              </w:rPr>
            </w:pPr>
            <w:r w:rsidRPr="00777DF2">
              <w:rPr>
                <w:rFonts w:eastAsia="Cambria"/>
                <w:color w:val="000000"/>
                <w:sz w:val="22"/>
                <w:szCs w:val="22"/>
              </w:rPr>
              <w:t>NS</w:t>
            </w:r>
          </w:p>
        </w:tc>
        <w:tc>
          <w:tcPr>
            <w:tcW w:w="789" w:type="dxa"/>
            <w:tcBorders>
              <w:top w:val="single" w:sz="4" w:space="0" w:color="000000"/>
              <w:left w:val="nil"/>
              <w:right w:val="nil"/>
            </w:tcBorders>
            <w:shd w:val="clear" w:color="auto" w:fill="auto"/>
            <w:vAlign w:val="center"/>
          </w:tcPr>
          <w:p w:rsidR="00692D9F" w:rsidRPr="00777DF2" w:rsidRDefault="00692D9F" w:rsidP="00F8034E">
            <w:pPr>
              <w:jc w:val="center"/>
              <w:rPr>
                <w:rFonts w:eastAsia="Cambria"/>
                <w:sz w:val="22"/>
                <w:szCs w:val="22"/>
              </w:rPr>
            </w:pPr>
            <w:r w:rsidRPr="00777DF2">
              <w:rPr>
                <w:rFonts w:eastAsia="Cambria"/>
                <w:color w:val="000000"/>
                <w:sz w:val="22"/>
                <w:szCs w:val="22"/>
              </w:rPr>
              <w:t>NS</w:t>
            </w:r>
          </w:p>
        </w:tc>
        <w:tc>
          <w:tcPr>
            <w:tcW w:w="1314" w:type="dxa"/>
            <w:tcBorders>
              <w:top w:val="single" w:sz="4" w:space="0" w:color="000000"/>
              <w:left w:val="nil"/>
              <w:right w:val="nil"/>
            </w:tcBorders>
            <w:vAlign w:val="center"/>
          </w:tcPr>
          <w:p w:rsidR="00692D9F" w:rsidRPr="00777DF2" w:rsidRDefault="00692D9F" w:rsidP="00F8034E">
            <w:pPr>
              <w:jc w:val="center"/>
              <w:rPr>
                <w:rFonts w:eastAsia="Cambria"/>
                <w:color w:val="000000"/>
                <w:sz w:val="22"/>
                <w:szCs w:val="22"/>
              </w:rPr>
            </w:pPr>
            <w:r w:rsidRPr="00777DF2">
              <w:rPr>
                <w:rFonts w:eastAsia="Cambria"/>
                <w:color w:val="000000"/>
                <w:sz w:val="22"/>
                <w:szCs w:val="22"/>
              </w:rPr>
              <w:t>NS</w:t>
            </w:r>
          </w:p>
        </w:tc>
      </w:tr>
      <w:tr w:rsidR="00E91696" w:rsidRPr="006A3515" w:rsidTr="00E91696">
        <w:trPr>
          <w:trHeight w:val="646"/>
        </w:trPr>
        <w:tc>
          <w:tcPr>
            <w:tcW w:w="990" w:type="dxa"/>
            <w:tcBorders>
              <w:left w:val="nil"/>
              <w:bottom w:val="single" w:sz="4" w:space="0" w:color="auto"/>
              <w:right w:val="nil"/>
            </w:tcBorders>
            <w:shd w:val="clear" w:color="auto" w:fill="auto"/>
            <w:vAlign w:val="center"/>
          </w:tcPr>
          <w:p w:rsidR="00E91696" w:rsidRPr="00777DF2" w:rsidRDefault="00E91696" w:rsidP="00777DF2">
            <w:pPr>
              <w:jc w:val="center"/>
              <w:rPr>
                <w:rFonts w:eastAsia="Cambria"/>
                <w:color w:val="000000"/>
                <w:sz w:val="22"/>
                <w:szCs w:val="22"/>
              </w:rPr>
            </w:pPr>
            <w:r w:rsidRPr="00777DF2">
              <w:rPr>
                <w:rFonts w:eastAsia="Cambria"/>
                <w:color w:val="000000"/>
                <w:sz w:val="22"/>
                <w:szCs w:val="22"/>
              </w:rPr>
              <w:t xml:space="preserve">2012 </w:t>
            </w:r>
          </w:p>
        </w:tc>
        <w:tc>
          <w:tcPr>
            <w:tcW w:w="1586" w:type="dxa"/>
            <w:tcBorders>
              <w:top w:val="nil"/>
              <w:left w:val="nil"/>
              <w:bottom w:val="single" w:sz="4" w:space="0" w:color="auto"/>
              <w:right w:val="nil"/>
            </w:tcBorders>
            <w:shd w:val="clear" w:color="auto" w:fill="auto"/>
            <w:vAlign w:val="center"/>
          </w:tcPr>
          <w:p w:rsidR="00E91696" w:rsidRPr="00777DF2" w:rsidRDefault="00E91696" w:rsidP="00F8034E">
            <w:pPr>
              <w:rPr>
                <w:rFonts w:eastAsia="Cambria"/>
                <w:color w:val="000000"/>
                <w:sz w:val="22"/>
                <w:szCs w:val="22"/>
              </w:rPr>
            </w:pPr>
            <w:r w:rsidRPr="00777DF2">
              <w:rPr>
                <w:rFonts w:eastAsia="Cambria"/>
                <w:color w:val="000000"/>
                <w:sz w:val="22"/>
                <w:szCs w:val="22"/>
              </w:rPr>
              <w:t>Treatment</w:t>
            </w:r>
          </w:p>
        </w:tc>
        <w:tc>
          <w:tcPr>
            <w:tcW w:w="514" w:type="dxa"/>
            <w:tcBorders>
              <w:top w:val="nil"/>
              <w:left w:val="nil"/>
              <w:bottom w:val="single" w:sz="4" w:space="0" w:color="auto"/>
              <w:right w:val="nil"/>
            </w:tcBorders>
            <w:shd w:val="clear" w:color="auto" w:fill="auto"/>
            <w:vAlign w:val="center"/>
          </w:tcPr>
          <w:p w:rsidR="00E91696" w:rsidRPr="00777DF2" w:rsidRDefault="00E91696" w:rsidP="00F8034E">
            <w:pPr>
              <w:jc w:val="center"/>
              <w:rPr>
                <w:rFonts w:eastAsia="Cambria"/>
                <w:sz w:val="22"/>
                <w:szCs w:val="22"/>
              </w:rPr>
            </w:pPr>
            <w:r w:rsidRPr="00777DF2">
              <w:rPr>
                <w:rFonts w:eastAsia="Cambria"/>
                <w:color w:val="000000"/>
                <w:sz w:val="22"/>
                <w:szCs w:val="22"/>
              </w:rPr>
              <w:t>4</w:t>
            </w:r>
          </w:p>
        </w:tc>
        <w:tc>
          <w:tcPr>
            <w:tcW w:w="840" w:type="dxa"/>
            <w:tcBorders>
              <w:top w:val="nil"/>
              <w:left w:val="nil"/>
              <w:bottom w:val="single" w:sz="4" w:space="0" w:color="auto"/>
              <w:right w:val="nil"/>
            </w:tcBorders>
            <w:shd w:val="clear" w:color="auto" w:fill="auto"/>
            <w:vAlign w:val="center"/>
          </w:tcPr>
          <w:p w:rsidR="00E91696" w:rsidRPr="00777DF2" w:rsidRDefault="00E91696" w:rsidP="00F8034E">
            <w:pPr>
              <w:jc w:val="center"/>
              <w:rPr>
                <w:rFonts w:eastAsia="Cambria"/>
                <w:color w:val="000000"/>
                <w:sz w:val="22"/>
                <w:szCs w:val="22"/>
              </w:rPr>
            </w:pPr>
            <w:r w:rsidRPr="00777DF2">
              <w:rPr>
                <w:rFonts w:eastAsia="Cambria"/>
                <w:color w:val="000000"/>
                <w:sz w:val="22"/>
                <w:szCs w:val="22"/>
              </w:rPr>
              <w:t>NS</w:t>
            </w:r>
          </w:p>
        </w:tc>
        <w:tc>
          <w:tcPr>
            <w:tcW w:w="813" w:type="dxa"/>
            <w:tcBorders>
              <w:top w:val="nil"/>
              <w:left w:val="nil"/>
              <w:bottom w:val="single" w:sz="4" w:space="0" w:color="auto"/>
              <w:right w:val="nil"/>
            </w:tcBorders>
            <w:shd w:val="clear" w:color="auto" w:fill="auto"/>
            <w:vAlign w:val="center"/>
          </w:tcPr>
          <w:p w:rsidR="00E91696" w:rsidRPr="00777DF2" w:rsidRDefault="00E91696" w:rsidP="00F8034E">
            <w:pPr>
              <w:jc w:val="center"/>
              <w:rPr>
                <w:rFonts w:eastAsia="Cambria"/>
                <w:color w:val="000000"/>
                <w:sz w:val="22"/>
                <w:szCs w:val="22"/>
              </w:rPr>
            </w:pPr>
            <w:r w:rsidRPr="00777DF2">
              <w:rPr>
                <w:rFonts w:eastAsia="Cambria"/>
                <w:color w:val="000000"/>
                <w:sz w:val="22"/>
                <w:szCs w:val="22"/>
              </w:rPr>
              <w:t>NS</w:t>
            </w:r>
          </w:p>
        </w:tc>
        <w:tc>
          <w:tcPr>
            <w:tcW w:w="764" w:type="dxa"/>
            <w:tcBorders>
              <w:top w:val="nil"/>
              <w:left w:val="nil"/>
              <w:bottom w:val="single" w:sz="4" w:space="0" w:color="auto"/>
              <w:right w:val="nil"/>
            </w:tcBorders>
            <w:shd w:val="clear" w:color="auto" w:fill="auto"/>
            <w:vAlign w:val="center"/>
          </w:tcPr>
          <w:p w:rsidR="00E91696" w:rsidRPr="00777DF2" w:rsidRDefault="00E91696" w:rsidP="00F8034E">
            <w:pPr>
              <w:jc w:val="center"/>
              <w:rPr>
                <w:rFonts w:eastAsia="Cambria"/>
                <w:color w:val="000000"/>
                <w:sz w:val="22"/>
                <w:szCs w:val="22"/>
              </w:rPr>
            </w:pPr>
            <w:r w:rsidRPr="00777DF2">
              <w:rPr>
                <w:rFonts w:eastAsia="Cambria"/>
                <w:color w:val="000000"/>
                <w:sz w:val="22"/>
                <w:szCs w:val="22"/>
              </w:rPr>
              <w:t>***</w:t>
            </w:r>
          </w:p>
        </w:tc>
        <w:tc>
          <w:tcPr>
            <w:tcW w:w="770" w:type="dxa"/>
            <w:tcBorders>
              <w:top w:val="nil"/>
              <w:left w:val="nil"/>
              <w:bottom w:val="single" w:sz="4" w:space="0" w:color="auto"/>
              <w:right w:val="nil"/>
            </w:tcBorders>
            <w:shd w:val="clear" w:color="auto" w:fill="auto"/>
            <w:vAlign w:val="center"/>
          </w:tcPr>
          <w:p w:rsidR="00E91696" w:rsidRPr="00777DF2" w:rsidRDefault="00E91696" w:rsidP="00F8034E">
            <w:pPr>
              <w:jc w:val="center"/>
              <w:rPr>
                <w:rFonts w:eastAsia="Cambria"/>
                <w:color w:val="000000"/>
                <w:sz w:val="22"/>
                <w:szCs w:val="22"/>
              </w:rPr>
            </w:pPr>
            <w:r w:rsidRPr="00777DF2">
              <w:rPr>
                <w:rFonts w:eastAsia="Cambria"/>
                <w:color w:val="000000"/>
                <w:sz w:val="22"/>
                <w:szCs w:val="22"/>
              </w:rPr>
              <w:t>***</w:t>
            </w:r>
          </w:p>
        </w:tc>
        <w:tc>
          <w:tcPr>
            <w:tcW w:w="789" w:type="dxa"/>
            <w:tcBorders>
              <w:top w:val="nil"/>
              <w:left w:val="nil"/>
              <w:bottom w:val="single" w:sz="4" w:space="0" w:color="auto"/>
              <w:right w:val="nil"/>
            </w:tcBorders>
            <w:shd w:val="clear" w:color="auto" w:fill="auto"/>
            <w:vAlign w:val="center"/>
          </w:tcPr>
          <w:p w:rsidR="00E91696" w:rsidRPr="00777DF2" w:rsidRDefault="00E91696" w:rsidP="00F8034E">
            <w:pPr>
              <w:jc w:val="center"/>
              <w:rPr>
                <w:rFonts w:eastAsia="Cambria"/>
                <w:color w:val="000000"/>
                <w:sz w:val="22"/>
                <w:szCs w:val="22"/>
              </w:rPr>
            </w:pPr>
            <w:r w:rsidRPr="00777DF2">
              <w:rPr>
                <w:rFonts w:eastAsia="Cambria"/>
                <w:color w:val="000000"/>
                <w:sz w:val="22"/>
                <w:szCs w:val="22"/>
              </w:rPr>
              <w:t>NS</w:t>
            </w:r>
          </w:p>
        </w:tc>
        <w:tc>
          <w:tcPr>
            <w:tcW w:w="1314" w:type="dxa"/>
            <w:tcBorders>
              <w:top w:val="nil"/>
              <w:left w:val="nil"/>
              <w:bottom w:val="single" w:sz="4" w:space="0" w:color="auto"/>
              <w:right w:val="nil"/>
            </w:tcBorders>
            <w:vAlign w:val="center"/>
          </w:tcPr>
          <w:p w:rsidR="00E91696" w:rsidRPr="00777DF2" w:rsidRDefault="00E91696" w:rsidP="00F8034E">
            <w:pPr>
              <w:jc w:val="center"/>
              <w:rPr>
                <w:rFonts w:eastAsia="Cambria"/>
                <w:color w:val="000000"/>
                <w:sz w:val="22"/>
                <w:szCs w:val="22"/>
              </w:rPr>
            </w:pPr>
            <w:r w:rsidRPr="00777DF2">
              <w:rPr>
                <w:rFonts w:eastAsia="Cambria"/>
                <w:color w:val="000000"/>
                <w:sz w:val="22"/>
                <w:szCs w:val="22"/>
              </w:rPr>
              <w:t>***</w:t>
            </w:r>
          </w:p>
        </w:tc>
      </w:tr>
      <w:tr w:rsidR="006B7833" w:rsidRPr="006A3515" w:rsidTr="00E91696">
        <w:trPr>
          <w:trHeight w:val="128"/>
        </w:trPr>
        <w:tc>
          <w:tcPr>
            <w:tcW w:w="7066" w:type="dxa"/>
            <w:gridSpan w:val="8"/>
            <w:tcBorders>
              <w:top w:val="single" w:sz="4" w:space="0" w:color="auto"/>
              <w:left w:val="nil"/>
              <w:bottom w:val="nil"/>
              <w:right w:val="nil"/>
            </w:tcBorders>
            <w:shd w:val="clear" w:color="auto" w:fill="auto"/>
            <w:vAlign w:val="center"/>
          </w:tcPr>
          <w:p w:rsidR="006B7833" w:rsidRPr="006A3515" w:rsidRDefault="006B7833" w:rsidP="00777DF2">
            <w:pPr>
              <w:rPr>
                <w:rFonts w:eastAsia="Cambria"/>
                <w:color w:val="000000"/>
                <w:sz w:val="20"/>
                <w:szCs w:val="20"/>
              </w:rPr>
            </w:pPr>
            <w:r w:rsidRPr="006A3515">
              <w:rPr>
                <w:rFonts w:eastAsia="Cambria"/>
                <w:color w:val="000000"/>
                <w:sz w:val="20"/>
                <w:szCs w:val="20"/>
              </w:rPr>
              <w:t>***</w:t>
            </w:r>
            <w:r w:rsidR="002B68E0">
              <w:rPr>
                <w:rFonts w:eastAsia="Cambria"/>
                <w:color w:val="000000"/>
                <w:sz w:val="20"/>
                <w:szCs w:val="20"/>
              </w:rPr>
              <w:t xml:space="preserve"> </w:t>
            </w:r>
            <w:r w:rsidRPr="006A3515">
              <w:rPr>
                <w:rFonts w:eastAsia="Cambria"/>
                <w:color w:val="000000"/>
                <w:sz w:val="20"/>
                <w:szCs w:val="20"/>
              </w:rPr>
              <w:t>Significant at the p ≤ 0.001 level.</w:t>
            </w:r>
          </w:p>
        </w:tc>
        <w:tc>
          <w:tcPr>
            <w:tcW w:w="1314" w:type="dxa"/>
            <w:tcBorders>
              <w:top w:val="single" w:sz="4" w:space="0" w:color="auto"/>
              <w:left w:val="nil"/>
              <w:bottom w:val="nil"/>
              <w:right w:val="nil"/>
            </w:tcBorders>
            <w:vAlign w:val="center"/>
          </w:tcPr>
          <w:p w:rsidR="006B7833" w:rsidRPr="006A3515" w:rsidRDefault="006B7833" w:rsidP="00777DF2">
            <w:pPr>
              <w:jc w:val="center"/>
              <w:rPr>
                <w:rFonts w:eastAsia="Cambria"/>
                <w:color w:val="000000"/>
                <w:sz w:val="20"/>
                <w:szCs w:val="20"/>
              </w:rPr>
            </w:pPr>
          </w:p>
        </w:tc>
      </w:tr>
      <w:tr w:rsidR="00777DF2" w:rsidRPr="006A3515" w:rsidTr="00692D9F">
        <w:trPr>
          <w:trHeight w:val="128"/>
        </w:trPr>
        <w:tc>
          <w:tcPr>
            <w:tcW w:w="7066" w:type="dxa"/>
            <w:gridSpan w:val="8"/>
            <w:tcBorders>
              <w:top w:val="nil"/>
              <w:left w:val="nil"/>
              <w:right w:val="nil"/>
            </w:tcBorders>
            <w:shd w:val="clear" w:color="auto" w:fill="auto"/>
            <w:vAlign w:val="center"/>
          </w:tcPr>
          <w:p w:rsidR="00777DF2" w:rsidRPr="006A3515" w:rsidRDefault="00777DF2" w:rsidP="00777DF2">
            <w:pPr>
              <w:rPr>
                <w:rFonts w:eastAsia="Cambria"/>
                <w:color w:val="000000"/>
                <w:sz w:val="20"/>
                <w:szCs w:val="20"/>
              </w:rPr>
            </w:pPr>
            <w:r w:rsidRPr="006A3515">
              <w:rPr>
                <w:rFonts w:eastAsia="Cambria"/>
                <w:color w:val="000000"/>
                <w:sz w:val="20"/>
                <w:szCs w:val="20"/>
              </w:rPr>
              <w:t>†</w:t>
            </w:r>
            <w:r w:rsidR="002B68E0">
              <w:rPr>
                <w:rFonts w:eastAsia="Cambria"/>
                <w:color w:val="000000"/>
                <w:sz w:val="20"/>
                <w:szCs w:val="20"/>
              </w:rPr>
              <w:t xml:space="preserve"> NS, </w:t>
            </w:r>
            <w:r w:rsidRPr="006A3515">
              <w:rPr>
                <w:rFonts w:eastAsia="Cambria"/>
                <w:color w:val="000000"/>
                <w:sz w:val="20"/>
                <w:szCs w:val="20"/>
              </w:rPr>
              <w:t>not significant</w:t>
            </w:r>
            <w:r w:rsidR="008201DA">
              <w:rPr>
                <w:rFonts w:eastAsia="Cambria"/>
                <w:color w:val="000000"/>
                <w:sz w:val="20"/>
                <w:szCs w:val="20"/>
              </w:rPr>
              <w:t>.</w:t>
            </w:r>
          </w:p>
        </w:tc>
        <w:tc>
          <w:tcPr>
            <w:tcW w:w="1314" w:type="dxa"/>
            <w:tcBorders>
              <w:top w:val="nil"/>
              <w:left w:val="nil"/>
              <w:right w:val="nil"/>
            </w:tcBorders>
            <w:vAlign w:val="center"/>
          </w:tcPr>
          <w:p w:rsidR="00777DF2" w:rsidRPr="006A3515" w:rsidRDefault="00777DF2" w:rsidP="00777DF2">
            <w:pPr>
              <w:jc w:val="center"/>
              <w:rPr>
                <w:rFonts w:eastAsia="Cambria"/>
                <w:color w:val="000000"/>
                <w:sz w:val="20"/>
                <w:szCs w:val="20"/>
              </w:rPr>
            </w:pPr>
          </w:p>
        </w:tc>
      </w:tr>
    </w:tbl>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6B7833"/>
    <w:p w:rsidR="006B7833" w:rsidRDefault="006B7833" w:rsidP="00232AE6"/>
    <w:p w:rsidR="00B16F2A" w:rsidRDefault="00B16F2A" w:rsidP="00232AE6"/>
    <w:p w:rsidR="00B16F2A" w:rsidRDefault="00B16F2A" w:rsidP="00232AE6"/>
    <w:p w:rsidR="00B16F2A" w:rsidRDefault="00B16F2A"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6B7833" w:rsidRDefault="006B7833" w:rsidP="00232AE6"/>
    <w:p w:rsidR="009D3E64" w:rsidRDefault="009D3E64" w:rsidP="00AD6AEB"/>
    <w:p w:rsidR="009D3E64" w:rsidRDefault="009D3E64" w:rsidP="00AD6AEB"/>
    <w:p w:rsidR="008D7ECA" w:rsidRDefault="008D7ECA" w:rsidP="00AD6AEB"/>
    <w:p w:rsidR="00B16F2A" w:rsidRPr="00AD6AEB" w:rsidRDefault="00B16F2A" w:rsidP="00AD6AEB"/>
    <w:p w:rsidR="005B6D4C" w:rsidRPr="009B2EE6" w:rsidRDefault="005B6D4C" w:rsidP="00EB30A2">
      <w:pPr>
        <w:pStyle w:val="Heading1"/>
      </w:pPr>
      <w:bookmarkStart w:id="83" w:name="_Toc353890901"/>
      <w:bookmarkStart w:id="84" w:name="_Toc353892642"/>
      <w:r w:rsidRPr="009B2EE6">
        <w:t>CHAPTER II</w:t>
      </w:r>
      <w:r w:rsidR="002E54A2" w:rsidRPr="009B2EE6">
        <w:t>I</w:t>
      </w:r>
      <w:bookmarkEnd w:id="83"/>
      <w:bookmarkEnd w:id="84"/>
    </w:p>
    <w:p w:rsidR="005B6D4C" w:rsidRPr="009B2EE6" w:rsidRDefault="005B6D4C" w:rsidP="00EB30A2">
      <w:pPr>
        <w:pStyle w:val="Heading1"/>
      </w:pPr>
    </w:p>
    <w:p w:rsidR="00EB30A2" w:rsidRDefault="00743AAB" w:rsidP="00EB30A2">
      <w:pPr>
        <w:pStyle w:val="Heading1"/>
      </w:pPr>
      <w:bookmarkStart w:id="85" w:name="_Toc353875024"/>
      <w:bookmarkStart w:id="86" w:name="_Toc353890902"/>
      <w:bookmarkStart w:id="87" w:name="_Toc353892643"/>
      <w:r>
        <w:t>PHYSIOLOGICAL</w:t>
      </w:r>
      <w:r w:rsidR="005B6D4C" w:rsidRPr="009B2EE6">
        <w:t xml:space="preserve"> E</w:t>
      </w:r>
      <w:r w:rsidR="00444EDB" w:rsidRPr="009B2EE6">
        <w:t>FFECTS</w:t>
      </w:r>
      <w:r w:rsidR="005B6D4C" w:rsidRPr="009B2EE6">
        <w:t xml:space="preserve"> OF CREEPING BENTGRASS</w:t>
      </w:r>
      <w:bookmarkEnd w:id="85"/>
      <w:bookmarkEnd w:id="86"/>
      <w:bookmarkEnd w:id="87"/>
    </w:p>
    <w:p w:rsidR="00EB30A2" w:rsidRDefault="00EB30A2" w:rsidP="00EB30A2">
      <w:pPr>
        <w:pStyle w:val="Heading1"/>
      </w:pPr>
    </w:p>
    <w:p w:rsidR="00EB30A2" w:rsidRDefault="0082164C" w:rsidP="00EB30A2">
      <w:pPr>
        <w:pStyle w:val="Heading1"/>
      </w:pPr>
      <w:r>
        <w:t xml:space="preserve"> </w:t>
      </w:r>
      <w:bookmarkStart w:id="88" w:name="_Toc353875025"/>
      <w:bookmarkStart w:id="89" w:name="_Toc353890903"/>
      <w:bookmarkStart w:id="90" w:name="_Toc353892644"/>
      <w:r>
        <w:t>PUTTING GREENS</w:t>
      </w:r>
      <w:r w:rsidR="005B6D4C" w:rsidRPr="009B2EE6">
        <w:t xml:space="preserve"> IN RESPONSE TO REPEATED</w:t>
      </w:r>
      <w:bookmarkEnd w:id="88"/>
      <w:bookmarkEnd w:id="89"/>
      <w:bookmarkEnd w:id="90"/>
    </w:p>
    <w:p w:rsidR="00EB30A2" w:rsidRDefault="00EB30A2" w:rsidP="00EB30A2">
      <w:pPr>
        <w:pStyle w:val="Heading1"/>
      </w:pPr>
    </w:p>
    <w:p w:rsidR="00EB30A2" w:rsidRDefault="005B6D4C" w:rsidP="00EB30A2">
      <w:pPr>
        <w:pStyle w:val="Heading1"/>
      </w:pPr>
      <w:r w:rsidRPr="009B2EE6">
        <w:t xml:space="preserve"> </w:t>
      </w:r>
      <w:bookmarkStart w:id="91" w:name="_Toc353875026"/>
      <w:bookmarkStart w:id="92" w:name="_Toc353890904"/>
      <w:bookmarkStart w:id="93" w:name="_Toc353892645"/>
      <w:r w:rsidRPr="009B2EE6">
        <w:t>STROBILURIN FUNGICIDE APPLICATIONS IN THE</w:t>
      </w:r>
      <w:bookmarkEnd w:id="91"/>
      <w:bookmarkEnd w:id="92"/>
      <w:bookmarkEnd w:id="93"/>
      <w:r w:rsidRPr="009B2EE6">
        <w:t xml:space="preserve"> </w:t>
      </w:r>
    </w:p>
    <w:p w:rsidR="00EB30A2" w:rsidRDefault="00EB30A2" w:rsidP="00EB30A2">
      <w:pPr>
        <w:pStyle w:val="Heading1"/>
      </w:pPr>
    </w:p>
    <w:p w:rsidR="005B6D4C" w:rsidRPr="009B2EE6" w:rsidRDefault="005B6D4C" w:rsidP="00EB30A2">
      <w:pPr>
        <w:pStyle w:val="Heading1"/>
      </w:pPr>
      <w:bookmarkStart w:id="94" w:name="_Toc353875027"/>
      <w:bookmarkStart w:id="95" w:name="_Toc353890905"/>
      <w:bookmarkStart w:id="96" w:name="_Toc353892646"/>
      <w:r w:rsidRPr="009B2EE6">
        <w:t>FIELD</w:t>
      </w:r>
      <w:bookmarkEnd w:id="94"/>
      <w:bookmarkEnd w:id="95"/>
      <w:bookmarkEnd w:id="96"/>
    </w:p>
    <w:p w:rsidR="0057258F" w:rsidRDefault="0057258F">
      <w:pPr>
        <w:pStyle w:val="Caption"/>
        <w:jc w:val="center"/>
        <w:rPr>
          <w:rFonts w:ascii="Arial" w:hAnsi="Arial" w:cs="Arial"/>
          <w:sz w:val="24"/>
        </w:rPr>
      </w:pPr>
    </w:p>
    <w:p w:rsidR="00F906FC" w:rsidRDefault="00F906FC" w:rsidP="00F906FC"/>
    <w:p w:rsidR="00F906FC" w:rsidRDefault="00F906FC" w:rsidP="00F906FC"/>
    <w:p w:rsidR="00F906FC" w:rsidRDefault="00F906FC" w:rsidP="00F906FC"/>
    <w:p w:rsidR="00F906FC" w:rsidRDefault="00F906FC" w:rsidP="00F906FC"/>
    <w:p w:rsidR="00F906FC" w:rsidRDefault="00F906FC" w:rsidP="00F906FC"/>
    <w:p w:rsidR="00F906FC" w:rsidRDefault="00F906FC" w:rsidP="00F906FC"/>
    <w:p w:rsidR="00F906FC" w:rsidRDefault="00F906FC" w:rsidP="00F906FC"/>
    <w:p w:rsidR="00EB30A2" w:rsidRDefault="00EB30A2" w:rsidP="00F906FC"/>
    <w:p w:rsidR="00EB30A2" w:rsidRDefault="00EB30A2" w:rsidP="00F906FC"/>
    <w:p w:rsidR="00F906FC" w:rsidRDefault="00F906FC" w:rsidP="00F906FC"/>
    <w:p w:rsidR="00F906FC" w:rsidRPr="00F906FC" w:rsidRDefault="00F906FC" w:rsidP="00F906FC"/>
    <w:p w:rsidR="006B7833" w:rsidRDefault="006B7833" w:rsidP="006B7833"/>
    <w:p w:rsidR="00FF0399" w:rsidRDefault="00FF0399" w:rsidP="00FF0399">
      <w:pPr>
        <w:autoSpaceDE w:val="0"/>
        <w:autoSpaceDN w:val="0"/>
        <w:adjustRightInd w:val="0"/>
        <w:spacing w:line="480" w:lineRule="auto"/>
        <w:jc w:val="center"/>
      </w:pPr>
      <w:r>
        <w:lastRenderedPageBreak/>
        <w:t xml:space="preserve">The intent of this manuscript is to </w:t>
      </w:r>
      <w:r w:rsidRPr="000549B1">
        <w:t>publis</w:t>
      </w:r>
      <w:r>
        <w:t>h</w:t>
      </w:r>
      <w:r w:rsidRPr="000549B1">
        <w:t xml:space="preserve"> </w:t>
      </w:r>
      <w:r>
        <w:t>articles in the peer-reviewed literature. This work</w:t>
      </w:r>
      <w:r w:rsidRPr="000549B1">
        <w:t xml:space="preserve"> is based on contributions by </w:t>
      </w:r>
      <w:r>
        <w:t>Jesse Benelli</w:t>
      </w:r>
      <w:r w:rsidRPr="000549B1">
        <w:t>, Brandon</w:t>
      </w:r>
      <w:r>
        <w:t xml:space="preserve"> Horvath, Jim Brosnan, and Dean Kopsell:</w:t>
      </w:r>
    </w:p>
    <w:p w:rsidR="006B7833" w:rsidRDefault="00FF0399" w:rsidP="00FF0399">
      <w:pPr>
        <w:autoSpaceDE w:val="0"/>
        <w:autoSpaceDN w:val="0"/>
        <w:adjustRightInd w:val="0"/>
        <w:spacing w:line="480" w:lineRule="auto"/>
        <w:jc w:val="center"/>
      </w:pPr>
      <w:r w:rsidRPr="000549B1">
        <w:t xml:space="preserve">My primary contributions to this paper include (i) </w:t>
      </w:r>
      <w:r>
        <w:t>designing and c</w:t>
      </w:r>
      <w:r w:rsidRPr="000549B1">
        <w:t xml:space="preserve">onducting the experiments, (ii) analyzing and interpreting data, (iii) </w:t>
      </w:r>
      <w:r>
        <w:t>literature review</w:t>
      </w:r>
      <w:r w:rsidRPr="000549B1">
        <w:t>,</w:t>
      </w:r>
      <w:r>
        <w:t xml:space="preserve"> and</w:t>
      </w:r>
      <w:r w:rsidRPr="000549B1">
        <w:t xml:space="preserve"> (iv) writing the manuscript.</w:t>
      </w:r>
    </w:p>
    <w:p w:rsidR="006B7833" w:rsidRDefault="006B7833" w:rsidP="006B7833"/>
    <w:p w:rsidR="006B7833" w:rsidRPr="006B7833" w:rsidRDefault="006B7833" w:rsidP="006B7833"/>
    <w:p w:rsidR="006B7833" w:rsidRDefault="00AD6AEB" w:rsidP="00EB30A2">
      <w:pPr>
        <w:pStyle w:val="Heading2"/>
      </w:pPr>
      <w:bookmarkStart w:id="97" w:name="_Toc353890906"/>
      <w:bookmarkStart w:id="98" w:name="_Toc353892647"/>
      <w:r w:rsidRPr="009B2EE6">
        <w:t>ABSTRACT</w:t>
      </w:r>
      <w:bookmarkEnd w:id="97"/>
      <w:bookmarkEnd w:id="98"/>
    </w:p>
    <w:p w:rsidR="00EB30A2" w:rsidRPr="00EB30A2" w:rsidRDefault="00EB30A2" w:rsidP="00EB30A2"/>
    <w:p w:rsidR="000549B1" w:rsidRDefault="0057258F" w:rsidP="00FF0399">
      <w:pPr>
        <w:spacing w:line="480" w:lineRule="auto"/>
        <w:ind w:firstLine="720"/>
        <w:rPr>
          <w:rFonts w:eastAsia="Calibri"/>
        </w:rPr>
      </w:pPr>
      <w:r w:rsidRPr="0057258F">
        <w:rPr>
          <w:rFonts w:eastAsia="Calibri"/>
          <w:color w:val="000033"/>
        </w:rPr>
        <w:t xml:space="preserve">Applications of strobilurin fungicides have increased stress tolerance and yield </w:t>
      </w:r>
      <w:r w:rsidR="00AE29E4">
        <w:rPr>
          <w:rFonts w:eastAsia="Calibri"/>
          <w:color w:val="000033"/>
        </w:rPr>
        <w:t>of</w:t>
      </w:r>
      <w:r w:rsidRPr="0057258F">
        <w:rPr>
          <w:rFonts w:eastAsia="Calibri"/>
          <w:color w:val="000033"/>
        </w:rPr>
        <w:t xml:space="preserve"> corn</w:t>
      </w:r>
      <w:r w:rsidR="007009E0">
        <w:rPr>
          <w:rFonts w:eastAsia="Calibri"/>
          <w:color w:val="000033"/>
        </w:rPr>
        <w:t xml:space="preserve"> (</w:t>
      </w:r>
      <w:r w:rsidR="007009E0" w:rsidRPr="007009E0">
        <w:rPr>
          <w:rFonts w:eastAsia="Calibri"/>
          <w:i/>
          <w:color w:val="000033"/>
        </w:rPr>
        <w:t>Zea mays</w:t>
      </w:r>
      <w:r w:rsidR="007009E0">
        <w:rPr>
          <w:rFonts w:eastAsia="Calibri"/>
          <w:color w:val="000033"/>
        </w:rPr>
        <w:t xml:space="preserve"> L.)</w:t>
      </w:r>
      <w:r w:rsidRPr="0057258F">
        <w:rPr>
          <w:rFonts w:eastAsia="Calibri"/>
          <w:color w:val="000033"/>
        </w:rPr>
        <w:t xml:space="preserve"> and wheat</w:t>
      </w:r>
      <w:r w:rsidR="007009E0">
        <w:rPr>
          <w:rFonts w:eastAsia="Calibri"/>
          <w:color w:val="000033"/>
        </w:rPr>
        <w:t xml:space="preserve"> (</w:t>
      </w:r>
      <w:r w:rsidR="007009E0" w:rsidRPr="007009E0">
        <w:rPr>
          <w:rFonts w:eastAsia="Calibri"/>
          <w:i/>
          <w:color w:val="000033"/>
        </w:rPr>
        <w:t>Triticum aestivum</w:t>
      </w:r>
      <w:r w:rsidR="007009E0">
        <w:rPr>
          <w:rFonts w:eastAsia="Calibri"/>
          <w:color w:val="000033"/>
        </w:rPr>
        <w:t xml:space="preserve"> L.)</w:t>
      </w:r>
      <w:r w:rsidR="00AE29E4">
        <w:rPr>
          <w:rFonts w:eastAsia="Calibri"/>
          <w:color w:val="000033"/>
        </w:rPr>
        <w:t xml:space="preserve"> plants grown in the field </w:t>
      </w:r>
      <w:r w:rsidRPr="0057258F">
        <w:rPr>
          <w:rFonts w:eastAsia="Calibri"/>
          <w:color w:val="000033"/>
        </w:rPr>
        <w:t>and improved rooting of creeping bentgrass</w:t>
      </w:r>
      <w:r w:rsidR="007009E0">
        <w:rPr>
          <w:rFonts w:eastAsia="Calibri"/>
          <w:color w:val="000033"/>
        </w:rPr>
        <w:t xml:space="preserve"> (</w:t>
      </w:r>
      <w:r w:rsidR="007009E0" w:rsidRPr="007009E0">
        <w:rPr>
          <w:rFonts w:eastAsia="Calibri"/>
          <w:i/>
          <w:color w:val="000033"/>
        </w:rPr>
        <w:t>Agrostis stolonifera</w:t>
      </w:r>
      <w:r w:rsidR="007009E0">
        <w:rPr>
          <w:rFonts w:eastAsia="Calibri"/>
          <w:color w:val="000033"/>
        </w:rPr>
        <w:t xml:space="preserve"> L.)</w:t>
      </w:r>
      <w:r w:rsidRPr="0057258F">
        <w:rPr>
          <w:rFonts w:eastAsia="Calibri"/>
          <w:color w:val="000033"/>
        </w:rPr>
        <w:t xml:space="preserve"> in controlled </w:t>
      </w:r>
      <w:r w:rsidR="00AE29E4">
        <w:rPr>
          <w:rFonts w:eastAsia="Calibri"/>
          <w:color w:val="000033"/>
        </w:rPr>
        <w:t>greenhouse</w:t>
      </w:r>
      <w:r w:rsidR="00AE29E4" w:rsidRPr="0057258F">
        <w:rPr>
          <w:rFonts w:eastAsia="Calibri"/>
          <w:color w:val="000033"/>
        </w:rPr>
        <w:t xml:space="preserve"> </w:t>
      </w:r>
      <w:r w:rsidRPr="0057258F">
        <w:rPr>
          <w:rFonts w:eastAsia="Calibri"/>
          <w:color w:val="000033"/>
        </w:rPr>
        <w:t>conditions.  A two</w:t>
      </w:r>
      <w:r w:rsidR="004A4FBF">
        <w:rPr>
          <w:rFonts w:eastAsia="Calibri"/>
          <w:color w:val="000033"/>
        </w:rPr>
        <w:t>-</w:t>
      </w:r>
      <w:r w:rsidRPr="0057258F">
        <w:rPr>
          <w:rFonts w:eastAsia="Calibri"/>
          <w:color w:val="000033"/>
        </w:rPr>
        <w:t>year experiment was conducted to determine if applications of pyraclostrobin</w:t>
      </w:r>
      <w:r w:rsidR="00AE29E4">
        <w:rPr>
          <w:rFonts w:eastAsia="Calibri"/>
          <w:color w:val="000033"/>
        </w:rPr>
        <w:t xml:space="preserve"> (0.55 kg ha</w:t>
      </w:r>
      <w:r w:rsidR="00AE29E4">
        <w:rPr>
          <w:rFonts w:eastAsia="Calibri"/>
          <w:color w:val="000033"/>
          <w:vertAlign w:val="superscript"/>
        </w:rPr>
        <w:t>-1</w:t>
      </w:r>
      <w:r w:rsidR="00AE29E4">
        <w:rPr>
          <w:rFonts w:eastAsia="Calibri"/>
          <w:color w:val="000033"/>
        </w:rPr>
        <w:t>)</w:t>
      </w:r>
      <w:r w:rsidRPr="0057258F">
        <w:rPr>
          <w:rFonts w:eastAsia="Calibri"/>
          <w:color w:val="000033"/>
        </w:rPr>
        <w:t>, azoxystrobin</w:t>
      </w:r>
      <w:r w:rsidR="00AE29E4">
        <w:rPr>
          <w:rFonts w:eastAsia="Calibri"/>
          <w:color w:val="000033"/>
        </w:rPr>
        <w:t xml:space="preserve"> (0.61 kg ha</w:t>
      </w:r>
      <w:r w:rsidR="00AE29E4">
        <w:rPr>
          <w:rFonts w:eastAsia="Calibri"/>
          <w:color w:val="000033"/>
          <w:vertAlign w:val="superscript"/>
        </w:rPr>
        <w:t>-1</w:t>
      </w:r>
      <w:r w:rsidR="00AE29E4">
        <w:rPr>
          <w:rFonts w:eastAsia="Calibri"/>
          <w:color w:val="000033"/>
        </w:rPr>
        <w:t>)</w:t>
      </w:r>
      <w:r w:rsidRPr="0057258F">
        <w:rPr>
          <w:rFonts w:eastAsia="Calibri"/>
          <w:color w:val="000033"/>
        </w:rPr>
        <w:t>, fluoxastrobin</w:t>
      </w:r>
      <w:r w:rsidR="00AE29E4">
        <w:rPr>
          <w:rFonts w:eastAsia="Calibri"/>
          <w:color w:val="000033"/>
        </w:rPr>
        <w:t xml:space="preserve"> (0.55 kg ha</w:t>
      </w:r>
      <w:r w:rsidR="00AE29E4">
        <w:rPr>
          <w:rFonts w:eastAsia="Calibri"/>
          <w:color w:val="000033"/>
          <w:vertAlign w:val="superscript"/>
        </w:rPr>
        <w:t>-1</w:t>
      </w:r>
      <w:r w:rsidR="00AE29E4">
        <w:rPr>
          <w:rFonts w:eastAsia="Calibri"/>
          <w:color w:val="000033"/>
        </w:rPr>
        <w:t>)</w:t>
      </w:r>
      <w:r w:rsidRPr="0057258F">
        <w:rPr>
          <w:rFonts w:eastAsia="Calibri"/>
          <w:color w:val="000033"/>
        </w:rPr>
        <w:t>,</w:t>
      </w:r>
      <w:r w:rsidR="003236A5">
        <w:rPr>
          <w:rFonts w:eastAsia="Calibri"/>
          <w:color w:val="000033"/>
        </w:rPr>
        <w:t xml:space="preserve"> </w:t>
      </w:r>
      <w:r w:rsidRPr="0057258F">
        <w:rPr>
          <w:rFonts w:eastAsia="Calibri"/>
          <w:color w:val="000033"/>
        </w:rPr>
        <w:t xml:space="preserve">and trifloxystrobin </w:t>
      </w:r>
      <w:r w:rsidR="00AE29E4">
        <w:rPr>
          <w:rFonts w:eastAsia="Calibri"/>
          <w:color w:val="000033"/>
        </w:rPr>
        <w:t>(0.38 kg ha</w:t>
      </w:r>
      <w:r w:rsidR="00AE29E4">
        <w:rPr>
          <w:rFonts w:eastAsia="Calibri"/>
          <w:color w:val="000033"/>
          <w:vertAlign w:val="superscript"/>
        </w:rPr>
        <w:t>-1</w:t>
      </w:r>
      <w:r w:rsidR="00AE29E4">
        <w:rPr>
          <w:rFonts w:eastAsia="Calibri"/>
          <w:color w:val="000033"/>
        </w:rPr>
        <w:t>)</w:t>
      </w:r>
      <w:r w:rsidRPr="0057258F">
        <w:rPr>
          <w:rFonts w:eastAsia="Calibri"/>
          <w:color w:val="000033"/>
        </w:rPr>
        <w:t xml:space="preserve"> could mitigate environmental stress on a ‘</w:t>
      </w:r>
      <w:r w:rsidR="00743AAB">
        <w:rPr>
          <w:rFonts w:eastAsia="Calibri"/>
          <w:color w:val="000033"/>
        </w:rPr>
        <w:t>Dominant S</w:t>
      </w:r>
      <w:r w:rsidRPr="0057258F">
        <w:rPr>
          <w:rFonts w:eastAsia="Calibri"/>
          <w:color w:val="000033"/>
        </w:rPr>
        <w:t xml:space="preserve">outhern’ creeping bentgrass putting green. </w:t>
      </w:r>
      <w:r w:rsidR="00743AAB" w:rsidRPr="00DD21E4">
        <w:rPr>
          <w:rFonts w:eastAsia="Calibri"/>
          <w:color w:val="000033"/>
        </w:rPr>
        <w:t>Experimental units were arranged in a split-plot randomized complete block design</w:t>
      </w:r>
      <w:r w:rsidR="00AE29E4">
        <w:rPr>
          <w:rFonts w:eastAsia="Calibri"/>
          <w:color w:val="000033"/>
        </w:rPr>
        <w:t xml:space="preserve"> with XX replications in 2011 and 2012</w:t>
      </w:r>
      <w:r w:rsidR="00743AAB">
        <w:rPr>
          <w:rFonts w:eastAsia="Calibri"/>
          <w:color w:val="000033"/>
        </w:rPr>
        <w:t>.</w:t>
      </w:r>
      <w:r w:rsidR="00743AAB" w:rsidRPr="00DD21E4">
        <w:rPr>
          <w:rFonts w:eastAsia="Calibri"/>
          <w:color w:val="000033"/>
        </w:rPr>
        <w:t xml:space="preserve"> </w:t>
      </w:r>
      <w:r w:rsidR="00C465FC">
        <w:rPr>
          <w:rFonts w:eastAsia="Calibri"/>
          <w:color w:val="000033"/>
        </w:rPr>
        <w:t xml:space="preserve">Whole plots </w:t>
      </w:r>
      <w:r w:rsidR="007009E0">
        <w:rPr>
          <w:rFonts w:eastAsia="Calibri"/>
          <w:color w:val="000033"/>
        </w:rPr>
        <w:t>included</w:t>
      </w:r>
      <w:r w:rsidR="00C465FC">
        <w:rPr>
          <w:rFonts w:eastAsia="Calibri"/>
          <w:color w:val="000033"/>
        </w:rPr>
        <w:t xml:space="preserve"> a </w:t>
      </w:r>
      <w:r w:rsidR="00743AAB">
        <w:rPr>
          <w:rFonts w:eastAsia="Calibri"/>
          <w:color w:val="000033"/>
        </w:rPr>
        <w:t xml:space="preserve">fungicide mixture containing chlorothalonil and iprodione </w:t>
      </w:r>
      <w:r w:rsidR="007009E0">
        <w:rPr>
          <w:rFonts w:eastAsia="Calibri"/>
          <w:color w:val="000033"/>
        </w:rPr>
        <w:t>applied every 14 days</w:t>
      </w:r>
      <w:r w:rsidR="007009E0">
        <w:rPr>
          <w:rStyle w:val="CommentReference"/>
        </w:rPr>
        <w:t xml:space="preserve"> </w:t>
      </w:r>
      <w:r w:rsidR="00C465FC">
        <w:rPr>
          <w:rFonts w:eastAsia="Calibri"/>
          <w:color w:val="000033"/>
        </w:rPr>
        <w:t xml:space="preserve">or </w:t>
      </w:r>
      <w:r w:rsidR="00743AAB">
        <w:rPr>
          <w:rFonts w:eastAsia="Calibri"/>
          <w:color w:val="000033"/>
        </w:rPr>
        <w:t>no fungicide treatment. Sub-plots were treated with strobilurin fungicides (azoxystrobin, pyraclostrobin, fluoxastrobin, and trifloxystrobin) and a non-treated control.</w:t>
      </w:r>
      <w:r w:rsidRPr="0057258F">
        <w:rPr>
          <w:rFonts w:eastAsia="Calibri"/>
          <w:color w:val="000033"/>
        </w:rPr>
        <w:t xml:space="preserve"> </w:t>
      </w:r>
      <w:r w:rsidR="00A05D92">
        <w:rPr>
          <w:color w:val="000000"/>
        </w:rPr>
        <w:t>T</w:t>
      </w:r>
      <w:r w:rsidRPr="0057258F">
        <w:rPr>
          <w:color w:val="000000"/>
        </w:rPr>
        <w:t xml:space="preserve">urfgrass quality, normalized difference vegetation index (NDVI), ratio vegetation index (RVI), and percent turfgrass cover </w:t>
      </w:r>
      <w:r w:rsidR="00A05D92">
        <w:rPr>
          <w:color w:val="000000"/>
        </w:rPr>
        <w:t xml:space="preserve">data </w:t>
      </w:r>
      <w:r w:rsidRPr="0057258F">
        <w:rPr>
          <w:color w:val="000000"/>
        </w:rPr>
        <w:t xml:space="preserve">were collected 14, 28, 42, 56, 70, and 84 days after initial treatment. Soil profiles were removed from each subplot at </w:t>
      </w:r>
      <w:r w:rsidRPr="0057258F">
        <w:rPr>
          <w:color w:val="000000"/>
        </w:rPr>
        <w:lastRenderedPageBreak/>
        <w:t xml:space="preserve">the termination of the trial period to assess visual root length. Significant </w:t>
      </w:r>
      <w:r w:rsidRPr="0057258F">
        <w:rPr>
          <w:rFonts w:eastAsia="Calibri"/>
        </w:rPr>
        <w:t xml:space="preserve">differences were not detected for any </w:t>
      </w:r>
      <w:r w:rsidR="00367F0B">
        <w:rPr>
          <w:rFonts w:eastAsia="Calibri"/>
        </w:rPr>
        <w:t xml:space="preserve">measured </w:t>
      </w:r>
      <w:r w:rsidRPr="0057258F">
        <w:rPr>
          <w:rFonts w:eastAsia="Calibri"/>
        </w:rPr>
        <w:t xml:space="preserve">parameter on any assessment date. </w:t>
      </w:r>
      <w:r w:rsidR="00A05D92">
        <w:rPr>
          <w:rFonts w:eastAsia="Calibri"/>
        </w:rPr>
        <w:t>While a</w:t>
      </w:r>
      <w:r w:rsidRPr="0057258F">
        <w:rPr>
          <w:rFonts w:eastAsia="Calibri"/>
        </w:rPr>
        <w:t xml:space="preserve">pplications of strobilurin fungicides </w:t>
      </w:r>
      <w:r w:rsidR="00A05D92">
        <w:rPr>
          <w:rFonts w:eastAsia="Calibri"/>
        </w:rPr>
        <w:t>affect</w:t>
      </w:r>
      <w:r w:rsidRPr="0057258F">
        <w:rPr>
          <w:rFonts w:eastAsia="Calibri"/>
        </w:rPr>
        <w:t xml:space="preserve"> creeping bentgrass </w:t>
      </w:r>
      <w:r w:rsidR="00A05D92">
        <w:rPr>
          <w:rFonts w:eastAsia="Calibri"/>
        </w:rPr>
        <w:t xml:space="preserve">physiology </w:t>
      </w:r>
      <w:r w:rsidRPr="0057258F">
        <w:rPr>
          <w:rFonts w:eastAsia="Calibri"/>
        </w:rPr>
        <w:t xml:space="preserve">during summer stress, </w:t>
      </w:r>
      <w:r w:rsidR="00367F0B">
        <w:rPr>
          <w:rFonts w:eastAsia="Calibri"/>
        </w:rPr>
        <w:t>field</w:t>
      </w:r>
      <w:r w:rsidRPr="0057258F">
        <w:rPr>
          <w:rFonts w:eastAsia="Calibri"/>
        </w:rPr>
        <w:t xml:space="preserve"> observation of </w:t>
      </w:r>
      <w:r w:rsidR="00A05D92">
        <w:rPr>
          <w:rFonts w:eastAsia="Calibri"/>
        </w:rPr>
        <w:t xml:space="preserve">these </w:t>
      </w:r>
      <w:r w:rsidR="00367F0B">
        <w:rPr>
          <w:rFonts w:eastAsia="Calibri"/>
        </w:rPr>
        <w:t>effects</w:t>
      </w:r>
      <w:r w:rsidRPr="0057258F">
        <w:rPr>
          <w:rFonts w:eastAsia="Calibri"/>
        </w:rPr>
        <w:t xml:space="preserve"> may be dependent on a number of factors that are currently unknown.</w:t>
      </w:r>
    </w:p>
    <w:p w:rsidR="00BE5250" w:rsidRDefault="00BE5250"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Default="00FF0399" w:rsidP="00195C36">
      <w:pPr>
        <w:spacing w:line="480" w:lineRule="auto"/>
        <w:rPr>
          <w:rFonts w:eastAsia="Calibri"/>
          <w:color w:val="000033"/>
        </w:rPr>
      </w:pPr>
    </w:p>
    <w:p w:rsidR="00FF0399" w:rsidRPr="00195C36" w:rsidRDefault="00FF0399" w:rsidP="00195C36">
      <w:pPr>
        <w:spacing w:line="480" w:lineRule="auto"/>
        <w:rPr>
          <w:rFonts w:eastAsia="Calibri"/>
          <w:color w:val="000033"/>
        </w:rPr>
      </w:pPr>
    </w:p>
    <w:p w:rsidR="0057258F" w:rsidRDefault="006B7833" w:rsidP="00EB30A2">
      <w:pPr>
        <w:pStyle w:val="Heading2"/>
      </w:pPr>
      <w:bookmarkStart w:id="99" w:name="_Toc353890907"/>
      <w:bookmarkStart w:id="100" w:name="_Toc353892648"/>
      <w:r w:rsidRPr="009B2EE6">
        <w:lastRenderedPageBreak/>
        <w:t>INTRODUCTION</w:t>
      </w:r>
      <w:bookmarkEnd w:id="99"/>
      <w:bookmarkEnd w:id="100"/>
    </w:p>
    <w:p w:rsidR="00EB30A2" w:rsidRPr="00EB30A2" w:rsidRDefault="00EB30A2" w:rsidP="00EB30A2"/>
    <w:p w:rsidR="0057258F" w:rsidRPr="0057258F" w:rsidRDefault="0057258F" w:rsidP="00367F0B">
      <w:pPr>
        <w:spacing w:line="480" w:lineRule="auto"/>
        <w:ind w:firstLine="720"/>
      </w:pPr>
      <w:r w:rsidRPr="0057258F">
        <w:t>Creeping bentgrass (</w:t>
      </w:r>
      <w:r w:rsidRPr="0057258F">
        <w:rPr>
          <w:i/>
        </w:rPr>
        <w:t xml:space="preserve">Agrostis stolonifera </w:t>
      </w:r>
      <w:r w:rsidRPr="0057258F">
        <w:t xml:space="preserve">L.) is the predominant grass species </w:t>
      </w:r>
      <w:r w:rsidR="00484F6A">
        <w:t xml:space="preserve">used on </w:t>
      </w:r>
      <w:r w:rsidRPr="0057258F">
        <w:t>golf course putting greens throughout much of the United States (Lyman et al., 2007). In the transition zone, creeping bentgrass can maintain its green color throughout winter and provide</w:t>
      </w:r>
      <w:r w:rsidR="00367F0B">
        <w:t>s</w:t>
      </w:r>
      <w:r w:rsidRPr="0057258F">
        <w:t xml:space="preserve"> </w:t>
      </w:r>
      <w:r w:rsidR="00367F0B">
        <w:t xml:space="preserve">exceptional </w:t>
      </w:r>
      <w:r w:rsidRPr="0057258F">
        <w:t>acceptable quality during spring and fall months</w:t>
      </w:r>
      <w:r w:rsidR="00367F0B">
        <w:t xml:space="preserve"> </w:t>
      </w:r>
      <w:r w:rsidRPr="0057258F">
        <w:t xml:space="preserve">(Xu and Huang, 2003). The quality and health of creeping bentgrass is most </w:t>
      </w:r>
      <w:r w:rsidR="00367F0B">
        <w:t>compromised</w:t>
      </w:r>
      <w:r w:rsidRPr="0057258F">
        <w:t xml:space="preserve"> when prolonged heat </w:t>
      </w:r>
      <w:r w:rsidR="00367F0B">
        <w:t>occurs</w:t>
      </w:r>
      <w:r w:rsidRPr="0057258F">
        <w:t xml:space="preserve"> during summer months (Dernoeden, 2002).</w:t>
      </w:r>
    </w:p>
    <w:p w:rsidR="0057258F" w:rsidRPr="0057258F" w:rsidRDefault="0057258F" w:rsidP="00367F0B">
      <w:pPr>
        <w:spacing w:line="480" w:lineRule="auto"/>
        <w:ind w:firstLine="720"/>
      </w:pPr>
      <w:r w:rsidRPr="0057258F">
        <w:t>Creeping bentgrass is prone to a number of summer stress maladies including heat stress, ultraviolet light radiation, and pathogen attack (</w:t>
      </w:r>
      <w:r w:rsidRPr="0057258F">
        <w:rPr>
          <w:color w:val="222222"/>
        </w:rPr>
        <w:t>Dernoeden, 2002).</w:t>
      </w:r>
      <w:r w:rsidRPr="0057258F">
        <w:t xml:space="preserve"> These </w:t>
      </w:r>
      <w:r w:rsidR="00367F0B">
        <w:t>stressors</w:t>
      </w:r>
      <w:r w:rsidRPr="0057258F">
        <w:t xml:space="preserve"> can impair many of the physiological processes of higher plants including photosynthesis, respiration, water regulation, and hormonal balance (Wahid et al., 2007). </w:t>
      </w:r>
      <w:r w:rsidR="00367F0B">
        <w:t>T</w:t>
      </w:r>
      <w:r w:rsidRPr="0057258F">
        <w:t xml:space="preserve">hese cellular impairments can result </w:t>
      </w:r>
      <w:r w:rsidR="00484F6A">
        <w:t>reduce the</w:t>
      </w:r>
      <w:r w:rsidRPr="0057258F">
        <w:t xml:space="preserve"> playability and quality of creeping bentgrass putting greens. Proper management practices to mitigate injury and to </w:t>
      </w:r>
      <w:r w:rsidR="007846E9">
        <w:t>lessen disease severity</w:t>
      </w:r>
      <w:r w:rsidRPr="0057258F">
        <w:t xml:space="preserve"> are important for sustaining this cool season plant. One of those management practices is fungicide selection.</w:t>
      </w:r>
    </w:p>
    <w:p w:rsidR="0057258F" w:rsidRPr="0057258F" w:rsidRDefault="0057258F" w:rsidP="00367F0B">
      <w:pPr>
        <w:spacing w:line="480" w:lineRule="auto"/>
        <w:ind w:firstLine="720"/>
      </w:pPr>
      <w:r w:rsidRPr="0057258F">
        <w:t>Strobilurin fungicides are broad</w:t>
      </w:r>
      <w:r w:rsidR="005E1230">
        <w:t>-</w:t>
      </w:r>
      <w:r w:rsidRPr="0057258F">
        <w:t>spectrum disease control products that were first registered for turfgrass use in 1996 with the introduction of azoxystrobin (Latin, 2011). By 2012, the list of available strobilurin fungicides has broadened to include trifloxystrobin, pyraclostrobin, and fluoaxastrobin</w:t>
      </w:r>
      <w:r w:rsidR="00DF3FDA">
        <w:t xml:space="preserve"> (Latin, 2011)</w:t>
      </w:r>
      <w:r w:rsidRPr="0057258F">
        <w:t xml:space="preserve">. These fungicides are often applied to creeping bentgrass </w:t>
      </w:r>
      <w:r w:rsidR="00AA5D51">
        <w:t>in</w:t>
      </w:r>
      <w:r w:rsidR="00AA5D51" w:rsidRPr="0057258F">
        <w:t xml:space="preserve"> </w:t>
      </w:r>
      <w:r w:rsidR="001A11DD">
        <w:t xml:space="preserve">warm, </w:t>
      </w:r>
      <w:r w:rsidRPr="0057258F">
        <w:t>humid environments to control diseases such as brown patch (</w:t>
      </w:r>
      <w:r w:rsidRPr="0057258F">
        <w:rPr>
          <w:i/>
        </w:rPr>
        <w:t>Rhizoctonia solani</w:t>
      </w:r>
      <w:r w:rsidRPr="0057258F">
        <w:t xml:space="preserve"> J.G. Kühn) and anthracnose (</w:t>
      </w:r>
      <w:r w:rsidRPr="0057258F">
        <w:rPr>
          <w:i/>
        </w:rPr>
        <w:t>Colletotrichum cereale</w:t>
      </w:r>
      <w:r w:rsidRPr="0057258F">
        <w:t xml:space="preserve"> sensu lato Crouch, Clarke and Hillman) (Wong et al., 2006). </w:t>
      </w:r>
    </w:p>
    <w:p w:rsidR="0057258F" w:rsidRPr="0057258F" w:rsidRDefault="0057258F" w:rsidP="000549B1">
      <w:pPr>
        <w:spacing w:line="480" w:lineRule="auto"/>
        <w:ind w:firstLine="720"/>
      </w:pPr>
      <w:r w:rsidRPr="0057258F">
        <w:lastRenderedPageBreak/>
        <w:t xml:space="preserve">Strobilurin fungicides inhibit mitochondrial respiration in fungi by binding </w:t>
      </w:r>
      <w:r w:rsidR="00AA5D51">
        <w:t>to</w:t>
      </w:r>
      <w:r w:rsidR="00AA5D51" w:rsidRPr="0057258F">
        <w:t xml:space="preserve"> </w:t>
      </w:r>
      <w:r w:rsidRPr="0057258F">
        <w:t xml:space="preserve">the ubiquinone site located within the </w:t>
      </w:r>
      <w:r w:rsidRPr="0057258F">
        <w:rPr>
          <w:bCs/>
          <w:color w:val="000000"/>
        </w:rPr>
        <w:t>cytochrome c oxidoreductase complex</w:t>
      </w:r>
      <w:r w:rsidRPr="0057258F">
        <w:t xml:space="preserve"> (</w:t>
      </w:r>
      <w:r w:rsidRPr="0057258F">
        <w:rPr>
          <w:i/>
        </w:rPr>
        <w:t>bc</w:t>
      </w:r>
      <w:r w:rsidRPr="0057258F">
        <w:rPr>
          <w:vertAlign w:val="subscript"/>
        </w:rPr>
        <w:t>1</w:t>
      </w:r>
      <w:r w:rsidRPr="0057258F">
        <w:t>) of the mitochondria</w:t>
      </w:r>
      <w:r w:rsidR="00B625C7">
        <w:t>l membrane</w:t>
      </w:r>
      <w:r w:rsidRPr="0057258F">
        <w:t xml:space="preserve"> (</w:t>
      </w:r>
      <w:r w:rsidR="00B625C7" w:rsidRPr="007165DD">
        <w:t>Bartlett et al., 2001</w:t>
      </w:r>
      <w:r w:rsidRPr="0057258F">
        <w:t xml:space="preserve">). This results in the inactivation of the ubiquinol oxidase enzyme </w:t>
      </w:r>
      <w:r w:rsidR="00AA5D51">
        <w:t>causing</w:t>
      </w:r>
      <w:r w:rsidRPr="0057258F">
        <w:t xml:space="preserve"> a blockage of el</w:t>
      </w:r>
      <w:r w:rsidR="003A366F">
        <w:t xml:space="preserve">ectron transport </w:t>
      </w:r>
      <w:r w:rsidR="00AA5D51">
        <w:t xml:space="preserve">that inhibits </w:t>
      </w:r>
      <w:r w:rsidR="003A366F">
        <w:t xml:space="preserve">the </w:t>
      </w:r>
      <w:r w:rsidRPr="0057258F">
        <w:t xml:space="preserve">production of </w:t>
      </w:r>
      <w:r w:rsidR="001A11DD">
        <w:t>ATP</w:t>
      </w:r>
      <w:r w:rsidRPr="0057258F">
        <w:t>, the main source of energy needed for fungal growth (Bartlett et al., 200</w:t>
      </w:r>
      <w:r w:rsidR="00B625C7">
        <w:t>1</w:t>
      </w:r>
      <w:r w:rsidRPr="0057258F">
        <w:t xml:space="preserve">). </w:t>
      </w:r>
      <w:r w:rsidR="00B625C7">
        <w:t xml:space="preserve"> Recently, pyraclostrobin has been labeled by the Environmental Protection Agency (EPA) for plant health benefits in addition to disease control </w:t>
      </w:r>
      <w:r w:rsidRPr="0057258F">
        <w:t>(Anonymous</w:t>
      </w:r>
      <w:r w:rsidR="001A11DD">
        <w:t xml:space="preserve">, </w:t>
      </w:r>
      <w:r w:rsidR="001A11DD" w:rsidRPr="003A366F">
        <w:t xml:space="preserve">Insignia SC fungicide </w:t>
      </w:r>
      <w:r w:rsidR="001A11DD">
        <w:t>product</w:t>
      </w:r>
      <w:r w:rsidR="001A11DD" w:rsidRPr="003A366F">
        <w:t xml:space="preserve"> label</w:t>
      </w:r>
      <w:r w:rsidRPr="0057258F">
        <w:t xml:space="preserve">, 2010).  </w:t>
      </w:r>
    </w:p>
    <w:p w:rsidR="0057258F" w:rsidRPr="0057258F" w:rsidRDefault="00C87058" w:rsidP="000549B1">
      <w:pPr>
        <w:spacing w:line="480" w:lineRule="auto"/>
        <w:ind w:firstLine="720"/>
        <w:rPr>
          <w:bCs/>
        </w:rPr>
      </w:pPr>
      <w:r>
        <w:rPr>
          <w:bCs/>
        </w:rPr>
        <w:t>S</w:t>
      </w:r>
      <w:r w:rsidR="0057258F" w:rsidRPr="0057258F">
        <w:rPr>
          <w:bCs/>
        </w:rPr>
        <w:t xml:space="preserve">trobilurin fungicide </w:t>
      </w:r>
      <w:r>
        <w:rPr>
          <w:bCs/>
        </w:rPr>
        <w:t>effects on</w:t>
      </w:r>
      <w:r w:rsidR="0057258F" w:rsidRPr="0057258F">
        <w:rPr>
          <w:bCs/>
        </w:rPr>
        <w:t xml:space="preserve"> </w:t>
      </w:r>
      <w:r>
        <w:rPr>
          <w:bCs/>
        </w:rPr>
        <w:t xml:space="preserve">crop physiology are </w:t>
      </w:r>
      <w:r w:rsidR="0057258F" w:rsidRPr="0057258F">
        <w:rPr>
          <w:bCs/>
        </w:rPr>
        <w:t>well documented</w:t>
      </w:r>
      <w:r>
        <w:rPr>
          <w:bCs/>
        </w:rPr>
        <w:t>.</w:t>
      </w:r>
      <w:r w:rsidR="0057258F" w:rsidRPr="0057258F">
        <w:rPr>
          <w:bCs/>
        </w:rPr>
        <w:t xml:space="preserve"> Wu and Tiedemann (2001) demonstrated that strobilurin fungicides significantly reduced physiological leaf spot symptoms on spring and winter barley</w:t>
      </w:r>
      <w:r w:rsidR="002A53F7">
        <w:rPr>
          <w:bCs/>
        </w:rPr>
        <w:t xml:space="preserve"> (</w:t>
      </w:r>
      <w:r w:rsidR="002A53F7" w:rsidRPr="002A53F7">
        <w:rPr>
          <w:bCs/>
          <w:i/>
        </w:rPr>
        <w:t>Hordeum vulgare</w:t>
      </w:r>
      <w:r w:rsidR="002A53F7" w:rsidRPr="002A53F7">
        <w:rPr>
          <w:bCs/>
        </w:rPr>
        <w:t xml:space="preserve"> </w:t>
      </w:r>
      <w:r w:rsidR="002A53F7">
        <w:rPr>
          <w:bCs/>
        </w:rPr>
        <w:t xml:space="preserve">L.) </w:t>
      </w:r>
      <w:r w:rsidR="0057258F" w:rsidRPr="0057258F">
        <w:rPr>
          <w:bCs/>
        </w:rPr>
        <w:t xml:space="preserve">when exposed to elevated levels of ozone. </w:t>
      </w:r>
      <w:r w:rsidR="001256D1">
        <w:rPr>
          <w:bCs/>
        </w:rPr>
        <w:t>In this study</w:t>
      </w:r>
      <w:r w:rsidR="00873FFF">
        <w:rPr>
          <w:bCs/>
        </w:rPr>
        <w:t>,</w:t>
      </w:r>
      <w:r w:rsidR="0057258F" w:rsidRPr="0057258F">
        <w:rPr>
          <w:bCs/>
        </w:rPr>
        <w:t xml:space="preserve"> </w:t>
      </w:r>
      <w:r w:rsidR="001256D1">
        <w:rPr>
          <w:bCs/>
        </w:rPr>
        <w:t>s</w:t>
      </w:r>
      <w:r w:rsidR="0057258F" w:rsidRPr="0057258F">
        <w:rPr>
          <w:bCs/>
        </w:rPr>
        <w:t xml:space="preserve">trobilurin fungicides </w:t>
      </w:r>
      <w:r w:rsidR="006A54CA">
        <w:rPr>
          <w:bCs/>
        </w:rPr>
        <w:t>increased anti-oxidant production leading to a reduction in oxidative stress from free radicals</w:t>
      </w:r>
      <w:r w:rsidR="0057258F" w:rsidRPr="0057258F">
        <w:rPr>
          <w:bCs/>
        </w:rPr>
        <w:t xml:space="preserve"> in the strobilurin treated barley plants </w:t>
      </w:r>
      <w:r w:rsidR="0055782D">
        <w:rPr>
          <w:bCs/>
        </w:rPr>
        <w:t>that</w:t>
      </w:r>
      <w:r w:rsidR="0055782D" w:rsidRPr="0057258F">
        <w:rPr>
          <w:bCs/>
        </w:rPr>
        <w:t xml:space="preserve"> </w:t>
      </w:r>
      <w:r w:rsidR="0057258F" w:rsidRPr="0057258F">
        <w:rPr>
          <w:bCs/>
        </w:rPr>
        <w:t>favors rapid quenching of these free radicals. Strobilurin fungicides may also indirectly enhance nitrogen assimilation in higher plants (</w:t>
      </w:r>
      <w:r w:rsidR="0057258F" w:rsidRPr="0057258F">
        <w:rPr>
          <w:rFonts w:eastAsia="Calibri"/>
        </w:rPr>
        <w:t>K</w:t>
      </w:r>
      <w:r w:rsidR="0057258F" w:rsidRPr="0057258F">
        <w:rPr>
          <w:rFonts w:ascii="BemboStd" w:hAnsi="BemboStd" w:cs="BemboStd"/>
          <w:sz w:val="19"/>
          <w:szCs w:val="19"/>
        </w:rPr>
        <w:t>ö</w:t>
      </w:r>
      <w:r w:rsidR="0057258F" w:rsidRPr="0057258F">
        <w:t>hle</w:t>
      </w:r>
      <w:r w:rsidR="0057258F" w:rsidRPr="0057258F">
        <w:rPr>
          <w:bCs/>
        </w:rPr>
        <w:t xml:space="preserve"> et al., 2002). Glaab and Kaiser (1999) found that a buffer solution of the strobilurin kresoxim-methyl prevents the inactivation of nitrate reductase (NR) in spinach leaf discs while leaf discs without kresoxim-methyl had a 20% decrease in NR. </w:t>
      </w:r>
    </w:p>
    <w:p w:rsidR="0057258F" w:rsidRDefault="0057258F" w:rsidP="001256D1">
      <w:pPr>
        <w:spacing w:line="480" w:lineRule="auto"/>
        <w:ind w:firstLine="720"/>
        <w:rPr>
          <w:bCs/>
        </w:rPr>
      </w:pPr>
      <w:r w:rsidRPr="0057258F">
        <w:rPr>
          <w:bCs/>
        </w:rPr>
        <w:t xml:space="preserve">Applications of strobilurin fungicides have been suggested to cause </w:t>
      </w:r>
      <w:r w:rsidR="005600D1">
        <w:rPr>
          <w:bCs/>
        </w:rPr>
        <w:t>a</w:t>
      </w:r>
      <w:r w:rsidR="005600D1" w:rsidRPr="0057258F">
        <w:rPr>
          <w:bCs/>
        </w:rPr>
        <w:t xml:space="preserve"> </w:t>
      </w:r>
      <w:r w:rsidRPr="0057258F">
        <w:rPr>
          <w:bCs/>
        </w:rPr>
        <w:t xml:space="preserve">“greening” effect </w:t>
      </w:r>
      <w:r w:rsidR="005600D1">
        <w:rPr>
          <w:bCs/>
        </w:rPr>
        <w:t>in</w:t>
      </w:r>
      <w:r w:rsidRPr="0057258F">
        <w:rPr>
          <w:bCs/>
        </w:rPr>
        <w:t xml:space="preserve"> agricultural crops.</w:t>
      </w:r>
      <w:r w:rsidR="001256D1">
        <w:rPr>
          <w:bCs/>
        </w:rPr>
        <w:t xml:space="preserve"> </w:t>
      </w:r>
      <w:r w:rsidRPr="0057258F">
        <w:rPr>
          <w:bCs/>
        </w:rPr>
        <w:t xml:space="preserve">This greening effect may be due in part </w:t>
      </w:r>
      <w:r w:rsidR="00A0239F">
        <w:rPr>
          <w:bCs/>
        </w:rPr>
        <w:t>to ethylene</w:t>
      </w:r>
      <w:r w:rsidRPr="0057258F">
        <w:rPr>
          <w:bCs/>
        </w:rPr>
        <w:t xml:space="preserve"> inhibition </w:t>
      </w:r>
      <w:r w:rsidR="00A0239F">
        <w:rPr>
          <w:bCs/>
        </w:rPr>
        <w:t>after application</w:t>
      </w:r>
      <w:r w:rsidRPr="0057258F">
        <w:rPr>
          <w:bCs/>
        </w:rPr>
        <w:t>. Grossmann and Retzlaff (1997) demonstrated that wheat</w:t>
      </w:r>
      <w:r w:rsidR="002A53F7" w:rsidRPr="002A53F7">
        <w:rPr>
          <w:rFonts w:eastAsia="Calibri"/>
          <w:i/>
          <w:color w:val="000033"/>
        </w:rPr>
        <w:t xml:space="preserve"> </w:t>
      </w:r>
      <w:r w:rsidR="002A53F7">
        <w:rPr>
          <w:rFonts w:eastAsia="Calibri"/>
          <w:color w:val="000033"/>
        </w:rPr>
        <w:t>(</w:t>
      </w:r>
      <w:r w:rsidR="002A53F7" w:rsidRPr="007009E0">
        <w:rPr>
          <w:rFonts w:eastAsia="Calibri"/>
          <w:i/>
          <w:color w:val="000033"/>
        </w:rPr>
        <w:t>Triticum aestivum</w:t>
      </w:r>
      <w:r w:rsidR="002A53F7">
        <w:rPr>
          <w:rFonts w:eastAsia="Calibri"/>
          <w:color w:val="000033"/>
        </w:rPr>
        <w:t xml:space="preserve"> L.)</w:t>
      </w:r>
      <w:r w:rsidRPr="0057258F">
        <w:rPr>
          <w:bCs/>
        </w:rPr>
        <w:t xml:space="preserve"> plants treated with kresoxim-methyl had a 50% reduction in ethylene formation compared non-treated wheat plants. A delay in leaf senescence has also been </w:t>
      </w:r>
      <w:r w:rsidRPr="0057258F">
        <w:rPr>
          <w:bCs/>
        </w:rPr>
        <w:lastRenderedPageBreak/>
        <w:t xml:space="preserve">suggested to lengthen the grain filling period </w:t>
      </w:r>
      <w:r w:rsidR="00A0239F">
        <w:rPr>
          <w:bCs/>
        </w:rPr>
        <w:t>of</w:t>
      </w:r>
      <w:r w:rsidRPr="0057258F">
        <w:rPr>
          <w:bCs/>
        </w:rPr>
        <w:t xml:space="preserve"> corn</w:t>
      </w:r>
      <w:r w:rsidR="002A53F7">
        <w:rPr>
          <w:bCs/>
        </w:rPr>
        <w:t xml:space="preserve"> (</w:t>
      </w:r>
      <w:r w:rsidR="002A53F7" w:rsidRPr="007009E0">
        <w:rPr>
          <w:rFonts w:eastAsia="Calibri"/>
          <w:i/>
          <w:color w:val="000033"/>
        </w:rPr>
        <w:t>Zea mays</w:t>
      </w:r>
      <w:r w:rsidR="002A53F7">
        <w:rPr>
          <w:rFonts w:eastAsia="Calibri"/>
          <w:color w:val="000033"/>
        </w:rPr>
        <w:t xml:space="preserve"> L.)</w:t>
      </w:r>
      <w:r w:rsidRPr="0057258F">
        <w:rPr>
          <w:bCs/>
        </w:rPr>
        <w:t xml:space="preserve"> and wheat (Ammermann et al., 2000; Godwin et al., 2000; Bryson, 2000). </w:t>
      </w:r>
      <w:r w:rsidR="00F73576">
        <w:rPr>
          <w:bCs/>
        </w:rPr>
        <w:t>It is hypothesized that t</w:t>
      </w:r>
      <w:r w:rsidRPr="0057258F">
        <w:rPr>
          <w:bCs/>
        </w:rPr>
        <w:t>his increase in grain yield is due to the prolonged photosynthetic ability in the lower (older)</w:t>
      </w:r>
      <w:r w:rsidR="008201DA">
        <w:rPr>
          <w:bCs/>
        </w:rPr>
        <w:t xml:space="preserve"> leaves</w:t>
      </w:r>
      <w:r w:rsidRPr="0057258F">
        <w:rPr>
          <w:bCs/>
        </w:rPr>
        <w:t xml:space="preserve"> (Grossman et al., 1999)</w:t>
      </w:r>
      <w:r w:rsidR="008201DA">
        <w:rPr>
          <w:bCs/>
        </w:rPr>
        <w:t>.</w:t>
      </w:r>
      <w:r w:rsidRPr="0057258F">
        <w:rPr>
          <w:bCs/>
        </w:rPr>
        <w:t xml:space="preserve"> </w:t>
      </w:r>
    </w:p>
    <w:p w:rsidR="0057258F" w:rsidRPr="0057258F" w:rsidRDefault="003F028E" w:rsidP="0060478E">
      <w:pPr>
        <w:spacing w:line="480" w:lineRule="auto"/>
        <w:ind w:firstLine="720"/>
        <w:rPr>
          <w:bCs/>
        </w:rPr>
      </w:pPr>
      <w:r>
        <w:rPr>
          <w:bCs/>
        </w:rPr>
        <w:t xml:space="preserve">Strobilurin fungicide applications on creeping </w:t>
      </w:r>
      <w:r w:rsidR="00BF5DA0">
        <w:rPr>
          <w:bCs/>
        </w:rPr>
        <w:t>bentgrass could</w:t>
      </w:r>
      <w:r>
        <w:rPr>
          <w:bCs/>
        </w:rPr>
        <w:t xml:space="preserve"> facilitate hormonal shifts that may aid in abiotic stress tolerance. </w:t>
      </w:r>
      <w:r w:rsidR="00BF5DA0">
        <w:rPr>
          <w:bCs/>
        </w:rPr>
        <w:t xml:space="preserve">An accumulation of </w:t>
      </w:r>
      <w:r w:rsidR="00EF3A13">
        <w:rPr>
          <w:bCs/>
        </w:rPr>
        <w:t>ethylene</w:t>
      </w:r>
      <w:r w:rsidR="00BF5DA0">
        <w:rPr>
          <w:bCs/>
        </w:rPr>
        <w:t xml:space="preserve"> in creeping bentgrass leaves has been associated with </w:t>
      </w:r>
      <w:r w:rsidR="00EF3A13">
        <w:rPr>
          <w:bCs/>
        </w:rPr>
        <w:t>reduced leaf senescence, chlorophyll content, and greater turf quality of creeping bentgrass during high temperature stress (Xu and Huang, 2009)</w:t>
      </w:r>
      <w:r w:rsidR="0008249E">
        <w:rPr>
          <w:bCs/>
        </w:rPr>
        <w:t xml:space="preserve">. Applications of strobilurin fungicides may </w:t>
      </w:r>
      <w:r w:rsidR="0025718E">
        <w:rPr>
          <w:bCs/>
        </w:rPr>
        <w:t xml:space="preserve">also have an effect on creeping bentgrass similar to low doses of the plant hormone auxin. Brosnon et al. (2010) observed that applications of the strobilurin pyraclostrobin </w:t>
      </w:r>
      <w:r w:rsidR="0057258F" w:rsidRPr="0057258F">
        <w:rPr>
          <w:bCs/>
        </w:rPr>
        <w:t>increased rooting in ‘</w:t>
      </w:r>
      <w:r w:rsidR="00C67AB3">
        <w:rPr>
          <w:bCs/>
        </w:rPr>
        <w:t xml:space="preserve">Penn </w:t>
      </w:r>
      <w:r w:rsidR="0057258F" w:rsidRPr="0057258F">
        <w:rPr>
          <w:bCs/>
        </w:rPr>
        <w:t xml:space="preserve">A-1’ creeping bentgrass. </w:t>
      </w:r>
      <w:r w:rsidR="00873FFF">
        <w:rPr>
          <w:bCs/>
        </w:rPr>
        <w:t xml:space="preserve">However, </w:t>
      </w:r>
      <w:r w:rsidR="0057258F" w:rsidRPr="0057258F">
        <w:rPr>
          <w:bCs/>
        </w:rPr>
        <w:t xml:space="preserve">this effect was not </w:t>
      </w:r>
      <w:r w:rsidR="00C9672A">
        <w:rPr>
          <w:bCs/>
        </w:rPr>
        <w:t>observed with</w:t>
      </w:r>
      <w:r w:rsidR="0057258F" w:rsidRPr="0057258F">
        <w:rPr>
          <w:bCs/>
        </w:rPr>
        <w:t xml:space="preserve"> </w:t>
      </w:r>
      <w:r w:rsidR="003A366F">
        <w:rPr>
          <w:bCs/>
        </w:rPr>
        <w:t xml:space="preserve">‘Penncross’ creeping bentgrass. </w:t>
      </w:r>
      <w:r w:rsidR="00C9672A">
        <w:rPr>
          <w:bCs/>
        </w:rPr>
        <w:t>Significant d</w:t>
      </w:r>
      <w:r w:rsidR="0057258F" w:rsidRPr="0057258F">
        <w:rPr>
          <w:bCs/>
        </w:rPr>
        <w:t>ifferences in turfgrass quality were not observed during the study.</w:t>
      </w:r>
      <w:r w:rsidR="002A122C">
        <w:rPr>
          <w:bCs/>
        </w:rPr>
        <w:t xml:space="preserve"> Auxins have been associated with adventitious root growth in higher plants (Taiz and Zeiger, 1998)</w:t>
      </w:r>
      <w:r w:rsidR="0057258F" w:rsidRPr="0057258F">
        <w:rPr>
          <w:bCs/>
        </w:rPr>
        <w:t xml:space="preserve"> </w:t>
      </w:r>
    </w:p>
    <w:p w:rsidR="0057258F" w:rsidRPr="0060478E" w:rsidRDefault="0057258F" w:rsidP="0060478E">
      <w:pPr>
        <w:spacing w:line="480" w:lineRule="auto"/>
        <w:ind w:firstLine="720"/>
        <w:outlineLvl w:val="0"/>
        <w:rPr>
          <w:bCs/>
        </w:rPr>
      </w:pPr>
      <w:bookmarkStart w:id="101" w:name="_Toc353873530"/>
      <w:bookmarkStart w:id="102" w:name="_Toc353874688"/>
      <w:bookmarkStart w:id="103" w:name="_Toc353875030"/>
      <w:bookmarkStart w:id="104" w:name="_Toc353890908"/>
      <w:bookmarkStart w:id="105" w:name="_Toc353892649"/>
      <w:r w:rsidRPr="0057258F">
        <w:rPr>
          <w:bCs/>
        </w:rPr>
        <w:t>Strobilurin fungicides are commonly used for disease control on creeping bentgrass greens</w:t>
      </w:r>
      <w:r w:rsidR="00141A70">
        <w:rPr>
          <w:bCs/>
        </w:rPr>
        <w:t xml:space="preserve"> during summer</w:t>
      </w:r>
      <w:r w:rsidRPr="0057258F">
        <w:rPr>
          <w:bCs/>
        </w:rPr>
        <w:t xml:space="preserve">; however </w:t>
      </w:r>
      <w:r w:rsidR="00EB5B29">
        <w:rPr>
          <w:bCs/>
        </w:rPr>
        <w:t>the</w:t>
      </w:r>
      <w:r w:rsidRPr="0057258F">
        <w:rPr>
          <w:bCs/>
        </w:rPr>
        <w:t xml:space="preserve"> </w:t>
      </w:r>
      <w:r w:rsidR="00873FFF">
        <w:rPr>
          <w:bCs/>
        </w:rPr>
        <w:t>physiological effects</w:t>
      </w:r>
      <w:r w:rsidRPr="0057258F">
        <w:rPr>
          <w:bCs/>
        </w:rPr>
        <w:t xml:space="preserve"> associated with these </w:t>
      </w:r>
      <w:r w:rsidR="00EB5B29">
        <w:rPr>
          <w:bCs/>
        </w:rPr>
        <w:t>fungicides</w:t>
      </w:r>
      <w:r w:rsidRPr="0057258F">
        <w:rPr>
          <w:bCs/>
        </w:rPr>
        <w:t xml:space="preserve"> </w:t>
      </w:r>
      <w:r w:rsidRPr="0057258F">
        <w:t>have not been carefully examined in the field.</w:t>
      </w:r>
      <w:r w:rsidRPr="0057258F">
        <w:rPr>
          <w:bCs/>
        </w:rPr>
        <w:t xml:space="preserve"> The objective of this project was to evaluate </w:t>
      </w:r>
      <w:r w:rsidR="00873FFF">
        <w:rPr>
          <w:bCs/>
        </w:rPr>
        <w:t>physiolog</w:t>
      </w:r>
      <w:r w:rsidR="00141A70">
        <w:rPr>
          <w:bCs/>
        </w:rPr>
        <w:t>ical</w:t>
      </w:r>
      <w:r w:rsidRPr="0057258F">
        <w:rPr>
          <w:bCs/>
        </w:rPr>
        <w:t xml:space="preserve"> effects of strobilurin fungicide applications on creeping bentgrass </w:t>
      </w:r>
      <w:r w:rsidR="00873FFF">
        <w:rPr>
          <w:bCs/>
        </w:rPr>
        <w:t>under field conditions</w:t>
      </w:r>
      <w:r w:rsidR="00141A70">
        <w:rPr>
          <w:bCs/>
        </w:rPr>
        <w:t xml:space="preserve"> during summer stress.</w:t>
      </w:r>
      <w:bookmarkEnd w:id="101"/>
      <w:bookmarkEnd w:id="102"/>
      <w:bookmarkEnd w:id="103"/>
      <w:bookmarkEnd w:id="104"/>
      <w:bookmarkEnd w:id="105"/>
      <w:r w:rsidRPr="0057258F">
        <w:rPr>
          <w:bCs/>
          <w:kern w:val="36"/>
        </w:rPr>
        <w:t xml:space="preserve"> </w:t>
      </w:r>
    </w:p>
    <w:p w:rsidR="000549B1" w:rsidRDefault="000549B1" w:rsidP="000549B1">
      <w:pPr>
        <w:spacing w:line="480" w:lineRule="auto"/>
        <w:ind w:firstLine="720"/>
        <w:outlineLvl w:val="0"/>
        <w:rPr>
          <w:bCs/>
          <w:kern w:val="36"/>
        </w:rPr>
      </w:pPr>
    </w:p>
    <w:p w:rsidR="000549B1" w:rsidRDefault="000549B1" w:rsidP="000549B1">
      <w:pPr>
        <w:spacing w:line="480" w:lineRule="auto"/>
        <w:ind w:firstLine="720"/>
        <w:outlineLvl w:val="0"/>
        <w:rPr>
          <w:bCs/>
          <w:kern w:val="36"/>
        </w:rPr>
      </w:pPr>
    </w:p>
    <w:p w:rsidR="00F906FC" w:rsidRPr="000549B1" w:rsidRDefault="00F906FC" w:rsidP="000549B1">
      <w:pPr>
        <w:spacing w:line="480" w:lineRule="auto"/>
        <w:ind w:firstLine="720"/>
        <w:outlineLvl w:val="0"/>
        <w:rPr>
          <w:bCs/>
          <w:kern w:val="36"/>
        </w:rPr>
      </w:pPr>
    </w:p>
    <w:p w:rsidR="0057258F" w:rsidRDefault="003A366F" w:rsidP="00EB30A2">
      <w:pPr>
        <w:pStyle w:val="Heading2"/>
      </w:pPr>
      <w:bookmarkStart w:id="106" w:name="_Toc353890909"/>
      <w:bookmarkStart w:id="107" w:name="_Toc353892650"/>
      <w:r w:rsidRPr="009B2EE6">
        <w:lastRenderedPageBreak/>
        <w:t>MATERIALS AND METHODS</w:t>
      </w:r>
      <w:bookmarkEnd w:id="106"/>
      <w:bookmarkEnd w:id="107"/>
    </w:p>
    <w:p w:rsidR="00EB30A2" w:rsidRPr="00EB30A2" w:rsidRDefault="00EB30A2" w:rsidP="00EB30A2"/>
    <w:p w:rsidR="0057258F" w:rsidRPr="0057258F" w:rsidRDefault="0057258F" w:rsidP="00873FFF">
      <w:pPr>
        <w:spacing w:line="480" w:lineRule="auto"/>
        <w:ind w:firstLine="720"/>
      </w:pPr>
      <w:r w:rsidRPr="0057258F">
        <w:rPr>
          <w:i/>
        </w:rPr>
        <w:t>Research site.</w:t>
      </w:r>
      <w:r w:rsidRPr="0057258F">
        <w:t xml:space="preserve"> A 2-year field experiment was conducted in 2011 and 2012 at the East Tennessee Research and Education Center (Knoxville, TN; 35° 57' N Lat.) on a ‘</w:t>
      </w:r>
      <w:r w:rsidR="00873FFF">
        <w:t>Dominant S</w:t>
      </w:r>
      <w:r w:rsidRPr="0057258F">
        <w:t>outhern’ creeping bentgrass putting green. The p</w:t>
      </w:r>
      <w:r w:rsidR="00873FFF">
        <w:t xml:space="preserve">utting green was established </w:t>
      </w:r>
      <w:r w:rsidRPr="0057258F">
        <w:t xml:space="preserve">according to United States Golf Association specifications (United States Golf Association, 2007) with a rootzone mix of 85% sand and 15% sphagnum peat moss by volume. </w:t>
      </w:r>
      <w:r w:rsidR="009B4BAC">
        <w:t>F</w:t>
      </w:r>
      <w:r w:rsidRPr="0057258F">
        <w:t>ield trials were conducted in full sunlight and mowed 4 times weekly at 3</w:t>
      </w:r>
      <w:r w:rsidR="009B4BAC">
        <w:t xml:space="preserve"> </w:t>
      </w:r>
      <w:r w:rsidRPr="0057258F">
        <w:t>mm. Irrigation was applied as needed to prevent wilt. In 2011 and 2012, the research area received 25 kg N ha</w:t>
      </w:r>
      <w:r w:rsidRPr="0057258F">
        <w:rPr>
          <w:vertAlign w:val="superscript"/>
        </w:rPr>
        <w:t>-1</w:t>
      </w:r>
      <w:r w:rsidRPr="0057258F">
        <w:t xml:space="preserve"> </w:t>
      </w:r>
      <w:r w:rsidR="00D5051C">
        <w:t xml:space="preserve">of urea per </w:t>
      </w:r>
      <w:r w:rsidRPr="0057258F">
        <w:t>month during the spring, fall, and winter months. During summer of both years 10 kg N ha</w:t>
      </w:r>
      <w:r w:rsidRPr="0057258F">
        <w:rPr>
          <w:vertAlign w:val="superscript"/>
        </w:rPr>
        <w:t>-1</w:t>
      </w:r>
      <w:r w:rsidR="00D5051C">
        <w:t xml:space="preserve"> of urea</w:t>
      </w:r>
      <w:r w:rsidRPr="0057258F">
        <w:t xml:space="preserve"> was applied biweekly. The trial areas were aerated and top dressed with sand each spring and fall in 2011 and 2012. </w:t>
      </w:r>
      <w:r w:rsidRPr="00F26653">
        <w:t>Chlorothalonil</w:t>
      </w:r>
      <w:r w:rsidR="00873FFF">
        <w:t xml:space="preserve"> (Daconil Ultrex; </w:t>
      </w:r>
      <w:r w:rsidR="00873FFF" w:rsidRPr="00D917D9">
        <w:t>Syngenta Crop Protection, Greensboro, NC</w:t>
      </w:r>
      <w:r w:rsidR="00873FFF">
        <w:t>)</w:t>
      </w:r>
      <w:r w:rsidRPr="0057258F">
        <w:t xml:space="preserve"> was applied on May 1</w:t>
      </w:r>
      <w:r w:rsidRPr="0057258F">
        <w:rPr>
          <w:vertAlign w:val="superscript"/>
        </w:rPr>
        <w:t>st</w:t>
      </w:r>
      <w:r w:rsidRPr="0057258F">
        <w:t xml:space="preserve"> during both years to minimize </w:t>
      </w:r>
      <w:r w:rsidR="00873FFF">
        <w:t>pathogen</w:t>
      </w:r>
      <w:r w:rsidRPr="0057258F">
        <w:t xml:space="preserve"> activity within the trial area. </w:t>
      </w:r>
      <w:r w:rsidRPr="00F26653">
        <w:t>Chlorantraniliprole</w:t>
      </w:r>
      <w:r w:rsidR="00BE2506">
        <w:t xml:space="preserve"> (Acelepryn; Dupont Crop Protection, Wilmington, DE)</w:t>
      </w:r>
      <w:r w:rsidRPr="0057258F">
        <w:t xml:space="preserve"> was applied preventively during spring of both years to reduce </w:t>
      </w:r>
      <w:r w:rsidR="00D5051C">
        <w:t>black cutworm (</w:t>
      </w:r>
      <w:r w:rsidR="00D5051C">
        <w:rPr>
          <w:i/>
          <w:iCs/>
        </w:rPr>
        <w:t>Agrotis ipsilon</w:t>
      </w:r>
      <w:r w:rsidR="00D5051C">
        <w:t xml:space="preserve"> Hufnagel) </w:t>
      </w:r>
      <w:r w:rsidRPr="0057258F">
        <w:t xml:space="preserve">populations. </w:t>
      </w:r>
    </w:p>
    <w:p w:rsidR="0057258F" w:rsidRPr="0057258F" w:rsidRDefault="0057258F" w:rsidP="00873FFF">
      <w:pPr>
        <w:spacing w:line="480" w:lineRule="auto"/>
        <w:ind w:firstLine="720"/>
      </w:pPr>
      <w:r w:rsidRPr="0057258F">
        <w:rPr>
          <w:i/>
        </w:rPr>
        <w:t>Treatment</w:t>
      </w:r>
      <w:r w:rsidR="00BE2506">
        <w:rPr>
          <w:i/>
        </w:rPr>
        <w:t>s.</w:t>
      </w:r>
      <w:r w:rsidRPr="0057258F">
        <w:t xml:space="preserve"> Treatments were arranged in a randomized complete block design in a split-plot arrangement with four replications. Whole plots</w:t>
      </w:r>
      <w:r w:rsidR="005000E3">
        <w:t xml:space="preserve"> were overspray </w:t>
      </w:r>
      <w:r w:rsidR="00A731F9">
        <w:t xml:space="preserve">treatments. Overspray treatments included applications of </w:t>
      </w:r>
      <w:r w:rsidRPr="0057258F">
        <w:t>a fungicide mixture containing chlorothalonil</w:t>
      </w:r>
      <w:r w:rsidR="00BE2506">
        <w:t xml:space="preserve"> (Daconil Ultrex; </w:t>
      </w:r>
      <w:r w:rsidR="00BE2506" w:rsidRPr="00D917D9">
        <w:t>Syngenta Crop Protection, Greensboro, NC</w:t>
      </w:r>
      <w:r w:rsidR="00BE2506">
        <w:t>)</w:t>
      </w:r>
      <w:r w:rsidRPr="0057258F">
        <w:t xml:space="preserve"> and </w:t>
      </w:r>
      <w:r w:rsidRPr="00F26653">
        <w:t>iprodione</w:t>
      </w:r>
      <w:r w:rsidR="00BE2506">
        <w:t xml:space="preserve"> (26GT; </w:t>
      </w:r>
      <w:r w:rsidR="00BE2506" w:rsidRPr="00D917D9">
        <w:t>Bayer Environmental Science, Research Triangle Park, NC</w:t>
      </w:r>
      <w:r w:rsidR="00BE2506">
        <w:t>)</w:t>
      </w:r>
      <w:r w:rsidRPr="0057258F">
        <w:t xml:space="preserve"> at </w:t>
      </w:r>
      <w:r w:rsidR="007D4682">
        <w:t>8.05</w:t>
      </w:r>
      <w:r w:rsidRPr="0057258F">
        <w:t xml:space="preserve"> and </w:t>
      </w:r>
      <w:r w:rsidR="007D4682">
        <w:t>3.05</w:t>
      </w:r>
      <w:r w:rsidRPr="0057258F">
        <w:t xml:space="preserve"> kg ai</w:t>
      </w:r>
      <w:r w:rsidR="0022009C">
        <w:t xml:space="preserve"> </w:t>
      </w:r>
      <w:r w:rsidRPr="0057258F">
        <w:t>ha</w:t>
      </w:r>
      <w:r w:rsidR="006B3F29" w:rsidRPr="006B3F29">
        <w:rPr>
          <w:vertAlign w:val="superscript"/>
        </w:rPr>
        <w:t>-1</w:t>
      </w:r>
      <w:r w:rsidRPr="0057258F">
        <w:t xml:space="preserve">, respectively, </w:t>
      </w:r>
      <w:r w:rsidR="0060537E">
        <w:t>or</w:t>
      </w:r>
      <w:r w:rsidRPr="0057258F">
        <w:t xml:space="preserve"> no fungicide treatment. Subplot treatments </w:t>
      </w:r>
      <w:r w:rsidR="00A731F9">
        <w:t xml:space="preserve">were </w:t>
      </w:r>
      <w:r w:rsidR="005000E3">
        <w:t xml:space="preserve">fungicides </w:t>
      </w:r>
      <w:r w:rsidR="00A731F9">
        <w:t xml:space="preserve"> and </w:t>
      </w:r>
      <w:r w:rsidRPr="0057258F">
        <w:t xml:space="preserve">included 1) </w:t>
      </w:r>
      <w:r w:rsidRPr="00F26653">
        <w:t>azoxystrobin</w:t>
      </w:r>
      <w:r w:rsidRPr="0057258F">
        <w:t xml:space="preserve"> (Heritage TL; Syngenta Crop Protection, </w:t>
      </w:r>
      <w:r w:rsidRPr="0057258F">
        <w:lastRenderedPageBreak/>
        <w:t>Greensboro, NC) at 0.61 kg ai ha</w:t>
      </w:r>
      <w:r w:rsidRPr="0057258F">
        <w:rPr>
          <w:vertAlign w:val="superscript"/>
        </w:rPr>
        <w:t>-1</w:t>
      </w:r>
      <w:r w:rsidRPr="0057258F">
        <w:t xml:space="preserve">; 2) </w:t>
      </w:r>
      <w:r w:rsidRPr="00F26653">
        <w:t>azoxystrobin</w:t>
      </w:r>
      <w:r w:rsidRPr="0057258F">
        <w:t xml:space="preserve"> (Heritage WDG; Syngenta Crop Protection, Greensboro, NC) at 0.61 kg ai ha</w:t>
      </w:r>
      <w:r w:rsidRPr="0057258F">
        <w:rPr>
          <w:vertAlign w:val="superscript"/>
        </w:rPr>
        <w:t>-1</w:t>
      </w:r>
      <w:r w:rsidRPr="0057258F">
        <w:t xml:space="preserve">; 3) </w:t>
      </w:r>
      <w:r w:rsidRPr="00F26653">
        <w:t>pyraclostrobin</w:t>
      </w:r>
      <w:r w:rsidRPr="0057258F">
        <w:t xml:space="preserve"> (Insignia SC; BASF Corporation, Research Triangle Park, NC) at 0.55 kg ai ha</w:t>
      </w:r>
      <w:r w:rsidRPr="0057258F">
        <w:rPr>
          <w:vertAlign w:val="superscript"/>
        </w:rPr>
        <w:t>-1</w:t>
      </w:r>
      <w:r w:rsidRPr="0057258F">
        <w:t xml:space="preserve">; 4) </w:t>
      </w:r>
      <w:r w:rsidRPr="00F26653">
        <w:t>pyraclostrobin</w:t>
      </w:r>
      <w:r w:rsidRPr="0057258F">
        <w:t xml:space="preserve"> (Insignia WG; BASF Corporation, Research Triangle Park, NC) at 0.55 kg ai ha</w:t>
      </w:r>
      <w:r w:rsidRPr="0057258F">
        <w:rPr>
          <w:vertAlign w:val="superscript"/>
        </w:rPr>
        <w:t>-1</w:t>
      </w:r>
      <w:r w:rsidRPr="0057258F">
        <w:t xml:space="preserve">; 5) </w:t>
      </w:r>
      <w:r w:rsidRPr="00F26653">
        <w:t>fluoxastrobin</w:t>
      </w:r>
      <w:r w:rsidR="00BE2506">
        <w:t xml:space="preserve"> (Disarm</w:t>
      </w:r>
      <w:r w:rsidRPr="0057258F">
        <w:t xml:space="preserve">; Arysta LifeScience North </w:t>
      </w:r>
      <w:r w:rsidR="003236A5" w:rsidRPr="0057258F">
        <w:t>America</w:t>
      </w:r>
      <w:r w:rsidRPr="0057258F">
        <w:t xml:space="preserve"> LLC, Cary, NC) at 0.55 kg ai ha</w:t>
      </w:r>
      <w:r w:rsidRPr="0057258F">
        <w:rPr>
          <w:vertAlign w:val="superscript"/>
        </w:rPr>
        <w:t>-1</w:t>
      </w:r>
      <w:r w:rsidRPr="0057258F">
        <w:t xml:space="preserve">; 6) </w:t>
      </w:r>
      <w:r w:rsidRPr="00F26653">
        <w:t>trifloxystrobin</w:t>
      </w:r>
      <w:r w:rsidRPr="0057258F">
        <w:t xml:space="preserve"> (Compass: Bayer Environmental Science, Research Triangle Park, NC) at 0.38 kg ai ha</w:t>
      </w:r>
      <w:r w:rsidRPr="0057258F">
        <w:rPr>
          <w:vertAlign w:val="superscript"/>
        </w:rPr>
        <w:t>-1</w:t>
      </w:r>
      <w:r w:rsidRPr="0057258F">
        <w:t xml:space="preserve">; and 7) </w:t>
      </w:r>
      <w:r w:rsidR="00BE2506">
        <w:t>non-treated</w:t>
      </w:r>
      <w:r w:rsidRPr="0057258F">
        <w:t xml:space="preserve"> control. All treatments were applied using a CO</w:t>
      </w:r>
      <w:r w:rsidRPr="0057258F">
        <w:rPr>
          <w:vertAlign w:val="subscript"/>
        </w:rPr>
        <w:t>2</w:t>
      </w:r>
      <w:r w:rsidRPr="0057258F">
        <w:t>-pressurized sprayer calibrated to deliver 815 L ha</w:t>
      </w:r>
      <w:r w:rsidR="006B3F29" w:rsidRPr="006B3F29">
        <w:rPr>
          <w:vertAlign w:val="superscript"/>
        </w:rPr>
        <w:t>-1</w:t>
      </w:r>
      <w:r w:rsidRPr="0057258F">
        <w:t xml:space="preserve">. The spray boom was equipped with two, flat-fan, </w:t>
      </w:r>
      <w:r w:rsidRPr="00F26653">
        <w:t>nozzles</w:t>
      </w:r>
      <w:r w:rsidR="00BE2506">
        <w:t xml:space="preserve"> (</w:t>
      </w:r>
      <w:r w:rsidR="00BE2506">
        <w:rPr>
          <w:rFonts w:ascii="TimesNewRomanPSMT" w:hAnsi="TimesNewRomanPSMT" w:cs="TimesNewRomanPSMT"/>
        </w:rPr>
        <w:t>8004EVS; Spraying Systems Co., Roswell, GA)</w:t>
      </w:r>
      <w:r w:rsidRPr="0057258F">
        <w:t xml:space="preserve"> spaced 45 cm apart. </w:t>
      </w:r>
      <w:r w:rsidR="008A609C">
        <w:t xml:space="preserve">Treatments were initiated on 31 May 2011 and 1 June 2012. </w:t>
      </w:r>
      <w:r w:rsidRPr="0057258F">
        <w:t>Treatments were applied to the same experimental area in both years.</w:t>
      </w:r>
      <w:r w:rsidR="004D78EC">
        <w:t xml:space="preserve"> </w:t>
      </w:r>
    </w:p>
    <w:p w:rsidR="0057258F" w:rsidRPr="0057258F" w:rsidRDefault="0057258F" w:rsidP="00873FFF">
      <w:pPr>
        <w:spacing w:line="480" w:lineRule="auto"/>
        <w:ind w:firstLine="720"/>
      </w:pPr>
      <w:r w:rsidRPr="0057258F">
        <w:rPr>
          <w:i/>
        </w:rPr>
        <w:t>Data collection.</w:t>
      </w:r>
      <w:r w:rsidRPr="0057258F">
        <w:t xml:space="preserve"> Turfgrass quality was</w:t>
      </w:r>
      <w:r w:rsidR="004137AA">
        <w:t xml:space="preserve"> visually</w:t>
      </w:r>
      <w:r w:rsidRPr="0057258F">
        <w:t xml:space="preserve"> evaluated</w:t>
      </w:r>
      <w:r w:rsidR="004137AA">
        <w:t xml:space="preserve"> prior to each spray application</w:t>
      </w:r>
      <w:r w:rsidRPr="0057258F">
        <w:t xml:space="preserve"> by </w:t>
      </w:r>
      <w:r w:rsidR="004137AA">
        <w:t>assessing</w:t>
      </w:r>
      <w:r w:rsidR="004137AA" w:rsidRPr="0057258F">
        <w:t xml:space="preserve"> </w:t>
      </w:r>
      <w:r w:rsidRPr="0057258F">
        <w:t>the overall color, density, uniformity, growth, and leaf texture</w:t>
      </w:r>
      <w:r w:rsidR="004137AA">
        <w:t xml:space="preserve"> of each treated plot</w:t>
      </w:r>
      <w:r w:rsidRPr="0057258F">
        <w:t xml:space="preserve"> </w:t>
      </w:r>
      <w:r w:rsidR="004137AA">
        <w:t>on</w:t>
      </w:r>
      <w:r w:rsidRPr="0057258F">
        <w:t xml:space="preserve"> a 1</w:t>
      </w:r>
      <w:r w:rsidR="004137AA">
        <w:t xml:space="preserve"> to </w:t>
      </w:r>
      <w:r w:rsidRPr="0057258F">
        <w:t>9 scale</w:t>
      </w:r>
      <w:r w:rsidR="004137AA">
        <w:t>,</w:t>
      </w:r>
      <w:r w:rsidRPr="0057258F">
        <w:t xml:space="preserve"> where 1 = brown or dead turf and 9 = exceptional quality. A value of 6 is considered to the minimum acceptable level of quality for industry standards. </w:t>
      </w:r>
      <w:r w:rsidR="00870E44">
        <w:t xml:space="preserve">The same researcher evaluated turfgrass quality </w:t>
      </w:r>
      <w:r w:rsidRPr="0057258F">
        <w:t xml:space="preserve">in both experimental runs. </w:t>
      </w:r>
    </w:p>
    <w:p w:rsidR="0057258F" w:rsidRPr="0057258F" w:rsidRDefault="0057258F" w:rsidP="00873FFF">
      <w:pPr>
        <w:spacing w:line="480" w:lineRule="auto"/>
        <w:ind w:firstLine="720"/>
      </w:pPr>
      <w:r w:rsidRPr="0057258F">
        <w:t xml:space="preserve">Spectral reflectance of the </w:t>
      </w:r>
      <w:r w:rsidR="004137AA">
        <w:t xml:space="preserve">turfgrass </w:t>
      </w:r>
      <w:r w:rsidRPr="0057258F">
        <w:t>canopy was measured immediately prior to each spray</w:t>
      </w:r>
      <w:r w:rsidR="008A609C">
        <w:t xml:space="preserve"> application with a Crop Circle</w:t>
      </w:r>
      <w:r w:rsidR="00BE2506" w:rsidRPr="008A609C">
        <w:rPr>
          <w:vertAlign w:val="superscript"/>
        </w:rPr>
        <w:t>TM</w:t>
      </w:r>
      <w:r w:rsidR="00BE2506">
        <w:t xml:space="preserve"> </w:t>
      </w:r>
      <w:r w:rsidRPr="0057258F">
        <w:t xml:space="preserve">reflectance </w:t>
      </w:r>
      <w:r w:rsidRPr="006F4804">
        <w:t>spectrometer</w:t>
      </w:r>
      <w:r w:rsidR="00BE2506">
        <w:t xml:space="preserve"> (</w:t>
      </w:r>
      <w:r w:rsidR="00BE2506" w:rsidRPr="00D917D9">
        <w:rPr>
          <w:color w:val="000000"/>
        </w:rPr>
        <w:t>ACS-470</w:t>
      </w:r>
      <w:r w:rsidR="00BE2506">
        <w:rPr>
          <w:color w:val="000000"/>
        </w:rPr>
        <w:t>;</w:t>
      </w:r>
      <w:r w:rsidR="00BE2506" w:rsidRPr="00D917D9">
        <w:rPr>
          <w:color w:val="000000"/>
        </w:rPr>
        <w:t xml:space="preserve"> Holland Scientific, Lincoln, NE</w:t>
      </w:r>
      <w:r w:rsidR="00BE2506">
        <w:rPr>
          <w:color w:val="000000"/>
        </w:rPr>
        <w:t>)</w:t>
      </w:r>
      <w:r w:rsidRPr="0057258F">
        <w:t xml:space="preserve">. This model has a built-in light sensor that simultaneously emits visible and near infrared light onto the </w:t>
      </w:r>
      <w:r w:rsidR="00BA0572">
        <w:t xml:space="preserve">turfgrass </w:t>
      </w:r>
      <w:r w:rsidRPr="0057258F">
        <w:t xml:space="preserve">canopy. The sensor was fitted onto a golf push cart </w:t>
      </w:r>
      <w:r w:rsidR="00BE2506">
        <w:t xml:space="preserve">and suspended </w:t>
      </w:r>
      <w:r w:rsidRPr="0057258F">
        <w:t>0.75</w:t>
      </w:r>
      <w:r w:rsidR="00BA0572">
        <w:t xml:space="preserve"> </w:t>
      </w:r>
      <w:r w:rsidRPr="0057258F">
        <w:t xml:space="preserve">m above the </w:t>
      </w:r>
      <w:r w:rsidR="00BA0572">
        <w:t xml:space="preserve">turfgrass </w:t>
      </w:r>
      <w:r w:rsidRPr="0057258F">
        <w:t>canopy</w:t>
      </w:r>
      <w:r w:rsidR="00BA0572">
        <w:t>. This apparatus was</w:t>
      </w:r>
      <w:r w:rsidRPr="0057258F">
        <w:t xml:space="preserve"> pushed across the center of the plot to obtain normalized difference vegetation index (NDVI) and </w:t>
      </w:r>
      <w:r w:rsidRPr="0057258F">
        <w:lastRenderedPageBreak/>
        <w:t>ratio vegetation index (RVI)</w:t>
      </w:r>
      <w:r w:rsidR="00BA0572">
        <w:t xml:space="preserve"> values for each treatment</w:t>
      </w:r>
      <w:r w:rsidRPr="0057258F">
        <w:t xml:space="preserve">. NDVI and RVI were logged with a </w:t>
      </w:r>
      <w:r w:rsidRPr="006F4804">
        <w:t>GeoSCOUT GIS Datalogger</w:t>
      </w:r>
      <w:r w:rsidR="00C9442D">
        <w:t xml:space="preserve"> (</w:t>
      </w:r>
      <w:r w:rsidR="00C9442D">
        <w:rPr>
          <w:color w:val="000000"/>
        </w:rPr>
        <w:t>GLS-400;</w:t>
      </w:r>
      <w:r w:rsidR="00C9442D" w:rsidRPr="00D917D9">
        <w:rPr>
          <w:color w:val="000000"/>
        </w:rPr>
        <w:t xml:space="preserve"> Holland Scientific, Lincoln, NE</w:t>
      </w:r>
      <w:r w:rsidR="00C9442D">
        <w:rPr>
          <w:color w:val="000000"/>
        </w:rPr>
        <w:t>)</w:t>
      </w:r>
      <w:r w:rsidR="006F4804">
        <w:t>.</w:t>
      </w:r>
    </w:p>
    <w:p w:rsidR="0057258F" w:rsidRPr="0057258F" w:rsidRDefault="00A16626" w:rsidP="00873FFF">
      <w:pPr>
        <w:spacing w:line="480" w:lineRule="auto"/>
        <w:ind w:firstLine="720"/>
      </w:pPr>
      <w:r>
        <w:t>T</w:t>
      </w:r>
      <w:r w:rsidR="0057258F" w:rsidRPr="0057258F">
        <w:t xml:space="preserve">urfgrass cover was quantified </w:t>
      </w:r>
      <w:r>
        <w:t>using</w:t>
      </w:r>
      <w:r w:rsidRPr="0057258F">
        <w:t xml:space="preserve"> </w:t>
      </w:r>
      <w:r w:rsidR="0057258F" w:rsidRPr="0057258F">
        <w:t xml:space="preserve">digital image analysis. Digital images were captured using a </w:t>
      </w:r>
      <w:r w:rsidR="0057258F" w:rsidRPr="006F4804">
        <w:t>Canon G12</w:t>
      </w:r>
      <w:r w:rsidR="0031066B">
        <w:t xml:space="preserve"> (</w:t>
      </w:r>
      <w:r w:rsidR="0031066B" w:rsidRPr="00ED2527">
        <w:rPr>
          <w:color w:val="000000"/>
        </w:rPr>
        <w:t>Canon G12</w:t>
      </w:r>
      <w:r w:rsidR="0031066B">
        <w:rPr>
          <w:color w:val="000000"/>
        </w:rPr>
        <w:t xml:space="preserve">; </w:t>
      </w:r>
      <w:r w:rsidR="0031066B" w:rsidRPr="00D917D9">
        <w:rPr>
          <w:color w:val="000000"/>
        </w:rPr>
        <w:t>Canon Inc</w:t>
      </w:r>
      <w:r w:rsidR="0031066B">
        <w:rPr>
          <w:color w:val="000000"/>
        </w:rPr>
        <w:t>.</w:t>
      </w:r>
      <w:r w:rsidR="0031066B" w:rsidRPr="00D917D9">
        <w:rPr>
          <w:color w:val="000000"/>
        </w:rPr>
        <w:t>, Japan</w:t>
      </w:r>
      <w:r w:rsidR="0031066B">
        <w:rPr>
          <w:color w:val="000000"/>
        </w:rPr>
        <w:t>)</w:t>
      </w:r>
      <w:r w:rsidR="0031066B" w:rsidRPr="0057258F">
        <w:t xml:space="preserve"> </w:t>
      </w:r>
      <w:r>
        <w:t xml:space="preserve">digital </w:t>
      </w:r>
      <w:r w:rsidR="0057258F" w:rsidRPr="0057258F">
        <w:t xml:space="preserve">camera. </w:t>
      </w:r>
      <w:r w:rsidR="0031066B">
        <w:rPr>
          <w:color w:val="000000"/>
        </w:rPr>
        <w:t>In 2011, t</w:t>
      </w:r>
      <w:r w:rsidR="0031066B" w:rsidRPr="00D917D9">
        <w:rPr>
          <w:color w:val="000000"/>
        </w:rPr>
        <w:t>he camera was mounted inside a 0.28 m</w:t>
      </w:r>
      <w:r w:rsidR="0031066B" w:rsidRPr="00D917D9">
        <w:rPr>
          <w:color w:val="000000"/>
          <w:vertAlign w:val="superscript"/>
        </w:rPr>
        <w:t>2</w:t>
      </w:r>
      <w:r w:rsidR="0031066B" w:rsidRPr="00D917D9">
        <w:rPr>
          <w:color w:val="000000"/>
        </w:rPr>
        <w:t xml:space="preserve"> box equipped with </w:t>
      </w:r>
      <w:r>
        <w:rPr>
          <w:color w:val="000000"/>
        </w:rPr>
        <w:t>four</w:t>
      </w:r>
      <w:r w:rsidRPr="00D917D9">
        <w:rPr>
          <w:color w:val="000000"/>
        </w:rPr>
        <w:t xml:space="preserve"> </w:t>
      </w:r>
      <w:r w:rsidR="0031066B">
        <w:rPr>
          <w:color w:val="000000"/>
        </w:rPr>
        <w:t>fluorescent light bulbs</w:t>
      </w:r>
      <w:r w:rsidR="0031066B" w:rsidRPr="00D917D9">
        <w:rPr>
          <w:color w:val="000000"/>
        </w:rPr>
        <w:t xml:space="preserve">. </w:t>
      </w:r>
      <w:r w:rsidR="0031066B">
        <w:rPr>
          <w:color w:val="000000"/>
        </w:rPr>
        <w:t>In 2012, the 0.28 m</w:t>
      </w:r>
      <w:r w:rsidR="0031066B" w:rsidRPr="00552208">
        <w:rPr>
          <w:color w:val="000000"/>
          <w:vertAlign w:val="superscript"/>
        </w:rPr>
        <w:t>2</w:t>
      </w:r>
      <w:r w:rsidR="0031066B">
        <w:rPr>
          <w:color w:val="000000"/>
        </w:rPr>
        <w:t xml:space="preserve"> light box was equipped with </w:t>
      </w:r>
      <w:r>
        <w:rPr>
          <w:color w:val="000000"/>
        </w:rPr>
        <w:t>four</w:t>
      </w:r>
      <w:r w:rsidR="008A609C">
        <w:rPr>
          <w:color w:val="000000"/>
        </w:rPr>
        <w:t xml:space="preserve"> light-emmitting diodes</w:t>
      </w:r>
      <w:r>
        <w:rPr>
          <w:color w:val="000000"/>
        </w:rPr>
        <w:t xml:space="preserve"> </w:t>
      </w:r>
      <w:r w:rsidR="00670D98">
        <w:rPr>
          <w:color w:val="000000"/>
        </w:rPr>
        <w:t>(</w:t>
      </w:r>
      <w:r w:rsidR="0031066B">
        <w:rPr>
          <w:color w:val="000000"/>
        </w:rPr>
        <w:t>LED</w:t>
      </w:r>
      <w:r w:rsidR="00670D98">
        <w:rPr>
          <w:color w:val="000000"/>
        </w:rPr>
        <w:t>)</w:t>
      </w:r>
      <w:r w:rsidR="0031066B">
        <w:rPr>
          <w:color w:val="000000"/>
        </w:rPr>
        <w:t xml:space="preserve">. </w:t>
      </w:r>
      <w:r w:rsidR="0057258F" w:rsidRPr="0057258F">
        <w:t>Digital images were captured immediately prior to each spray application. Image size in this experiment was 307,200 pixels.</w:t>
      </w:r>
      <w:r w:rsidR="0031066B">
        <w:t xml:space="preserve"> Digital images were analyzed similar, with the exception of image size, to the methods of Richardson et al. (2001) using</w:t>
      </w:r>
      <w:r w:rsidR="0057258F" w:rsidRPr="0057258F">
        <w:t xml:space="preserve"> </w:t>
      </w:r>
      <w:r w:rsidR="0057258F" w:rsidRPr="006F4804">
        <w:t>SigmaScan Pro software</w:t>
      </w:r>
      <w:r w:rsidR="0031066B">
        <w:t xml:space="preserve"> (</w:t>
      </w:r>
      <w:r w:rsidR="0031066B">
        <w:rPr>
          <w:color w:val="000000"/>
        </w:rPr>
        <w:t>Version</w:t>
      </w:r>
      <w:r w:rsidR="0031066B" w:rsidRPr="00D917D9">
        <w:rPr>
          <w:color w:val="000000"/>
        </w:rPr>
        <w:t xml:space="preserve"> 5.0; SPSS Inc</w:t>
      </w:r>
      <w:r w:rsidR="0031066B">
        <w:rPr>
          <w:color w:val="000000"/>
        </w:rPr>
        <w:t>.</w:t>
      </w:r>
      <w:r w:rsidR="0031066B" w:rsidRPr="00D917D9">
        <w:rPr>
          <w:color w:val="000000"/>
        </w:rPr>
        <w:t>, Chicago, IL</w:t>
      </w:r>
      <w:r w:rsidR="0031066B">
        <w:rPr>
          <w:color w:val="000000"/>
        </w:rPr>
        <w:t>).</w:t>
      </w:r>
      <w:r w:rsidR="0057258F" w:rsidRPr="0057258F">
        <w:t xml:space="preserve"> Pixels classified as green turf </w:t>
      </w:r>
      <w:r w:rsidR="002A7352">
        <w:t>had</w:t>
      </w:r>
      <w:r w:rsidR="002A7352" w:rsidRPr="0057258F">
        <w:t xml:space="preserve"> </w:t>
      </w:r>
      <w:r w:rsidR="0057258F" w:rsidRPr="0057258F">
        <w:t>a hue range of range of 45</w:t>
      </w:r>
      <w:r w:rsidR="0057258F" w:rsidRPr="0057258F">
        <w:rPr>
          <w:vertAlign w:val="superscript"/>
        </w:rPr>
        <w:t xml:space="preserve">o </w:t>
      </w:r>
      <w:r w:rsidR="0057258F" w:rsidRPr="0057258F">
        <w:t>to 120</w:t>
      </w:r>
      <w:r w:rsidR="0057258F" w:rsidRPr="0057258F">
        <w:rPr>
          <w:vertAlign w:val="superscript"/>
        </w:rPr>
        <w:t>o</w:t>
      </w:r>
      <w:r w:rsidR="0057258F" w:rsidRPr="0057258F">
        <w:t xml:space="preserve"> with saturation defined between 0% and 100%. </w:t>
      </w:r>
    </w:p>
    <w:p w:rsidR="0057258F" w:rsidRPr="0057258F" w:rsidRDefault="0057258F" w:rsidP="00873FFF">
      <w:pPr>
        <w:spacing w:line="480" w:lineRule="auto"/>
        <w:ind w:firstLine="720"/>
      </w:pPr>
      <w:r w:rsidRPr="0057258F">
        <w:t xml:space="preserve">Disease </w:t>
      </w:r>
      <w:r w:rsidR="0031066B">
        <w:t>severity</w:t>
      </w:r>
      <w:r w:rsidRPr="0057258F">
        <w:t xml:space="preserve"> within the trial area was assessed when symptoms were present prior to each spray application. Brown patch (</w:t>
      </w:r>
      <w:r w:rsidRPr="0057258F">
        <w:rPr>
          <w:i/>
        </w:rPr>
        <w:t>Rhizoctonia solani</w:t>
      </w:r>
      <w:r w:rsidR="00591B91">
        <w:rPr>
          <w:i/>
        </w:rPr>
        <w:t xml:space="preserve"> </w:t>
      </w:r>
      <w:r w:rsidR="00591B91">
        <w:t>Kühn</w:t>
      </w:r>
      <w:r w:rsidRPr="0057258F">
        <w:t>) and cyanobacteria (</w:t>
      </w:r>
      <w:r w:rsidRPr="0057258F">
        <w:rPr>
          <w:i/>
        </w:rPr>
        <w:t>Oscillatoria spp.</w:t>
      </w:r>
      <w:r w:rsidRPr="0057258F">
        <w:t xml:space="preserve">) </w:t>
      </w:r>
      <w:r w:rsidR="00D063D1">
        <w:t>severity was quantified by measuring the</w:t>
      </w:r>
      <w:r w:rsidRPr="0057258F">
        <w:t xml:space="preserve"> </w:t>
      </w:r>
      <w:r w:rsidR="00670D98" w:rsidRPr="0057258F">
        <w:t>percent</w:t>
      </w:r>
      <w:r w:rsidR="00670D98">
        <w:t>age</w:t>
      </w:r>
      <w:r w:rsidRPr="0057258F">
        <w:t xml:space="preserve"> </w:t>
      </w:r>
      <w:r w:rsidR="00D063D1">
        <w:t>of each plot</w:t>
      </w:r>
      <w:r w:rsidRPr="0057258F">
        <w:t xml:space="preserve"> infected. Dollar spot (</w:t>
      </w:r>
      <w:r w:rsidRPr="0057258F">
        <w:rPr>
          <w:i/>
        </w:rPr>
        <w:t>Sclerotinia homoeocarpa</w:t>
      </w:r>
      <w:r w:rsidR="00591B91">
        <w:t xml:space="preserve"> F.T. Bennett</w:t>
      </w:r>
      <w:r w:rsidRPr="0057258F">
        <w:t xml:space="preserve">) was evaluated by counting the number of dollar spot infection centers per plot.  </w:t>
      </w:r>
    </w:p>
    <w:p w:rsidR="0057258F" w:rsidRPr="0057258F" w:rsidRDefault="0057258F" w:rsidP="00670D98">
      <w:pPr>
        <w:spacing w:line="480" w:lineRule="auto"/>
        <w:ind w:firstLine="720"/>
      </w:pPr>
      <w:r w:rsidRPr="0057258F">
        <w:t xml:space="preserve">Root length was assessed at the termination of the trial period. </w:t>
      </w:r>
      <w:r w:rsidR="00E600CE" w:rsidRPr="005B0288">
        <w:rPr>
          <w:color w:val="000000"/>
        </w:rPr>
        <w:t>A soil profiler</w:t>
      </w:r>
      <w:r w:rsidR="0031066B">
        <w:rPr>
          <w:color w:val="000000"/>
        </w:rPr>
        <w:t xml:space="preserve"> (Soil profiler, </w:t>
      </w:r>
      <w:r w:rsidR="0031066B" w:rsidRPr="00D917D9">
        <w:rPr>
          <w:color w:val="000000"/>
        </w:rPr>
        <w:t>Forestry Suppliers Inc., Jackson, MS</w:t>
      </w:r>
      <w:r w:rsidR="0031066B">
        <w:rPr>
          <w:color w:val="000000"/>
        </w:rPr>
        <w:t>)</w:t>
      </w:r>
      <w:r w:rsidR="00E600CE" w:rsidRPr="00D917D9">
        <w:rPr>
          <w:color w:val="000000"/>
        </w:rPr>
        <w:t xml:space="preserve"> was used to extract </w:t>
      </w:r>
      <w:r w:rsidR="00E600CE">
        <w:rPr>
          <w:color w:val="000000"/>
        </w:rPr>
        <w:t>three</w:t>
      </w:r>
      <w:r w:rsidR="00E600CE" w:rsidRPr="00D917D9">
        <w:rPr>
          <w:color w:val="000000"/>
        </w:rPr>
        <w:t xml:space="preserve"> soil profiles from each </w:t>
      </w:r>
      <w:r w:rsidR="00E600CE">
        <w:rPr>
          <w:color w:val="000000"/>
        </w:rPr>
        <w:t>sub-</w:t>
      </w:r>
      <w:r w:rsidR="00E600CE" w:rsidRPr="00D917D9">
        <w:rPr>
          <w:color w:val="000000"/>
        </w:rPr>
        <w:t>plot. Soil profiles measured 25</w:t>
      </w:r>
      <w:r w:rsidR="007F2E45">
        <w:rPr>
          <w:color w:val="000000"/>
        </w:rPr>
        <w:t xml:space="preserve"> </w:t>
      </w:r>
      <w:r w:rsidR="00E600CE" w:rsidRPr="00D917D9">
        <w:rPr>
          <w:color w:val="000000"/>
        </w:rPr>
        <w:t>cm</w:t>
      </w:r>
      <w:r w:rsidR="00E600CE" w:rsidRPr="00D917D9">
        <w:rPr>
          <w:color w:val="000000"/>
          <w:vertAlign w:val="superscript"/>
        </w:rPr>
        <w:t>2</w:t>
      </w:r>
      <w:r w:rsidR="00E600CE" w:rsidRPr="00D917D9">
        <w:rPr>
          <w:color w:val="000000"/>
        </w:rPr>
        <w:t xml:space="preserve"> and were pulled from a depth of 18 cm into the rootzone.</w:t>
      </w:r>
      <w:r w:rsidR="00E600CE">
        <w:t xml:space="preserve"> T</w:t>
      </w:r>
      <w:r w:rsidRPr="0057258F">
        <w:t>he longest root extending from the</w:t>
      </w:r>
      <w:r w:rsidR="00670D98">
        <w:t xml:space="preserve"> soil profile</w:t>
      </w:r>
      <w:r w:rsidRPr="0057258F">
        <w:t xml:space="preserve"> base of the crown was measured. </w:t>
      </w:r>
    </w:p>
    <w:p w:rsidR="0031066B" w:rsidRDefault="0057258F" w:rsidP="00EB30A2">
      <w:pPr>
        <w:spacing w:line="480" w:lineRule="auto"/>
        <w:ind w:firstLine="720"/>
      </w:pPr>
      <w:r w:rsidRPr="0057258F">
        <w:rPr>
          <w:i/>
        </w:rPr>
        <w:t>Statistical analysis</w:t>
      </w:r>
      <w:r w:rsidRPr="0057258F">
        <w:t xml:space="preserve">. </w:t>
      </w:r>
      <w:r w:rsidR="0031066B" w:rsidRPr="00D917D9">
        <w:t>Data were subjected to analysis of variance</w:t>
      </w:r>
      <w:r w:rsidR="0031066B">
        <w:t xml:space="preserve"> (ANOVA)</w:t>
      </w:r>
      <w:r w:rsidR="0031066B" w:rsidRPr="00D917D9">
        <w:t xml:space="preserve"> using </w:t>
      </w:r>
      <w:r w:rsidR="0031066B">
        <w:t xml:space="preserve">PROC MIXED with code generated by the DANDA macro (Saxton, 2010) in </w:t>
      </w:r>
      <w:r w:rsidR="0031066B" w:rsidRPr="005B0288">
        <w:t>SAS</w:t>
      </w:r>
      <w:r w:rsidR="0031066B">
        <w:t xml:space="preserve"> </w:t>
      </w:r>
      <w:r w:rsidR="0031066B">
        <w:lastRenderedPageBreak/>
        <w:t>(</w:t>
      </w:r>
      <w:r w:rsidR="0031066B" w:rsidRPr="009D2CE7">
        <w:t>Statistical Analysis</w:t>
      </w:r>
      <w:r w:rsidR="0031066B">
        <w:rPr>
          <w:rFonts w:ascii="TimesNewRomanPSMT" w:hAnsi="TimesNewRomanPSMT" w:cs="TimesNewRomanPSMT"/>
        </w:rPr>
        <w:t xml:space="preserve"> Software, Inc., </w:t>
      </w:r>
      <w:r w:rsidR="0031066B" w:rsidRPr="009D2CE7">
        <w:t>Cary</w:t>
      </w:r>
      <w:r w:rsidR="0031066B">
        <w:rPr>
          <w:rFonts w:ascii="TimesNewRomanPSMT" w:hAnsi="TimesNewRomanPSMT" w:cs="TimesNewRomanPSMT"/>
        </w:rPr>
        <w:t>, NC</w:t>
      </w:r>
      <w:r w:rsidR="0031066B">
        <w:t xml:space="preserve">). Means were separated using Fisher’s protected least significant difference (LSD) at </w:t>
      </w:r>
      <w:r w:rsidR="003A3324">
        <w:t xml:space="preserve">α </w:t>
      </w:r>
      <w:r w:rsidR="0031066B">
        <w:t>=</w:t>
      </w:r>
      <w:r w:rsidR="003A3324">
        <w:t xml:space="preserve"> </w:t>
      </w:r>
      <w:r w:rsidR="0031066B">
        <w:t xml:space="preserve">0.05. </w:t>
      </w:r>
      <w:r w:rsidR="0031066B" w:rsidRPr="00D917D9">
        <w:t>A combined ANOVA was conducted to test for significant interactions between experimental runs</w:t>
      </w:r>
      <w:r w:rsidR="0031066B">
        <w:t>.</w:t>
      </w:r>
      <w:r w:rsidR="00225623">
        <w:t xml:space="preserve"> </w:t>
      </w:r>
      <w:r w:rsidR="00225623" w:rsidRPr="00D917D9">
        <w:t xml:space="preserve">The </w:t>
      </w:r>
      <w:r w:rsidR="00225623">
        <w:t>area under the progress c</w:t>
      </w:r>
      <w:r w:rsidR="00225623" w:rsidRPr="00D917D9">
        <w:t>urve (AU</w:t>
      </w:r>
      <w:r w:rsidR="00225623">
        <w:t>(x)</w:t>
      </w:r>
      <w:r w:rsidR="00225623" w:rsidRPr="00D917D9">
        <w:t>PC) was calculated for ea</w:t>
      </w:r>
      <w:r w:rsidR="00225623">
        <w:t xml:space="preserve">ch of the evaluation parameters where (x) is a parameter of interest. The (AU(x)PC) describes the course of increase in (x) parameter over time (Campbell and Madden, 1991). </w:t>
      </w:r>
      <w:r w:rsidR="00F41EE3" w:rsidRPr="00F906FC">
        <w:t xml:space="preserve">The area under the progress curve was </w:t>
      </w:r>
      <w:r w:rsidR="000E470F" w:rsidRPr="00F906FC">
        <w:t xml:space="preserve">used </w:t>
      </w:r>
      <w:r w:rsidR="00F41EE3" w:rsidRPr="00F906FC">
        <w:t xml:space="preserve">to supplement individual assessment dates as a quantifiable measure how repeated applications of strobilurin fungicides </w:t>
      </w:r>
      <w:r w:rsidR="000E470F" w:rsidRPr="00F906FC">
        <w:t xml:space="preserve">on </w:t>
      </w:r>
      <w:r w:rsidR="00F41EE3" w:rsidRPr="00F906FC">
        <w:t xml:space="preserve">creeping bentgrass performed as a whole across the entire </w:t>
      </w:r>
      <w:r w:rsidR="000E470F" w:rsidRPr="00F906FC">
        <w:t>trial period</w:t>
      </w:r>
      <w:r w:rsidR="00F41EE3" w:rsidRPr="00F906FC">
        <w:t xml:space="preserve">. </w:t>
      </w:r>
      <w:r w:rsidR="00881A24" w:rsidRPr="00F906FC">
        <w:t>S</w:t>
      </w:r>
      <w:r w:rsidR="00085561" w:rsidRPr="00F906FC">
        <w:t>ignificant treatment</w:t>
      </w:r>
      <w:r w:rsidR="00670D98" w:rsidRPr="00F906FC">
        <w:t>-</w:t>
      </w:r>
      <w:r w:rsidR="00881A24" w:rsidRPr="00F906FC">
        <w:t>by-year</w:t>
      </w:r>
      <w:r w:rsidR="00085561" w:rsidRPr="00F906FC">
        <w:t xml:space="preserve"> interaction</w:t>
      </w:r>
      <w:r w:rsidR="00881A24" w:rsidRPr="00F906FC">
        <w:t>s</w:t>
      </w:r>
      <w:r w:rsidR="00085561" w:rsidRPr="00F906FC">
        <w:t xml:space="preserve"> </w:t>
      </w:r>
      <w:r w:rsidR="00881A24" w:rsidRPr="00F906FC">
        <w:t xml:space="preserve">were </w:t>
      </w:r>
      <w:r w:rsidR="00DF520E" w:rsidRPr="00F906FC">
        <w:t xml:space="preserve">not detected </w:t>
      </w:r>
      <w:r w:rsidR="00881A24" w:rsidRPr="00F906FC">
        <w:t xml:space="preserve">in </w:t>
      </w:r>
      <w:r w:rsidR="00DF520E" w:rsidRPr="00F906FC">
        <w:t xml:space="preserve">turfgrass quality, turfgrass cover, NDVI, RVI, </w:t>
      </w:r>
      <w:r w:rsidR="00085561" w:rsidRPr="00F906FC">
        <w:t xml:space="preserve">visual root length, </w:t>
      </w:r>
      <w:r w:rsidR="00DF520E" w:rsidRPr="00F906FC">
        <w:t>dollar spot, brown patch, or cyanobacteria</w:t>
      </w:r>
      <w:r w:rsidR="00881A24" w:rsidRPr="00F906FC">
        <w:t xml:space="preserve"> data.</w:t>
      </w:r>
      <w:r w:rsidR="00DF520E" w:rsidRPr="00F906FC">
        <w:t xml:space="preserve"> </w:t>
      </w:r>
      <w:r w:rsidR="00881A24" w:rsidRPr="00F906FC">
        <w:t>T</w:t>
      </w:r>
      <w:r w:rsidR="00085561" w:rsidRPr="00F906FC">
        <w:t>hus</w:t>
      </w:r>
      <w:r w:rsidR="00881A24" w:rsidRPr="00F906FC">
        <w:t>,</w:t>
      </w:r>
      <w:r w:rsidR="00085561" w:rsidRPr="00F906FC">
        <w:t xml:space="preserve"> data </w:t>
      </w:r>
      <w:r w:rsidR="00881A24" w:rsidRPr="00F906FC">
        <w:t xml:space="preserve">for each parameter were </w:t>
      </w:r>
      <w:r w:rsidR="00085561" w:rsidRPr="00F906FC">
        <w:t>combined for clarity.</w:t>
      </w:r>
    </w:p>
    <w:p w:rsidR="0057258F" w:rsidRDefault="003A366F" w:rsidP="00EB30A2">
      <w:pPr>
        <w:pStyle w:val="Heading2"/>
      </w:pPr>
      <w:bookmarkStart w:id="108" w:name="_Toc353890910"/>
      <w:bookmarkStart w:id="109" w:name="_Toc353892651"/>
      <w:r w:rsidRPr="009B2EE6">
        <w:t>RESULTS</w:t>
      </w:r>
      <w:bookmarkEnd w:id="108"/>
      <w:bookmarkEnd w:id="109"/>
    </w:p>
    <w:p w:rsidR="00EB30A2" w:rsidRPr="00EB30A2" w:rsidRDefault="00EB30A2" w:rsidP="00EB30A2"/>
    <w:p w:rsidR="0057258F" w:rsidRPr="0057258F" w:rsidRDefault="0057258F" w:rsidP="000549B1">
      <w:pPr>
        <w:spacing w:line="480" w:lineRule="auto"/>
        <w:rPr>
          <w:i/>
        </w:rPr>
      </w:pPr>
      <w:r w:rsidRPr="0057258F">
        <w:rPr>
          <w:i/>
        </w:rPr>
        <w:t>Turfgrass Quality</w:t>
      </w:r>
    </w:p>
    <w:p w:rsidR="0057258F" w:rsidRPr="0057258F" w:rsidRDefault="00133068" w:rsidP="008649EB">
      <w:pPr>
        <w:spacing w:line="480" w:lineRule="auto"/>
        <w:ind w:firstLine="720"/>
      </w:pPr>
      <w:r>
        <w:t xml:space="preserve"> </w:t>
      </w:r>
      <w:r w:rsidR="0057258F" w:rsidRPr="0057258F">
        <w:t>Turfgrass quality progressively declined throug</w:t>
      </w:r>
      <w:r w:rsidR="000312EB">
        <w:t xml:space="preserve">hout the trial period (Table </w:t>
      </w:r>
      <w:r w:rsidR="00195C36">
        <w:t>3.1</w:t>
      </w:r>
      <w:r w:rsidR="000312EB">
        <w:t>). H</w:t>
      </w:r>
      <w:r w:rsidR="0057258F" w:rsidRPr="0057258F">
        <w:t>owever</w:t>
      </w:r>
      <w:r w:rsidR="000312EB">
        <w:t xml:space="preserve">, </w:t>
      </w:r>
      <w:r w:rsidR="00C820E6">
        <w:t xml:space="preserve">no </w:t>
      </w:r>
      <w:r w:rsidR="0057258F" w:rsidRPr="0057258F">
        <w:t>significant overspray</w:t>
      </w:r>
      <w:r w:rsidR="00C820E6">
        <w:t>-by-</w:t>
      </w:r>
      <w:r w:rsidR="0057258F" w:rsidRPr="0057258F">
        <w:t xml:space="preserve">fungicide </w:t>
      </w:r>
      <w:r w:rsidR="00C820E6">
        <w:t xml:space="preserve">interactions </w:t>
      </w:r>
      <w:r w:rsidR="0057258F" w:rsidRPr="0057258F">
        <w:t xml:space="preserve">were detected on any assessment date (Table </w:t>
      </w:r>
      <w:r w:rsidR="00E65240">
        <w:t>3.</w:t>
      </w:r>
      <w:r w:rsidR="0057258F" w:rsidRPr="0057258F">
        <w:t xml:space="preserve">2). Fungicide was </w:t>
      </w:r>
      <w:r w:rsidR="00E660C3">
        <w:t xml:space="preserve">only </w:t>
      </w:r>
      <w:r w:rsidR="0057258F" w:rsidRPr="0057258F">
        <w:t>significant on one rating date (42 DAIT</w:t>
      </w:r>
      <w:r>
        <w:t xml:space="preserve">) with </w:t>
      </w:r>
      <w:r w:rsidR="0057258F" w:rsidRPr="0057258F">
        <w:t xml:space="preserve">trifloxystrobin </w:t>
      </w:r>
      <w:r w:rsidR="00082093">
        <w:t xml:space="preserve">having </w:t>
      </w:r>
      <w:r w:rsidR="0057258F" w:rsidRPr="0057258F">
        <w:t>significantly lower turfgrass quality compared to all other treatments (data not shown). Turfgrass quality did not fall below an acceptable level (&lt;</w:t>
      </w:r>
      <w:r w:rsidR="00E660C3">
        <w:t xml:space="preserve"> </w:t>
      </w:r>
      <w:r w:rsidR="0057258F" w:rsidRPr="0057258F">
        <w:t xml:space="preserve">6) at any </w:t>
      </w:r>
      <w:r w:rsidR="00E660C3">
        <w:t>time</w:t>
      </w:r>
      <w:r w:rsidR="0057258F" w:rsidRPr="0057258F">
        <w:t xml:space="preserve"> (Table </w:t>
      </w:r>
      <w:r w:rsidR="00195C36">
        <w:t>3.1</w:t>
      </w:r>
      <w:r w:rsidR="0057258F" w:rsidRPr="0057258F">
        <w:t xml:space="preserve">). No significant differences were detected for the </w:t>
      </w:r>
      <w:r w:rsidR="008649EB">
        <w:t>a</w:t>
      </w:r>
      <w:r w:rsidR="0057258F" w:rsidRPr="0057258F">
        <w:t>r</w:t>
      </w:r>
      <w:r w:rsidR="008649EB">
        <w:t>ea u</w:t>
      </w:r>
      <w:r w:rsidR="0057258F" w:rsidRPr="0057258F">
        <w:t>nd</w:t>
      </w:r>
      <w:r w:rsidR="008649EB">
        <w:t>er the turfgrass quality progress c</w:t>
      </w:r>
      <w:r w:rsidR="0057258F" w:rsidRPr="0057258F">
        <w:t>urve (Table 3</w:t>
      </w:r>
      <w:r w:rsidR="00E65240">
        <w:t>.3</w:t>
      </w:r>
      <w:r w:rsidR="0057258F" w:rsidRPr="0057258F">
        <w:t xml:space="preserve">). </w:t>
      </w:r>
    </w:p>
    <w:p w:rsidR="0057258F" w:rsidRPr="0057258F" w:rsidRDefault="0057258F" w:rsidP="008649EB">
      <w:pPr>
        <w:spacing w:line="480" w:lineRule="auto"/>
        <w:ind w:firstLine="720"/>
      </w:pPr>
      <w:r w:rsidRPr="0057258F">
        <w:lastRenderedPageBreak/>
        <w:t>Significant differences in turfgrass quality between whole plots were detected on</w:t>
      </w:r>
      <w:r w:rsidR="008A7C13">
        <w:t xml:space="preserve"> 14, 42, 56, and 84 DAIT</w:t>
      </w:r>
      <w:r w:rsidRPr="0057258F">
        <w:t xml:space="preserve"> (Table </w:t>
      </w:r>
      <w:r w:rsidR="00E65240">
        <w:t>3.</w:t>
      </w:r>
      <w:r w:rsidRPr="0057258F">
        <w:t xml:space="preserve">2). Differences in quality may be explained by the control of </w:t>
      </w:r>
      <w:r w:rsidR="00082093">
        <w:t xml:space="preserve">additional </w:t>
      </w:r>
      <w:r w:rsidRPr="0057258F">
        <w:t xml:space="preserve">biotic agents </w:t>
      </w:r>
      <w:r w:rsidR="001F3791">
        <w:t xml:space="preserve">beyond those controlled by the </w:t>
      </w:r>
      <w:r w:rsidR="00E660C3">
        <w:t xml:space="preserve">strobilurin </w:t>
      </w:r>
      <w:r w:rsidR="001F3791">
        <w:t xml:space="preserve">fungicides </w:t>
      </w:r>
      <w:r w:rsidRPr="0057258F">
        <w:t xml:space="preserve">during the trial period. </w:t>
      </w:r>
      <w:r w:rsidR="00F65D41">
        <w:t>Cyanobacteria</w:t>
      </w:r>
      <w:r w:rsidR="008A7C13">
        <w:t xml:space="preserve"> </w:t>
      </w:r>
      <w:r w:rsidR="00F65D41">
        <w:t>severity</w:t>
      </w:r>
      <w:r w:rsidR="008A7C13">
        <w:t xml:space="preserve"> </w:t>
      </w:r>
      <w:r w:rsidR="00E660C3">
        <w:t xml:space="preserve">was lower on whole plots receiving iprodione + chlorothalonil </w:t>
      </w:r>
      <w:r w:rsidR="008A7C13">
        <w:t xml:space="preserve">on all </w:t>
      </w:r>
      <w:r w:rsidR="008A7C13" w:rsidRPr="0057258F">
        <w:t>rating</w:t>
      </w:r>
      <w:r w:rsidRPr="0057258F">
        <w:t xml:space="preserve"> dates</w:t>
      </w:r>
      <w:r w:rsidR="00E660C3">
        <w:t xml:space="preserve">. Similarly, these whole plots contained fewer </w:t>
      </w:r>
      <w:r w:rsidRPr="0057258F">
        <w:t xml:space="preserve">dollar spot </w:t>
      </w:r>
      <w:r w:rsidR="00E660C3">
        <w:t>foci</w:t>
      </w:r>
      <w:r w:rsidR="00E660C3" w:rsidRPr="0057258F">
        <w:t xml:space="preserve"> </w:t>
      </w:r>
      <w:r w:rsidR="008A7C13">
        <w:t>from 42</w:t>
      </w:r>
      <w:r w:rsidR="00E660C3">
        <w:t xml:space="preserve"> to </w:t>
      </w:r>
      <w:r w:rsidR="008A7C13">
        <w:t>84 DAIT</w:t>
      </w:r>
      <w:r w:rsidRPr="0057258F">
        <w:t xml:space="preserve"> compared to the </w:t>
      </w:r>
      <w:r w:rsidR="008A7C13">
        <w:t>non-treated</w:t>
      </w:r>
      <w:r w:rsidRPr="0057258F">
        <w:t xml:space="preserve"> whole plot (Table </w:t>
      </w:r>
      <w:r w:rsidR="00E65240">
        <w:t>3.</w:t>
      </w:r>
      <w:r w:rsidRPr="0057258F">
        <w:t xml:space="preserve">4). </w:t>
      </w:r>
    </w:p>
    <w:p w:rsidR="0057258F" w:rsidRDefault="00366FB5" w:rsidP="000549B1">
      <w:pPr>
        <w:spacing w:line="480" w:lineRule="auto"/>
        <w:ind w:firstLine="720"/>
      </w:pPr>
      <w:r>
        <w:t>Findings of this field experiment</w:t>
      </w:r>
      <w:r w:rsidR="0057258F" w:rsidRPr="0057258F">
        <w:t xml:space="preserve"> supported </w:t>
      </w:r>
      <w:r>
        <w:t>those reported</w:t>
      </w:r>
      <w:r w:rsidR="0057258F" w:rsidRPr="0057258F">
        <w:t xml:space="preserve"> by</w:t>
      </w:r>
      <w:r w:rsidR="008A7C13">
        <w:t xml:space="preserve"> Brosnan et al. (2010)</w:t>
      </w:r>
      <w:r>
        <w:t xml:space="preserve"> following strobilurin applications to creeping bentgrass in mini-rhizotron culture in a greenhouse</w:t>
      </w:r>
      <w:r w:rsidR="0057258F" w:rsidRPr="0057258F">
        <w:t xml:space="preserve">. At no time in </w:t>
      </w:r>
      <w:r w:rsidR="008A7C13">
        <w:t>that</w:t>
      </w:r>
      <w:r w:rsidR="0057258F" w:rsidRPr="0057258F">
        <w:t xml:space="preserve"> experiment did strobilurin fungicide</w:t>
      </w:r>
      <w:r w:rsidR="00F65EDE">
        <w:t xml:space="preserve"> application</w:t>
      </w:r>
      <w:r w:rsidR="0057258F" w:rsidRPr="0057258F">
        <w:t xml:space="preserve"> improve turfgrass quality compared to a </w:t>
      </w:r>
      <w:r w:rsidR="008A7C13">
        <w:t>non-treated control</w:t>
      </w:r>
      <w:r w:rsidR="0057258F" w:rsidRPr="0057258F">
        <w:t>.</w:t>
      </w:r>
    </w:p>
    <w:p w:rsidR="00A7357E" w:rsidRPr="0057258F" w:rsidRDefault="00A7357E" w:rsidP="000549B1">
      <w:pPr>
        <w:spacing w:line="480" w:lineRule="auto"/>
        <w:ind w:firstLine="720"/>
      </w:pPr>
    </w:p>
    <w:p w:rsidR="0057258F" w:rsidRPr="0057258F" w:rsidRDefault="0057258F" w:rsidP="000549B1">
      <w:pPr>
        <w:spacing w:line="480" w:lineRule="auto"/>
        <w:rPr>
          <w:i/>
        </w:rPr>
      </w:pPr>
      <w:r w:rsidRPr="0057258F">
        <w:rPr>
          <w:i/>
        </w:rPr>
        <w:t>Turfgrass Cover</w:t>
      </w:r>
    </w:p>
    <w:p w:rsidR="0057258F" w:rsidRDefault="0057258F" w:rsidP="000549B1">
      <w:pPr>
        <w:spacing w:line="480" w:lineRule="auto"/>
        <w:ind w:firstLine="720"/>
      </w:pPr>
      <w:r w:rsidRPr="0057258F">
        <w:t>No significant overspray</w:t>
      </w:r>
      <w:r w:rsidR="000B6778">
        <w:t>-by-</w:t>
      </w:r>
      <w:r w:rsidR="00D5051C">
        <w:t>fungicide</w:t>
      </w:r>
      <w:r w:rsidRPr="0057258F">
        <w:t xml:space="preserve"> difference </w:t>
      </w:r>
      <w:r w:rsidR="002C4897">
        <w:t>were</w:t>
      </w:r>
      <w:r w:rsidR="002C4897" w:rsidRPr="0057258F">
        <w:t xml:space="preserve"> </w:t>
      </w:r>
      <w:r w:rsidRPr="0057258F">
        <w:t xml:space="preserve">detected </w:t>
      </w:r>
      <w:r w:rsidR="002C4897">
        <w:t>at</w:t>
      </w:r>
      <w:r w:rsidR="002C4897" w:rsidRPr="0057258F">
        <w:t xml:space="preserve"> </w:t>
      </w:r>
      <w:r w:rsidRPr="0057258F">
        <w:t xml:space="preserve">any </w:t>
      </w:r>
      <w:r w:rsidR="002C4897">
        <w:t xml:space="preserve">time </w:t>
      </w:r>
      <w:r w:rsidR="008A7C13">
        <w:t xml:space="preserve">(Table </w:t>
      </w:r>
      <w:r w:rsidR="00E65240">
        <w:t>3.</w:t>
      </w:r>
      <w:r w:rsidR="008A7C13">
        <w:t xml:space="preserve">1). </w:t>
      </w:r>
      <w:r w:rsidRPr="0057258F">
        <w:t xml:space="preserve"> </w:t>
      </w:r>
      <w:r w:rsidR="002C4897">
        <w:t>Similarly, n</w:t>
      </w:r>
      <w:r w:rsidR="008A7C13">
        <w:t xml:space="preserve">o significant </w:t>
      </w:r>
      <w:r w:rsidR="002C4897" w:rsidRPr="0057258F">
        <w:t>overspray</w:t>
      </w:r>
      <w:r w:rsidR="002C4897">
        <w:t>-by-</w:t>
      </w:r>
      <w:r w:rsidR="00D5051C">
        <w:t>fungicide</w:t>
      </w:r>
      <w:r w:rsidR="002C4897" w:rsidRPr="0057258F">
        <w:t xml:space="preserve"> </w:t>
      </w:r>
      <w:r w:rsidR="008A7C13">
        <w:t xml:space="preserve">differences were detected </w:t>
      </w:r>
      <w:r w:rsidR="002C4897">
        <w:t>in</w:t>
      </w:r>
      <w:r w:rsidRPr="0057258F">
        <w:t xml:space="preserve"> </w:t>
      </w:r>
      <w:r w:rsidR="008A7C13">
        <w:t>a</w:t>
      </w:r>
      <w:r w:rsidRPr="0057258F">
        <w:t>r</w:t>
      </w:r>
      <w:r w:rsidR="008A7C13">
        <w:t>ea under the percent cover progress c</w:t>
      </w:r>
      <w:r w:rsidRPr="0057258F">
        <w:t>urve</w:t>
      </w:r>
      <w:r w:rsidR="002C4897">
        <w:t xml:space="preserve"> data</w:t>
      </w:r>
      <w:r w:rsidR="008A7C13">
        <w:t xml:space="preserve"> (Table </w:t>
      </w:r>
      <w:r w:rsidR="00E65240">
        <w:t>3.</w:t>
      </w:r>
      <w:r w:rsidR="008A7C13">
        <w:t xml:space="preserve">3). </w:t>
      </w:r>
      <w:r w:rsidR="002C4897">
        <w:t>However, s</w:t>
      </w:r>
      <w:r w:rsidRPr="0057258F">
        <w:t>ignificant differences</w:t>
      </w:r>
      <w:r w:rsidR="002C4897">
        <w:t xml:space="preserve"> in turfgrass cover were detected</w:t>
      </w:r>
      <w:r w:rsidRPr="0057258F">
        <w:t xml:space="preserve"> between whole plots </w:t>
      </w:r>
      <w:r w:rsidR="00F60812">
        <w:t>28 DAIT</w:t>
      </w:r>
      <w:r w:rsidRPr="0057258F">
        <w:t xml:space="preserve"> </w:t>
      </w:r>
      <w:r w:rsidR="00F60812">
        <w:t>(Table 3.2</w:t>
      </w:r>
      <w:r w:rsidRPr="0057258F">
        <w:t xml:space="preserve">). </w:t>
      </w:r>
      <w:r w:rsidR="002A2471">
        <w:t xml:space="preserve">On this date, overspray whole plots exhibited three percent more turfgrass cover compared to the non-treated whole plot. </w:t>
      </w:r>
      <w:r w:rsidRPr="0057258F">
        <w:t>Significant differences between whole plots were not detected on any other rating date.</w:t>
      </w:r>
    </w:p>
    <w:p w:rsidR="00A7357E" w:rsidRDefault="00A7357E" w:rsidP="000549B1">
      <w:pPr>
        <w:spacing w:line="480" w:lineRule="auto"/>
        <w:ind w:firstLine="720"/>
      </w:pPr>
    </w:p>
    <w:p w:rsidR="00506182" w:rsidRDefault="00506182" w:rsidP="000549B1">
      <w:pPr>
        <w:spacing w:line="480" w:lineRule="auto"/>
        <w:ind w:firstLine="720"/>
      </w:pPr>
    </w:p>
    <w:p w:rsidR="00506182" w:rsidRPr="0057258F" w:rsidRDefault="00506182" w:rsidP="000549B1">
      <w:pPr>
        <w:spacing w:line="480" w:lineRule="auto"/>
        <w:ind w:firstLine="720"/>
      </w:pPr>
    </w:p>
    <w:p w:rsidR="0057258F" w:rsidRPr="0057258F" w:rsidRDefault="0057258F" w:rsidP="000549B1">
      <w:pPr>
        <w:spacing w:line="480" w:lineRule="auto"/>
        <w:rPr>
          <w:i/>
          <w:szCs w:val="22"/>
        </w:rPr>
      </w:pPr>
      <w:r w:rsidRPr="0057258F">
        <w:rPr>
          <w:i/>
          <w:szCs w:val="22"/>
        </w:rPr>
        <w:lastRenderedPageBreak/>
        <w:t xml:space="preserve">Spectral Reflectance </w:t>
      </w:r>
    </w:p>
    <w:p w:rsidR="0057258F" w:rsidRPr="0057258F" w:rsidRDefault="0057258F" w:rsidP="00D57FC4">
      <w:pPr>
        <w:spacing w:line="480" w:lineRule="auto"/>
        <w:ind w:firstLine="720"/>
      </w:pPr>
      <w:r w:rsidRPr="0057258F">
        <w:t xml:space="preserve">NDVI progressively declined </w:t>
      </w:r>
      <w:r w:rsidR="00A7357E">
        <w:t>for</w:t>
      </w:r>
      <w:r w:rsidR="00A7357E" w:rsidRPr="0057258F">
        <w:t xml:space="preserve"> </w:t>
      </w:r>
      <w:r w:rsidRPr="0057258F">
        <w:t xml:space="preserve">all treatments during the summer months (Table </w:t>
      </w:r>
      <w:r w:rsidR="00E65240">
        <w:t>3.</w:t>
      </w:r>
      <w:r w:rsidRPr="0057258F">
        <w:t xml:space="preserve">5) </w:t>
      </w:r>
      <w:r w:rsidR="00A7357E">
        <w:t>with</w:t>
      </w:r>
      <w:r w:rsidR="00A7357E" w:rsidRPr="0057258F">
        <w:t xml:space="preserve"> </w:t>
      </w:r>
      <w:r w:rsidRPr="0057258F">
        <w:t xml:space="preserve">RVI </w:t>
      </w:r>
      <w:r w:rsidR="00A7357E">
        <w:t xml:space="preserve">data </w:t>
      </w:r>
      <w:r w:rsidRPr="0057258F">
        <w:t>follow</w:t>
      </w:r>
      <w:r w:rsidR="00A7357E">
        <w:t>ing</w:t>
      </w:r>
      <w:r w:rsidRPr="0057258F">
        <w:t xml:space="preserve"> a similar trend (data not shown). No significant</w:t>
      </w:r>
      <w:r w:rsidR="00BC5DE0">
        <w:t xml:space="preserve"> </w:t>
      </w:r>
      <w:r w:rsidR="00BC5DE0" w:rsidRPr="0057258F">
        <w:t>overspray</w:t>
      </w:r>
      <w:r w:rsidR="00BC5DE0">
        <w:t>-by-fungicide</w:t>
      </w:r>
      <w:r w:rsidRPr="0057258F">
        <w:t xml:space="preserve"> </w:t>
      </w:r>
      <w:r w:rsidR="00F04BDC">
        <w:t>interactions</w:t>
      </w:r>
      <w:r w:rsidR="00F04BDC" w:rsidRPr="0057258F">
        <w:t xml:space="preserve"> </w:t>
      </w:r>
      <w:r w:rsidR="00F04BDC">
        <w:t>were</w:t>
      </w:r>
      <w:r w:rsidR="00F04BDC" w:rsidRPr="0057258F">
        <w:t xml:space="preserve"> </w:t>
      </w:r>
      <w:r w:rsidRPr="0057258F">
        <w:t xml:space="preserve">detected </w:t>
      </w:r>
      <w:r w:rsidR="00F04BDC">
        <w:t xml:space="preserve">in NDVI or RVI data </w:t>
      </w:r>
      <w:r w:rsidRPr="0057258F">
        <w:t>on any assessment date</w:t>
      </w:r>
      <w:r w:rsidR="00D57FC4">
        <w:t xml:space="preserve">. </w:t>
      </w:r>
      <w:r w:rsidR="00F04BDC">
        <w:t xml:space="preserve">Similarly, no </w:t>
      </w:r>
      <w:r w:rsidR="00D57FC4">
        <w:t>significant</w:t>
      </w:r>
      <w:r w:rsidR="00BC5DE0">
        <w:t xml:space="preserve"> </w:t>
      </w:r>
      <w:r w:rsidR="00BC5DE0" w:rsidRPr="0057258F">
        <w:t>overspray</w:t>
      </w:r>
      <w:r w:rsidR="00BC5DE0">
        <w:t>-by-fungicide</w:t>
      </w:r>
      <w:r w:rsidR="00D57FC4">
        <w:t xml:space="preserve"> </w:t>
      </w:r>
      <w:r w:rsidR="00F04BDC">
        <w:t xml:space="preserve">interactions </w:t>
      </w:r>
      <w:r w:rsidR="00D57FC4">
        <w:t>were detected for the area under the NDVI or RVI progress curves</w:t>
      </w:r>
      <w:r w:rsidRPr="0057258F">
        <w:t xml:space="preserve"> (Table </w:t>
      </w:r>
      <w:r w:rsidR="00E65240">
        <w:t>3.</w:t>
      </w:r>
      <w:r w:rsidR="00F12D4D">
        <w:t>3</w:t>
      </w:r>
      <w:r w:rsidRPr="0057258F">
        <w:t xml:space="preserve">). </w:t>
      </w:r>
    </w:p>
    <w:p w:rsidR="0057258F" w:rsidRDefault="0057258F" w:rsidP="000549B1">
      <w:pPr>
        <w:spacing w:line="480" w:lineRule="auto"/>
        <w:ind w:firstLine="720"/>
      </w:pPr>
      <w:r w:rsidRPr="0057258F">
        <w:t>Significant differences in spectral reflectance b</w:t>
      </w:r>
      <w:r w:rsidR="00E65240">
        <w:t>etween whole plots were limited</w:t>
      </w:r>
      <w:r w:rsidRPr="0057258F">
        <w:t xml:space="preserve">. Oversprayed whole plots had significantly greater NDVI (on two rating dates) and RVI (one rating date) compared to the untreated whole-plot (Table </w:t>
      </w:r>
      <w:r w:rsidR="00F12D4D">
        <w:t>3.</w:t>
      </w:r>
      <w:r w:rsidRPr="0057258F">
        <w:t>6). Limited whole-plot differences may be due in part to</w:t>
      </w:r>
      <w:r w:rsidR="00BB17AE">
        <w:t xml:space="preserve"> the presence of</w:t>
      </w:r>
      <w:r w:rsidRPr="0057258F">
        <w:t xml:space="preserve"> cyanobacteria within the </w:t>
      </w:r>
      <w:r w:rsidR="00D57FC4">
        <w:t>non-treated</w:t>
      </w:r>
      <w:r w:rsidRPr="0057258F">
        <w:t xml:space="preserve"> whole plot. NDVI and RVI detect chlorophyll reflectance produced by higher plants including turfgrass (Bell et al., 2004). Cyanobacteria also have chloroplasts producing chlorophyll </w:t>
      </w:r>
      <w:r w:rsidR="00EB624A">
        <w:t>that</w:t>
      </w:r>
      <w:r w:rsidR="00EB624A" w:rsidRPr="0057258F">
        <w:t xml:space="preserve"> </w:t>
      </w:r>
      <w:r w:rsidRPr="0057258F">
        <w:t>c</w:t>
      </w:r>
      <w:r w:rsidR="00EB624A">
        <w:t>ould</w:t>
      </w:r>
      <w:r w:rsidRPr="0057258F">
        <w:t xml:space="preserve"> be detected by reflectance instruments such as NDVI (Hu, 2009)</w:t>
      </w:r>
      <w:r w:rsidR="00D57FC4">
        <w:t xml:space="preserve">. </w:t>
      </w:r>
    </w:p>
    <w:p w:rsidR="00F04BDC" w:rsidRPr="0057258F" w:rsidRDefault="00F04BDC" w:rsidP="000549B1">
      <w:pPr>
        <w:spacing w:line="480" w:lineRule="auto"/>
        <w:ind w:firstLine="720"/>
      </w:pPr>
    </w:p>
    <w:p w:rsidR="0057258F" w:rsidRPr="0057258F" w:rsidRDefault="0057258F" w:rsidP="000549B1">
      <w:pPr>
        <w:spacing w:line="480" w:lineRule="auto"/>
        <w:rPr>
          <w:i/>
        </w:rPr>
      </w:pPr>
      <w:r w:rsidRPr="0057258F">
        <w:rPr>
          <w:i/>
        </w:rPr>
        <w:t xml:space="preserve">Visual Root Length </w:t>
      </w:r>
    </w:p>
    <w:p w:rsidR="00D44328" w:rsidRDefault="002C2CBE" w:rsidP="00D44328">
      <w:pPr>
        <w:spacing w:line="480" w:lineRule="auto"/>
        <w:ind w:firstLine="720"/>
      </w:pPr>
      <w:r>
        <w:t>N</w:t>
      </w:r>
      <w:r w:rsidRPr="0057258F">
        <w:t xml:space="preserve">o significant differences </w:t>
      </w:r>
      <w:r>
        <w:t>in</w:t>
      </w:r>
      <w:r w:rsidRPr="0057258F">
        <w:t xml:space="preserve"> visual root length </w:t>
      </w:r>
      <w:r>
        <w:t>were observed</w:t>
      </w:r>
      <w:r w:rsidRPr="0057258F">
        <w:t xml:space="preserve"> this study. </w:t>
      </w:r>
      <w:r w:rsidR="0057258F" w:rsidRPr="0057258F">
        <w:t>Visual root length ranged from 9.5 to 10.2 cm within all subplots</w:t>
      </w:r>
      <w:r>
        <w:t xml:space="preserve"> (Table 3.7)</w:t>
      </w:r>
      <w:r w:rsidR="00DF520E">
        <w:t>.</w:t>
      </w:r>
      <w:r>
        <w:t xml:space="preserve"> These reports differ from those of </w:t>
      </w:r>
      <w:r w:rsidR="0057258F" w:rsidRPr="0057258F">
        <w:t>Brosnan et al. (2010)</w:t>
      </w:r>
      <w:r w:rsidR="00F737F6">
        <w:t>. They</w:t>
      </w:r>
      <w:r w:rsidR="0057258F" w:rsidRPr="0057258F">
        <w:t xml:space="preserve"> reported greater visual root length on ‘Penn A-4’ creeping bentgrass in a greenhouse experiment </w:t>
      </w:r>
      <w:r w:rsidR="001A1886">
        <w:t>following treatment with</w:t>
      </w:r>
      <w:r w:rsidR="0057258F" w:rsidRPr="0057258F">
        <w:t xml:space="preserve"> </w:t>
      </w:r>
      <w:r w:rsidR="001A1886">
        <w:t>p</w:t>
      </w:r>
      <w:r w:rsidR="0057258F" w:rsidRPr="0057258F">
        <w:t>yraclostrobin</w:t>
      </w:r>
      <w:r w:rsidR="001A1886">
        <w:t xml:space="preserve"> </w:t>
      </w:r>
      <w:r w:rsidR="00540730" w:rsidRPr="0057258F">
        <w:t>at 0.55 kg ai ha</w:t>
      </w:r>
      <w:r w:rsidR="00540730" w:rsidRPr="0057258F">
        <w:rPr>
          <w:vertAlign w:val="superscript"/>
        </w:rPr>
        <w:t>-1</w:t>
      </w:r>
      <w:r w:rsidR="001A1886">
        <w:t>; however,</w:t>
      </w:r>
      <w:r w:rsidR="0057258F" w:rsidRPr="0057258F">
        <w:t xml:space="preserve"> </w:t>
      </w:r>
      <w:r w:rsidR="001A1886">
        <w:t>these</w:t>
      </w:r>
      <w:r w:rsidR="0057258F" w:rsidRPr="0057258F">
        <w:t xml:space="preserve"> </w:t>
      </w:r>
      <w:r w:rsidR="001A1886">
        <w:t>increases</w:t>
      </w:r>
      <w:r w:rsidR="001A1886" w:rsidRPr="0057258F">
        <w:t xml:space="preserve"> </w:t>
      </w:r>
      <w:r w:rsidR="0057258F" w:rsidRPr="0057258F">
        <w:t xml:space="preserve">were relatively </w:t>
      </w:r>
      <w:r w:rsidR="00D57FC4">
        <w:t>small</w:t>
      </w:r>
      <w:r w:rsidR="0057258F" w:rsidRPr="0057258F">
        <w:t xml:space="preserve"> (&lt;10%)</w:t>
      </w:r>
      <w:r w:rsidR="001A1886">
        <w:t xml:space="preserve"> compared to non-treated plants</w:t>
      </w:r>
      <w:r w:rsidR="0057258F" w:rsidRPr="0057258F">
        <w:t xml:space="preserve">. </w:t>
      </w:r>
      <w:r w:rsidR="00D57FC4" w:rsidRPr="0057258F">
        <w:t>Furthermore</w:t>
      </w:r>
      <w:r w:rsidR="0057258F" w:rsidRPr="0057258F">
        <w:t xml:space="preserve">, </w:t>
      </w:r>
      <w:r>
        <w:t xml:space="preserve">the researchers observed </w:t>
      </w:r>
      <w:r w:rsidR="0057258F" w:rsidRPr="0057258F">
        <w:t xml:space="preserve">no significant differences in visual root length were observed for ‘Penncross’ creeping bentgrass </w:t>
      </w:r>
      <w:r w:rsidR="0057258F" w:rsidRPr="0057258F">
        <w:lastRenderedPageBreak/>
        <w:t xml:space="preserve">indicating </w:t>
      </w:r>
      <w:r w:rsidR="001A1886">
        <w:t>that effects of pyraclostrobin on creeping bentgrass root growth may vary by cultivar</w:t>
      </w:r>
      <w:r w:rsidR="0057258F" w:rsidRPr="0057258F">
        <w:t>.</w:t>
      </w:r>
      <w:r w:rsidR="00FA0A1B">
        <w:t xml:space="preserve"> </w:t>
      </w:r>
    </w:p>
    <w:p w:rsidR="0057258F" w:rsidRPr="0057258F" w:rsidRDefault="0057258F" w:rsidP="00D44328">
      <w:pPr>
        <w:spacing w:line="480" w:lineRule="auto"/>
        <w:ind w:firstLine="720"/>
      </w:pPr>
    </w:p>
    <w:p w:rsidR="0057258F" w:rsidRPr="0057258F" w:rsidRDefault="0057258F" w:rsidP="000549B1">
      <w:pPr>
        <w:spacing w:line="480" w:lineRule="auto"/>
        <w:rPr>
          <w:i/>
        </w:rPr>
      </w:pPr>
      <w:r w:rsidRPr="0057258F">
        <w:rPr>
          <w:i/>
        </w:rPr>
        <w:t>Dollar spot</w:t>
      </w:r>
    </w:p>
    <w:p w:rsidR="0057258F" w:rsidRPr="0057258F" w:rsidRDefault="0057258F" w:rsidP="00DF520E">
      <w:pPr>
        <w:spacing w:line="480" w:lineRule="auto"/>
        <w:ind w:firstLine="720"/>
      </w:pPr>
      <w:r w:rsidRPr="0057258F">
        <w:t>Dollar spot pressure was low</w:t>
      </w:r>
      <w:r w:rsidR="00E90DB6">
        <w:t xml:space="preserve"> (&lt; 10.0 infection centers in all subplot treatments)</w:t>
      </w:r>
      <w:r w:rsidRPr="0057258F">
        <w:t xml:space="preserve"> throughout the trial period. </w:t>
      </w:r>
      <w:r w:rsidR="00E51DCE">
        <w:t xml:space="preserve">A </w:t>
      </w:r>
      <w:r w:rsidR="00E90DB6">
        <w:t>si</w:t>
      </w:r>
      <w:r w:rsidR="00E90DB6" w:rsidRPr="0057258F">
        <w:t xml:space="preserve">gnificant </w:t>
      </w:r>
      <w:r w:rsidR="00E90DB6">
        <w:t>overspray-by-fungicide</w:t>
      </w:r>
      <w:r w:rsidR="00E90DB6" w:rsidRPr="0057258F">
        <w:t xml:space="preserve"> </w:t>
      </w:r>
      <w:r w:rsidR="00E51DCE">
        <w:t>was</w:t>
      </w:r>
      <w:r w:rsidRPr="0057258F">
        <w:t xml:space="preserve"> </w:t>
      </w:r>
      <w:r w:rsidR="00E51DCE">
        <w:t>observed</w:t>
      </w:r>
      <w:r w:rsidRPr="0057258F">
        <w:t xml:space="preserve"> 84 DAIT (Table </w:t>
      </w:r>
      <w:r w:rsidR="00F12D4D">
        <w:t>3.</w:t>
      </w:r>
      <w:r w:rsidRPr="0057258F">
        <w:t>4). On this rating date</w:t>
      </w:r>
      <w:r w:rsidR="00E51DCE">
        <w:t>,</w:t>
      </w:r>
      <w:r w:rsidRPr="0057258F">
        <w:t xml:space="preserve"> </w:t>
      </w:r>
      <w:r w:rsidR="005B66A1">
        <w:t>plots receiving no fungicide treatment contained</w:t>
      </w:r>
      <w:r w:rsidR="00E51DCE">
        <w:t xml:space="preserve"> </w:t>
      </w:r>
      <w:r w:rsidRPr="0057258F">
        <w:t>9.75</w:t>
      </w:r>
      <w:r w:rsidR="00E51DCE">
        <w:t xml:space="preserve"> </w:t>
      </w:r>
      <w:r w:rsidRPr="0057258F">
        <w:t>dollar spot infection centers per plot, significantly greater than all other treatments (data not shown). No significant difference</w:t>
      </w:r>
      <w:r w:rsidR="00E8160F">
        <w:t>s were</w:t>
      </w:r>
      <w:r w:rsidRPr="0057258F">
        <w:t xml:space="preserve"> detected </w:t>
      </w:r>
      <w:r w:rsidR="00E8160F">
        <w:t>in</w:t>
      </w:r>
      <w:r w:rsidR="00E8160F" w:rsidRPr="0057258F">
        <w:t xml:space="preserve"> </w:t>
      </w:r>
      <w:r w:rsidR="00DF520E">
        <w:t>a</w:t>
      </w:r>
      <w:r w:rsidRPr="0057258F">
        <w:t>re</w:t>
      </w:r>
      <w:r w:rsidR="00DF520E">
        <w:t>a under the dollar spot progress c</w:t>
      </w:r>
      <w:r w:rsidRPr="0057258F">
        <w:t>urve</w:t>
      </w:r>
      <w:r w:rsidR="00E8160F">
        <w:t xml:space="preserve"> data</w:t>
      </w:r>
      <w:r w:rsidRPr="0057258F">
        <w:t xml:space="preserve">. </w:t>
      </w:r>
    </w:p>
    <w:p w:rsidR="0057258F" w:rsidRDefault="00DF520E" w:rsidP="000549B1">
      <w:pPr>
        <w:spacing w:line="480" w:lineRule="auto"/>
        <w:ind w:firstLine="720"/>
      </w:pPr>
      <w:r>
        <w:t xml:space="preserve">Significant whole </w:t>
      </w:r>
      <w:r w:rsidR="0057258F" w:rsidRPr="0057258F">
        <w:t xml:space="preserve">plot differences were detected on </w:t>
      </w:r>
      <w:r w:rsidR="00E46547">
        <w:t>four</w:t>
      </w:r>
      <w:r w:rsidR="00E46547" w:rsidRPr="0057258F">
        <w:t xml:space="preserve"> </w:t>
      </w:r>
      <w:r w:rsidR="0057258F" w:rsidRPr="0057258F">
        <w:t xml:space="preserve">of the </w:t>
      </w:r>
      <w:r w:rsidR="00E46547">
        <w:t>six</w:t>
      </w:r>
      <w:r w:rsidR="00E46547" w:rsidRPr="0057258F">
        <w:t xml:space="preserve"> </w:t>
      </w:r>
      <w:r w:rsidR="0057258F" w:rsidRPr="0057258F">
        <w:t xml:space="preserve">rating dates </w:t>
      </w:r>
      <w:r w:rsidR="00540730">
        <w:t>over the course of both years</w:t>
      </w:r>
      <w:r w:rsidR="00540730" w:rsidRPr="0057258F">
        <w:t xml:space="preserve"> (</w:t>
      </w:r>
      <w:r w:rsidR="0057258F" w:rsidRPr="0057258F">
        <w:t xml:space="preserve">Table </w:t>
      </w:r>
      <w:r w:rsidR="00F12D4D">
        <w:t>3.</w:t>
      </w:r>
      <w:r w:rsidR="0057258F" w:rsidRPr="0057258F">
        <w:t xml:space="preserve">4). </w:t>
      </w:r>
      <w:r w:rsidR="006948D6">
        <w:t>Using area under the dollar spot progress curve data, whole plots receiving iprodione + chlorothalonil contained less</w:t>
      </w:r>
      <w:r w:rsidR="0057258F" w:rsidRPr="0057258F">
        <w:t xml:space="preserve"> dollar spot </w:t>
      </w:r>
      <w:r w:rsidR="006948D6">
        <w:t>than</w:t>
      </w:r>
      <w:r w:rsidR="0057258F" w:rsidRPr="0057258F">
        <w:t xml:space="preserve"> the </w:t>
      </w:r>
      <w:r>
        <w:t>non-treated whole plot</w:t>
      </w:r>
      <w:r w:rsidR="0057258F" w:rsidRPr="0057258F">
        <w:t xml:space="preserve"> </w:t>
      </w:r>
      <w:r w:rsidR="006948D6">
        <w:t>receiving no fungicide</w:t>
      </w:r>
      <w:r w:rsidR="0057258F" w:rsidRPr="0057258F">
        <w:t xml:space="preserve"> (Table </w:t>
      </w:r>
      <w:r w:rsidR="00E90DB6">
        <w:t>3.</w:t>
      </w:r>
      <w:r w:rsidR="0057258F" w:rsidRPr="0057258F">
        <w:t>8).</w:t>
      </w:r>
    </w:p>
    <w:p w:rsidR="00506182" w:rsidRPr="0057258F" w:rsidRDefault="00506182" w:rsidP="000549B1">
      <w:pPr>
        <w:spacing w:line="480" w:lineRule="auto"/>
        <w:ind w:firstLine="720"/>
      </w:pPr>
    </w:p>
    <w:p w:rsidR="0057258F" w:rsidRPr="0057258F" w:rsidRDefault="0057258F" w:rsidP="000549B1">
      <w:pPr>
        <w:spacing w:line="480" w:lineRule="auto"/>
        <w:rPr>
          <w:i/>
        </w:rPr>
      </w:pPr>
      <w:r w:rsidRPr="0057258F">
        <w:rPr>
          <w:i/>
        </w:rPr>
        <w:t xml:space="preserve">Brown Patch </w:t>
      </w:r>
    </w:p>
    <w:p w:rsidR="0057258F" w:rsidRDefault="0057258F" w:rsidP="000549B1">
      <w:pPr>
        <w:spacing w:line="480" w:lineRule="auto"/>
        <w:ind w:firstLine="720"/>
      </w:pPr>
      <w:r w:rsidRPr="0057258F">
        <w:t>Brown patch pressure was low</w:t>
      </w:r>
      <w:r w:rsidR="00E90DB6">
        <w:t xml:space="preserve"> (&lt; 3 % in all subplot treatments)</w:t>
      </w:r>
      <w:r w:rsidRPr="0057258F">
        <w:t xml:space="preserve"> throughout the trial period and was only </w:t>
      </w:r>
      <w:r w:rsidR="00DF520E">
        <w:t>present</w:t>
      </w:r>
      <w:r w:rsidRPr="0057258F">
        <w:t xml:space="preserve"> on a single rating date (data not presented) and did not significantly impact any </w:t>
      </w:r>
      <w:r w:rsidR="00573A3D">
        <w:t xml:space="preserve">other </w:t>
      </w:r>
      <w:r w:rsidR="00DB30AA">
        <w:t>measured</w:t>
      </w:r>
      <w:r w:rsidR="00DB30AA" w:rsidRPr="0057258F">
        <w:t xml:space="preserve"> </w:t>
      </w:r>
      <w:r w:rsidRPr="0057258F">
        <w:t>parameter. No significant</w:t>
      </w:r>
      <w:r w:rsidR="00C246B2" w:rsidRPr="00C246B2">
        <w:t xml:space="preserve"> </w:t>
      </w:r>
      <w:r w:rsidR="00C246B2" w:rsidRPr="0057258F">
        <w:t>overspray</w:t>
      </w:r>
      <w:r w:rsidR="00C246B2">
        <w:t>-by-fungicide</w:t>
      </w:r>
      <w:r w:rsidRPr="0057258F">
        <w:t xml:space="preserve"> </w:t>
      </w:r>
      <w:r w:rsidR="00DF520E">
        <w:t>difference</w:t>
      </w:r>
      <w:r w:rsidRPr="0057258F">
        <w:t xml:space="preserve"> w</w:t>
      </w:r>
      <w:r w:rsidR="00142838">
        <w:t>as</w:t>
      </w:r>
      <w:r w:rsidRPr="0057258F">
        <w:t xml:space="preserve"> detected on any rating date (Table </w:t>
      </w:r>
      <w:r w:rsidR="00F12D4D">
        <w:t>3.</w:t>
      </w:r>
      <w:r w:rsidRPr="0057258F">
        <w:t>8).</w:t>
      </w:r>
    </w:p>
    <w:p w:rsidR="00506182" w:rsidRDefault="00506182" w:rsidP="000549B1">
      <w:pPr>
        <w:spacing w:line="480" w:lineRule="auto"/>
        <w:ind w:firstLine="720"/>
      </w:pPr>
    </w:p>
    <w:p w:rsidR="00506182" w:rsidRDefault="00506182" w:rsidP="000549B1">
      <w:pPr>
        <w:spacing w:line="480" w:lineRule="auto"/>
        <w:ind w:firstLine="720"/>
      </w:pPr>
    </w:p>
    <w:p w:rsidR="00506182" w:rsidRPr="0057258F" w:rsidRDefault="00506182" w:rsidP="000549B1">
      <w:pPr>
        <w:spacing w:line="480" w:lineRule="auto"/>
        <w:ind w:firstLine="720"/>
      </w:pPr>
    </w:p>
    <w:p w:rsidR="0057258F" w:rsidRPr="0057258F" w:rsidRDefault="0057258F" w:rsidP="000549B1">
      <w:pPr>
        <w:spacing w:line="480" w:lineRule="auto"/>
        <w:rPr>
          <w:i/>
        </w:rPr>
      </w:pPr>
      <w:r w:rsidRPr="0057258F">
        <w:rPr>
          <w:i/>
        </w:rPr>
        <w:lastRenderedPageBreak/>
        <w:t>Cyanobacteria</w:t>
      </w:r>
    </w:p>
    <w:p w:rsidR="0057258F" w:rsidRPr="00EB30A2" w:rsidRDefault="0057258F" w:rsidP="00EB30A2">
      <w:pPr>
        <w:spacing w:line="480" w:lineRule="auto"/>
        <w:ind w:firstLine="720"/>
      </w:pPr>
      <w:r w:rsidRPr="0057258F">
        <w:t xml:space="preserve">No significant </w:t>
      </w:r>
      <w:r w:rsidR="004B7644">
        <w:t>fungicide</w:t>
      </w:r>
      <w:r w:rsidRPr="0057258F">
        <w:t xml:space="preserve"> or </w:t>
      </w:r>
      <w:r w:rsidR="004B7644" w:rsidRPr="0057258F">
        <w:t>overspray</w:t>
      </w:r>
      <w:r w:rsidR="004B7644">
        <w:t xml:space="preserve">-by-fungicide </w:t>
      </w:r>
      <w:r w:rsidR="00083B4C">
        <w:t>interactions</w:t>
      </w:r>
      <w:r w:rsidR="00083B4C" w:rsidRPr="0057258F">
        <w:t xml:space="preserve"> </w:t>
      </w:r>
      <w:r w:rsidR="00230D9F">
        <w:t>w</w:t>
      </w:r>
      <w:r w:rsidR="00083B4C">
        <w:t>ere</w:t>
      </w:r>
      <w:r w:rsidR="00083B4C" w:rsidRPr="0057258F">
        <w:t xml:space="preserve"> </w:t>
      </w:r>
      <w:r w:rsidRPr="0057258F">
        <w:t xml:space="preserve">detected on any rating date. The overspray whole plot significantly reduced populations of cyanobacteria on all rating dates (Table </w:t>
      </w:r>
      <w:r w:rsidR="00F12D4D">
        <w:t>3.</w:t>
      </w:r>
      <w:r w:rsidRPr="0057258F">
        <w:t>4)</w:t>
      </w:r>
      <w:r w:rsidR="00651B11">
        <w:t>, and</w:t>
      </w:r>
      <w:r w:rsidRPr="0057258F">
        <w:t xml:space="preserve"> was </w:t>
      </w:r>
      <w:r w:rsidR="00651B11">
        <w:t xml:space="preserve">also </w:t>
      </w:r>
      <w:r w:rsidRPr="0057258F">
        <w:t xml:space="preserve">significant </w:t>
      </w:r>
      <w:r w:rsidR="00651B11">
        <w:t>for</w:t>
      </w:r>
      <w:r w:rsidR="00651B11" w:rsidRPr="0057258F">
        <w:t xml:space="preserve"> </w:t>
      </w:r>
      <w:r w:rsidRPr="0057258F">
        <w:t xml:space="preserve">the </w:t>
      </w:r>
      <w:r w:rsidR="00DF520E">
        <w:t>a</w:t>
      </w:r>
      <w:r w:rsidRPr="0057258F">
        <w:t>r</w:t>
      </w:r>
      <w:r w:rsidR="00DF520E">
        <w:t>ea under the cyanobacteria progress c</w:t>
      </w:r>
      <w:r w:rsidRPr="0057258F">
        <w:t xml:space="preserve">urve (Table </w:t>
      </w:r>
      <w:r w:rsidR="00F12D4D">
        <w:t>3.</w:t>
      </w:r>
      <w:r w:rsidRPr="0057258F">
        <w:t>8).</w:t>
      </w:r>
      <w:r w:rsidR="00AB2BD2">
        <w:t xml:space="preserve">These findings are similar to those observed by Elliott (1998) that chlorothalonil is an effective fungicide for reducing the severity of chlorothalonil on putting greens. </w:t>
      </w:r>
    </w:p>
    <w:p w:rsidR="0057258F" w:rsidRDefault="003A366F" w:rsidP="00EB30A2">
      <w:pPr>
        <w:pStyle w:val="Heading2"/>
      </w:pPr>
      <w:bookmarkStart w:id="110" w:name="_Toc353890911"/>
      <w:bookmarkStart w:id="111" w:name="_Toc353892652"/>
      <w:r w:rsidRPr="009B2EE6">
        <w:t>CONCLUSION</w:t>
      </w:r>
      <w:bookmarkEnd w:id="110"/>
      <w:bookmarkEnd w:id="111"/>
    </w:p>
    <w:p w:rsidR="00EB30A2" w:rsidRPr="00EB30A2" w:rsidRDefault="00EB30A2" w:rsidP="00EB30A2"/>
    <w:p w:rsidR="0057258F" w:rsidRPr="0057258F" w:rsidRDefault="0057258F" w:rsidP="003642BB">
      <w:pPr>
        <w:spacing w:line="480" w:lineRule="auto"/>
        <w:ind w:firstLine="720"/>
      </w:pPr>
      <w:r w:rsidRPr="0057258F">
        <w:t xml:space="preserve">Repeated applications of strobilurin fungicides did not </w:t>
      </w:r>
      <w:r w:rsidR="00066163">
        <w:t xml:space="preserve">result </w:t>
      </w:r>
      <w:r w:rsidR="00142838">
        <w:t xml:space="preserve">in </w:t>
      </w:r>
      <w:r w:rsidRPr="0057258F">
        <w:t xml:space="preserve">significantly </w:t>
      </w:r>
      <w:r w:rsidR="00142838">
        <w:t xml:space="preserve">greater </w:t>
      </w:r>
      <w:r w:rsidRPr="0057258F">
        <w:t xml:space="preserve">NDVI, RVI, </w:t>
      </w:r>
      <w:r w:rsidR="00757B12">
        <w:t>turfgrass</w:t>
      </w:r>
      <w:r w:rsidRPr="0057258F">
        <w:t xml:space="preserve"> cover, or visual quality</w:t>
      </w:r>
      <w:r w:rsidR="00142838">
        <w:t xml:space="preserve"> of creeping bentgrass</w:t>
      </w:r>
      <w:r w:rsidRPr="0057258F">
        <w:t xml:space="preserve"> at any time during </w:t>
      </w:r>
      <w:r w:rsidR="00066163">
        <w:t>this two-year field</w:t>
      </w:r>
      <w:r w:rsidR="00066163" w:rsidRPr="0057258F">
        <w:t xml:space="preserve"> </w:t>
      </w:r>
      <w:r w:rsidRPr="0057258F">
        <w:t xml:space="preserve">experiment.  </w:t>
      </w:r>
      <w:r w:rsidR="00066163">
        <w:t>For each parameter, values for each t</w:t>
      </w:r>
      <w:r w:rsidRPr="0057258F">
        <w:t>reatment</w:t>
      </w:r>
      <w:r w:rsidR="00066163">
        <w:t xml:space="preserve"> </w:t>
      </w:r>
      <w:r w:rsidRPr="0057258F">
        <w:t>declined concurrently as the summer progressed</w:t>
      </w:r>
      <w:r w:rsidR="00066163">
        <w:t xml:space="preserve"> each year</w:t>
      </w:r>
      <w:r w:rsidRPr="0057258F">
        <w:t xml:space="preserve">. </w:t>
      </w:r>
      <w:r w:rsidR="006F4760">
        <w:t xml:space="preserve">Mean spectral reflectance measurements from 14 DAIT to 84 DAIT declined from 0.728 to 0.654 in NDVI and from 6.39 to 4.84 for RVI. </w:t>
      </w:r>
      <w:r w:rsidR="00E07E74">
        <w:t>Mean turfgrass cover declined by approximately 8% over the course of the trial period</w:t>
      </w:r>
      <w:r w:rsidR="003642BB">
        <w:t xml:space="preserve"> and turfgrass quality declined from 6.9 to 6.6 over this same time period</w:t>
      </w:r>
      <w:r w:rsidR="00E07E74">
        <w:t xml:space="preserve">. </w:t>
      </w:r>
      <w:r w:rsidRPr="0057258F">
        <w:t xml:space="preserve">In addition, </w:t>
      </w:r>
      <w:r w:rsidR="00360367">
        <w:t>treatments</w:t>
      </w:r>
      <w:r w:rsidRPr="0057258F">
        <w:t xml:space="preserve"> did not significantly affect visual root length at the termination of the trial period. Significant differences in disease </w:t>
      </w:r>
      <w:r w:rsidR="00230D9F">
        <w:t>severity</w:t>
      </w:r>
      <w:r w:rsidRPr="0057258F">
        <w:t xml:space="preserve"> were also </w:t>
      </w:r>
      <w:r w:rsidR="00142838">
        <w:t>limited</w:t>
      </w:r>
      <w:r w:rsidRPr="0057258F">
        <w:t xml:space="preserve">. Dollar spot was significant on a single rating date but yielded no </w:t>
      </w:r>
      <w:r w:rsidR="00142838">
        <w:t>significant effect</w:t>
      </w:r>
      <w:r w:rsidRPr="0057258F">
        <w:t xml:space="preserve"> </w:t>
      </w:r>
      <w:r w:rsidR="00142838">
        <w:t>on</w:t>
      </w:r>
      <w:r w:rsidRPr="0057258F">
        <w:t xml:space="preserve"> any </w:t>
      </w:r>
      <w:r w:rsidR="00AB2BD2">
        <w:t xml:space="preserve">other </w:t>
      </w:r>
      <w:r w:rsidR="00142838">
        <w:t>measured</w:t>
      </w:r>
      <w:r w:rsidRPr="0057258F">
        <w:t xml:space="preserve"> parameter. At no time was brown patch or cyanobacteria </w:t>
      </w:r>
      <w:r w:rsidR="00573A3D">
        <w:t xml:space="preserve">severity </w:t>
      </w:r>
      <w:r w:rsidRPr="0057258F">
        <w:t xml:space="preserve">significantly different between treatments. Our results are similar to prior field studies observing </w:t>
      </w:r>
      <w:r w:rsidR="00360367">
        <w:t>few</w:t>
      </w:r>
      <w:r w:rsidR="00360367" w:rsidRPr="0057258F">
        <w:t xml:space="preserve"> </w:t>
      </w:r>
      <w:r w:rsidRPr="0057258F">
        <w:t xml:space="preserve">significant differences in </w:t>
      </w:r>
      <w:r w:rsidR="00142838">
        <w:t>observable plant physiological effects</w:t>
      </w:r>
      <w:r w:rsidRPr="0057258F">
        <w:t xml:space="preserve"> </w:t>
      </w:r>
      <w:r w:rsidRPr="0057258F">
        <w:lastRenderedPageBreak/>
        <w:t xml:space="preserve">subjected to strobilurin fungicide applications in low disease pressure environments (Swoboda and Pedersen, 2009; Weisz et al. 2011). </w:t>
      </w:r>
    </w:p>
    <w:p w:rsidR="0057258F" w:rsidRPr="0057258F" w:rsidRDefault="0057258F" w:rsidP="00142838">
      <w:pPr>
        <w:spacing w:line="480" w:lineRule="auto"/>
        <w:ind w:firstLine="720"/>
      </w:pPr>
      <w:r w:rsidRPr="0057258F">
        <w:t xml:space="preserve">Previous laboratory studies have investigated the secondary physiological changes occurring </w:t>
      </w:r>
      <w:r w:rsidR="00A6001C">
        <w:t>after strobilurin treatment</w:t>
      </w:r>
      <w:r w:rsidRPr="0057258F">
        <w:t xml:space="preserve">. These physiological changes include the inhibition of </w:t>
      </w:r>
      <w:r w:rsidR="00D25255" w:rsidRPr="0057258F">
        <w:t>ethylene</w:t>
      </w:r>
      <w:r w:rsidRPr="0057258F">
        <w:t>, increased anti-oxidant activity, and hormonal shifts among others (Grossmann and Retzlaff, 1997; K</w:t>
      </w:r>
      <w:r w:rsidR="00230D9F">
        <w:t>ö</w:t>
      </w:r>
      <w:r w:rsidRPr="0057258F">
        <w:t>hle et al., 2002; Jabs et al., 2002). These changes in physiological processes have led to observations of increased rooting, enhanced water deficit stress, and delayed leaf senescence in higher plants in controlled environment</w:t>
      </w:r>
      <w:r w:rsidR="00A6001C">
        <w:t>al</w:t>
      </w:r>
      <w:r w:rsidRPr="0057258F">
        <w:t xml:space="preserve"> conditions (Grossmann and</w:t>
      </w:r>
      <w:r w:rsidR="00230D9F">
        <w:t xml:space="preserve"> Retzlaff, 1997; Kö</w:t>
      </w:r>
      <w:r w:rsidRPr="0057258F">
        <w:t>hle et al., 2002; Brosnan et al., 2010.).  In our study, creeping bentgrass was subjected to environmental stressors in the field including supraoptimal temperatures, ultra</w:t>
      </w:r>
      <w:r w:rsidR="00D91170">
        <w:t xml:space="preserve">violet </w:t>
      </w:r>
      <w:r w:rsidRPr="0057258F">
        <w:t>light radiation, and moisture stress. Furthermore, to cope with these stressors we administered cultural practices including mowing</w:t>
      </w:r>
      <w:r w:rsidR="00243B4C">
        <w:t xml:space="preserve"> on alternate days</w:t>
      </w:r>
      <w:r w:rsidRPr="0057258F">
        <w:t xml:space="preserve">, sand topdressing, aerification, and nutrient and water management. These management practices mimic guidelines implemented by turfgrass managers and remain critical in sustaining a quality creeping bentgrass putting green in the transition zone. </w:t>
      </w:r>
    </w:p>
    <w:p w:rsidR="0057258F" w:rsidRDefault="0057258F" w:rsidP="00142838">
      <w:pPr>
        <w:spacing w:line="480" w:lineRule="auto"/>
        <w:ind w:firstLine="720"/>
      </w:pPr>
      <w:r w:rsidRPr="0057258F">
        <w:t xml:space="preserve">Our results do not suggest that the physiological effects attributed to strobilurin fungicides applications were not </w:t>
      </w:r>
      <w:r w:rsidR="0093397F">
        <w:t>occurring</w:t>
      </w:r>
      <w:r w:rsidRPr="0057258F">
        <w:t xml:space="preserve"> in this experiment, but the practical implication </w:t>
      </w:r>
      <w:r w:rsidR="0093397F">
        <w:t>is</w:t>
      </w:r>
      <w:r w:rsidR="0093397F" w:rsidRPr="0057258F">
        <w:t xml:space="preserve"> </w:t>
      </w:r>
      <w:r w:rsidRPr="0057258F">
        <w:t xml:space="preserve">unclear. </w:t>
      </w:r>
      <w:r w:rsidR="00BE4CF1">
        <w:t>In this field trial, p</w:t>
      </w:r>
      <w:r w:rsidRPr="0057258F">
        <w:t xml:space="preserve">roper </w:t>
      </w:r>
      <w:r w:rsidR="00BE4CF1">
        <w:t xml:space="preserve">creeping bentgrass </w:t>
      </w:r>
      <w:r w:rsidRPr="0057258F">
        <w:t xml:space="preserve">management practices </w:t>
      </w:r>
      <w:r w:rsidR="00BE4CF1">
        <w:t>coupled with</w:t>
      </w:r>
      <w:r w:rsidRPr="0057258F">
        <w:t xml:space="preserve"> low disease pressure may be a contributing factor for the lack of significant differences among treatments.  Applications of strobilurin fungicides may provide a promotion of plant health on creeping bentgrass during summer stress, but the </w:t>
      </w:r>
      <w:r w:rsidRPr="0057258F">
        <w:lastRenderedPageBreak/>
        <w:t>observation of plant health effects may be dependent on a number of factors that are currently unknown.</w:t>
      </w: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506182" w:rsidRDefault="00506182" w:rsidP="00142838">
      <w:pPr>
        <w:spacing w:line="480" w:lineRule="auto"/>
        <w:ind w:firstLine="720"/>
      </w:pPr>
    </w:p>
    <w:p w:rsidR="00BE5250" w:rsidRDefault="00BE5250" w:rsidP="00142838">
      <w:pPr>
        <w:spacing w:line="480" w:lineRule="auto"/>
        <w:ind w:firstLine="720"/>
      </w:pPr>
    </w:p>
    <w:p w:rsidR="00BE5250" w:rsidRPr="0057258F" w:rsidRDefault="00BE5250" w:rsidP="00142838">
      <w:pPr>
        <w:spacing w:line="480" w:lineRule="auto"/>
        <w:ind w:firstLine="720"/>
      </w:pPr>
    </w:p>
    <w:p w:rsidR="003A366F" w:rsidRPr="00EF5EB6" w:rsidRDefault="003A366F" w:rsidP="00EB30A2">
      <w:pPr>
        <w:pStyle w:val="Heading2"/>
      </w:pPr>
      <w:bookmarkStart w:id="112" w:name="_Toc353890912"/>
      <w:bookmarkStart w:id="113" w:name="_Toc353892653"/>
      <w:r w:rsidRPr="00EF5EB6">
        <w:lastRenderedPageBreak/>
        <w:t>LITERATURE CITED</w:t>
      </w:r>
      <w:bookmarkEnd w:id="112"/>
      <w:bookmarkEnd w:id="113"/>
    </w:p>
    <w:p w:rsidR="00AC4A70" w:rsidRDefault="00AC4A70" w:rsidP="0057258F">
      <w:pPr>
        <w:pStyle w:val="Caption"/>
        <w:rPr>
          <w:rFonts w:ascii="Arial" w:hAnsi="Arial" w:cs="Arial"/>
          <w:sz w:val="24"/>
        </w:rPr>
      </w:pPr>
    </w:p>
    <w:p w:rsidR="003A366F" w:rsidRPr="003A366F" w:rsidRDefault="003A366F" w:rsidP="003A366F">
      <w:pPr>
        <w:spacing w:line="480" w:lineRule="auto"/>
        <w:ind w:left="720" w:hanging="720"/>
      </w:pPr>
      <w:r w:rsidRPr="003A366F">
        <w:t xml:space="preserve">Ammermann, E., G. Lorenz, K. Schelberger, B. Mueller, R. Kirstgen, and H. Sauter. 2000. </w:t>
      </w:r>
      <w:r w:rsidRPr="003A366F">
        <w:rPr>
          <w:i/>
        </w:rPr>
        <w:t>In</w:t>
      </w:r>
      <w:r w:rsidRPr="003A366F">
        <w:t xml:space="preserve"> </w:t>
      </w:r>
      <w:r w:rsidRPr="003A366F">
        <w:rPr>
          <w:rFonts w:eastAsia="Calibri"/>
          <w:color w:val="000000"/>
        </w:rPr>
        <w:t xml:space="preserve">Brighton Crop Protection Conference: Pests and Diseases, </w:t>
      </w:r>
      <w:r w:rsidRPr="003A366F">
        <w:t xml:space="preserve">p. 541-548. </w:t>
      </w:r>
    </w:p>
    <w:p w:rsidR="003A366F" w:rsidRPr="003A366F" w:rsidRDefault="00040967" w:rsidP="003A366F">
      <w:pPr>
        <w:spacing w:line="480" w:lineRule="auto"/>
        <w:ind w:left="720" w:hanging="720"/>
        <w:rPr>
          <w:rFonts w:eastAsia="Calibri"/>
        </w:rPr>
      </w:pPr>
      <w:r>
        <w:t>Anonymous.</w:t>
      </w:r>
      <w:r w:rsidR="003A366F" w:rsidRPr="003A366F">
        <w:t xml:space="preserve"> 2010. Insignia SC fungicide </w:t>
      </w:r>
      <w:r>
        <w:t>product</w:t>
      </w:r>
      <w:r w:rsidR="003A366F" w:rsidRPr="003A366F">
        <w:t xml:space="preserve"> label. </w:t>
      </w:r>
      <w:r>
        <w:rPr>
          <w:rFonts w:eastAsia="Calibri"/>
        </w:rPr>
        <w:t>BASF Corporation,</w:t>
      </w:r>
      <w:r w:rsidR="003A366F" w:rsidRPr="003A366F">
        <w:rPr>
          <w:rFonts w:eastAsia="Calibri"/>
        </w:rPr>
        <w:t xml:space="preserve"> Research Triangle Park, NC.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Bartlett, D.W., J.M. Clough, J.R. Godwin, A.A. Hall, M. Hamer, and B. Parr-Dobrzanski. 2002. The strobilurin fungicides. Pest Manag. Sci. 58:649-662.</w:t>
      </w:r>
    </w:p>
    <w:p w:rsidR="003A366F" w:rsidRPr="003A366F" w:rsidRDefault="003A366F" w:rsidP="003A366F">
      <w:pPr>
        <w:autoSpaceDE w:val="0"/>
        <w:autoSpaceDN w:val="0"/>
        <w:adjustRightInd w:val="0"/>
        <w:spacing w:line="480" w:lineRule="auto"/>
        <w:ind w:left="720" w:hanging="720"/>
        <w:rPr>
          <w:rFonts w:eastAsia="Calibri"/>
        </w:rPr>
      </w:pPr>
      <w:r w:rsidRPr="003A366F">
        <w:rPr>
          <w:rFonts w:eastAsia="Calibri"/>
        </w:rPr>
        <w:t>Bell, G.E., B.M. Howell, G.V. Johnson, W.R. Raun, J.B. Solie, and M.L. Stone. 2004. Optical sensing of turfgrass chlorophyll content and tissue nitrogen. HortScie</w:t>
      </w:r>
      <w:r w:rsidR="00040967">
        <w:rPr>
          <w:rFonts w:eastAsia="Calibri"/>
        </w:rPr>
        <w:t>nce 39:1130-</w:t>
      </w:r>
      <w:r w:rsidRPr="003A366F">
        <w:rPr>
          <w:rFonts w:eastAsia="Calibri"/>
        </w:rPr>
        <w:t>1132.</w:t>
      </w:r>
    </w:p>
    <w:p w:rsidR="003A366F" w:rsidRPr="003A366F" w:rsidRDefault="003A366F" w:rsidP="003A366F">
      <w:pPr>
        <w:autoSpaceDE w:val="0"/>
        <w:autoSpaceDN w:val="0"/>
        <w:adjustRightInd w:val="0"/>
        <w:spacing w:line="480" w:lineRule="auto"/>
        <w:ind w:left="720" w:hanging="720"/>
        <w:rPr>
          <w:rFonts w:eastAsia="Calibri"/>
        </w:rPr>
      </w:pPr>
      <w:r w:rsidRPr="003A366F">
        <w:rPr>
          <w:bCs/>
        </w:rPr>
        <w:t>Bolwell, G.P. 1999. Role of active oxygen species and NO in plant defense responses. Curr</w:t>
      </w:r>
      <w:r w:rsidR="00040967">
        <w:rPr>
          <w:bCs/>
        </w:rPr>
        <w:t xml:space="preserve">ent Opinion in Plant Biology. 2: </w:t>
      </w:r>
      <w:r w:rsidRPr="003A366F">
        <w:rPr>
          <w:bCs/>
        </w:rPr>
        <w:t xml:space="preserve">287-294. </w:t>
      </w:r>
    </w:p>
    <w:p w:rsidR="003A366F" w:rsidRPr="003A366F" w:rsidRDefault="003A366F" w:rsidP="003A366F">
      <w:pPr>
        <w:autoSpaceDE w:val="0"/>
        <w:autoSpaceDN w:val="0"/>
        <w:adjustRightInd w:val="0"/>
        <w:spacing w:line="480" w:lineRule="auto"/>
        <w:ind w:left="720" w:hanging="720"/>
        <w:rPr>
          <w:rFonts w:eastAsia="Calibri"/>
        </w:rPr>
      </w:pPr>
      <w:r w:rsidRPr="003A366F">
        <w:rPr>
          <w:rFonts w:eastAsia="Calibri"/>
        </w:rPr>
        <w:t>Brosnan, J.T, B.J. Horvath, M.T. Elmore, G.K. Breeden, and J.C. Sorochan. 2010. Greenhouse investigation of strobilurin fungicide applicati</w:t>
      </w:r>
      <w:r w:rsidR="00040967">
        <w:rPr>
          <w:rFonts w:eastAsia="Calibri"/>
        </w:rPr>
        <w:t xml:space="preserve">ons on creeping bentgrass root </w:t>
      </w:r>
      <w:r w:rsidRPr="003A366F">
        <w:rPr>
          <w:rFonts w:eastAsia="Calibri"/>
        </w:rPr>
        <w:t>characteristics under two irriga</w:t>
      </w:r>
      <w:r w:rsidR="00040967">
        <w:rPr>
          <w:rFonts w:eastAsia="Calibri"/>
        </w:rPr>
        <w:t>tion regimes. Crop Sci. 50:2605-</w:t>
      </w:r>
      <w:r w:rsidRPr="003A366F">
        <w:rPr>
          <w:rFonts w:eastAsia="Calibri"/>
        </w:rPr>
        <w:t>2610.</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Bryson, R.J., L. Leandro, and D.R. Jones. 2000. The physiological effects of kresoxim-methyl on wheat leaf greenness and the</w:t>
      </w:r>
      <w:r w:rsidR="00040967">
        <w:rPr>
          <w:rFonts w:eastAsia="Calibri"/>
          <w:color w:val="000000"/>
        </w:rPr>
        <w:t xml:space="preserve"> implication for crop yield. </w:t>
      </w:r>
      <w:r w:rsidR="00040967" w:rsidRPr="00040967">
        <w:rPr>
          <w:rFonts w:eastAsia="Calibri"/>
          <w:i/>
          <w:color w:val="000000"/>
        </w:rPr>
        <w:t>In</w:t>
      </w:r>
      <w:r w:rsidRPr="003A366F">
        <w:rPr>
          <w:rFonts w:eastAsia="Calibri"/>
          <w:color w:val="000000"/>
        </w:rPr>
        <w:t xml:space="preserve"> Proceedings of the Brighton Crop Protection Conferenc</w:t>
      </w:r>
      <w:r w:rsidR="00040967">
        <w:rPr>
          <w:rFonts w:eastAsia="Calibri"/>
          <w:color w:val="000000"/>
        </w:rPr>
        <w:t>e: Pest and Disease</w:t>
      </w:r>
      <w:r w:rsidRPr="003A366F">
        <w:rPr>
          <w:rFonts w:eastAsia="Calibri"/>
          <w:color w:val="000000"/>
        </w:rPr>
        <w:t>.</w:t>
      </w:r>
      <w:r w:rsidR="00040967">
        <w:rPr>
          <w:rFonts w:eastAsia="Calibri"/>
          <w:color w:val="000000"/>
        </w:rPr>
        <w:t xml:space="preserve"> British Crop Protection Council, Farnham, UK. </w:t>
      </w:r>
    </w:p>
    <w:p w:rsidR="003A366F" w:rsidRPr="003A366F" w:rsidRDefault="003A366F" w:rsidP="003A366F">
      <w:pPr>
        <w:autoSpaceDE w:val="0"/>
        <w:autoSpaceDN w:val="0"/>
        <w:adjustRightInd w:val="0"/>
        <w:spacing w:line="480" w:lineRule="auto"/>
        <w:ind w:left="720" w:hanging="720"/>
        <w:rPr>
          <w:rFonts w:eastAsia="Calibri"/>
        </w:rPr>
      </w:pPr>
      <w:r w:rsidRPr="003A366F">
        <w:rPr>
          <w:rFonts w:eastAsia="Calibri"/>
        </w:rPr>
        <w:t xml:space="preserve">Campbell, C.L., and L.V. Madden. 1991. Introduction to plant disease epidemiology. John Wily and Sons, NY. </w:t>
      </w:r>
    </w:p>
    <w:p w:rsidR="003A366F" w:rsidRDefault="003A366F" w:rsidP="003A366F">
      <w:pPr>
        <w:autoSpaceDE w:val="0"/>
        <w:autoSpaceDN w:val="0"/>
        <w:adjustRightInd w:val="0"/>
        <w:spacing w:line="480" w:lineRule="auto"/>
        <w:ind w:left="720" w:hanging="720"/>
        <w:rPr>
          <w:color w:val="222222"/>
        </w:rPr>
      </w:pPr>
      <w:r w:rsidRPr="003A366F">
        <w:rPr>
          <w:color w:val="222222"/>
        </w:rPr>
        <w:lastRenderedPageBreak/>
        <w:t xml:space="preserve">Dernoeden, P.H. 2002. </w:t>
      </w:r>
      <w:r w:rsidR="00040967">
        <w:rPr>
          <w:color w:val="222222"/>
        </w:rPr>
        <w:t>Creeping bentgrass management: s</w:t>
      </w:r>
      <w:r w:rsidRPr="003A366F">
        <w:rPr>
          <w:color w:val="222222"/>
        </w:rPr>
        <w:t>ummer stresses, weeds, and selected maladies. John Wiley &amp; Sons, Hoboken, NJ.</w:t>
      </w:r>
    </w:p>
    <w:p w:rsidR="00AB2BD2" w:rsidRPr="003A366F" w:rsidRDefault="00AB2BD2" w:rsidP="003A366F">
      <w:pPr>
        <w:autoSpaceDE w:val="0"/>
        <w:autoSpaceDN w:val="0"/>
        <w:adjustRightInd w:val="0"/>
        <w:spacing w:line="480" w:lineRule="auto"/>
        <w:ind w:left="720" w:hanging="720"/>
        <w:rPr>
          <w:color w:val="222222"/>
        </w:rPr>
      </w:pPr>
      <w:r>
        <w:rPr>
          <w:color w:val="222222"/>
        </w:rPr>
        <w:t xml:space="preserve">Elliott, M.L. 1998. </w:t>
      </w:r>
      <w:r w:rsidR="00B85C7C">
        <w:rPr>
          <w:color w:val="222222"/>
        </w:rPr>
        <w:t xml:space="preserve">Use of fungicides to control blue-green algae on Bermuda grass putting-green surfaces. Crop Protection. 17: 631-637.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Glaab, J. and W.M. Kaiser. 1999.  Increased nitrate reductase activity in leaf tissue after application of</w:t>
      </w:r>
      <w:r w:rsidR="00040967">
        <w:rPr>
          <w:rFonts w:eastAsia="Calibri"/>
          <w:color w:val="000000"/>
        </w:rPr>
        <w:t xml:space="preserve"> the fungicide kresoxim-methyl. </w:t>
      </w:r>
      <w:r w:rsidRPr="003A366F">
        <w:rPr>
          <w:rFonts w:eastAsia="Calibri"/>
          <w:color w:val="000000"/>
        </w:rPr>
        <w:t>Planta</w:t>
      </w:r>
      <w:r w:rsidR="00040967">
        <w:rPr>
          <w:rFonts w:eastAsia="Calibri"/>
          <w:color w:val="000000"/>
        </w:rPr>
        <w:t xml:space="preserve">. 207: </w:t>
      </w:r>
      <w:r w:rsidRPr="003A366F">
        <w:rPr>
          <w:rFonts w:eastAsia="Calibri"/>
          <w:color w:val="000000"/>
        </w:rPr>
        <w:t>442–448.</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 xml:space="preserve">Godwin, J.R., D.W. Bartlett, J.M. Clough, A.R.A. Godfrey, E.G. Harrison, and S. Maund. 2000. Picoxystrobin: A new strobilurin fungicide for use on cereals. Brighton Crop Protection Conference: Pests and Diseases. British Crop Protection Council, Farnham, UK.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 xml:space="preserve">Gortz, A., E.C. Oerke, T. Thomas, and U. Steiner. 2008. Effect of environmental conditions on plant growth regulator activity of fungicidal seed treatments of barley. Journal of Applied Botany and Food Quality. 82: 60-68.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Grossman, K</w:t>
      </w:r>
      <w:r w:rsidR="00040967">
        <w:rPr>
          <w:rFonts w:eastAsia="Calibri"/>
          <w:color w:val="000000"/>
        </w:rPr>
        <w:t>.</w:t>
      </w:r>
      <w:r w:rsidRPr="003A366F">
        <w:rPr>
          <w:rFonts w:eastAsia="Calibri"/>
          <w:color w:val="000000"/>
        </w:rPr>
        <w:t>, J. Kwiatkowski, and G. Caspar. 1999. Regulation of phytohormone levels, leaf senescence and transpiration by the strobilurin kresoxim-methyl in wheat (</w:t>
      </w:r>
      <w:r w:rsidRPr="003A366F">
        <w:rPr>
          <w:rFonts w:eastAsia="Calibri"/>
          <w:i/>
          <w:color w:val="000000"/>
        </w:rPr>
        <w:t>Triticum aestivum</w:t>
      </w:r>
      <w:r w:rsidRPr="003A366F">
        <w:rPr>
          <w:rFonts w:eastAsia="Calibri"/>
          <w:color w:val="000000"/>
        </w:rPr>
        <w:t>). J. Plant Physiol. 154: 805–808.</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Grossmann, K.</w:t>
      </w:r>
      <w:r w:rsidR="00040967">
        <w:rPr>
          <w:rFonts w:eastAsia="Calibri"/>
          <w:color w:val="000000"/>
        </w:rPr>
        <w:t>,</w:t>
      </w:r>
      <w:r w:rsidRPr="003A366F">
        <w:rPr>
          <w:rFonts w:eastAsia="Calibri"/>
          <w:color w:val="000000"/>
        </w:rPr>
        <w:t xml:space="preserve"> and G. Retzlaff. 1997.  Bioregulatory effects of the fungicidal strobilurin kresoxim-methyl in wheat (</w:t>
      </w:r>
      <w:r w:rsidRPr="00040967">
        <w:rPr>
          <w:rFonts w:eastAsia="Calibri"/>
          <w:i/>
          <w:color w:val="000000"/>
        </w:rPr>
        <w:t>Triticum aestivum</w:t>
      </w:r>
      <w:r w:rsidR="00040967">
        <w:rPr>
          <w:rFonts w:eastAsia="Calibri"/>
          <w:color w:val="000000"/>
        </w:rPr>
        <w:t>). Pestic. Sci. 50:11-</w:t>
      </w:r>
      <w:r w:rsidRPr="003A366F">
        <w:rPr>
          <w:rFonts w:eastAsia="Calibri"/>
          <w:color w:val="000000"/>
        </w:rPr>
        <w:t>20.</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Halliwell</w:t>
      </w:r>
      <w:r w:rsidR="00040967">
        <w:rPr>
          <w:rFonts w:eastAsia="Calibri"/>
          <w:color w:val="000000"/>
        </w:rPr>
        <w:t>,</w:t>
      </w:r>
      <w:r w:rsidRPr="003A366F">
        <w:rPr>
          <w:rFonts w:eastAsia="Calibri"/>
          <w:color w:val="000000"/>
        </w:rPr>
        <w:t xml:space="preserve"> B</w:t>
      </w:r>
      <w:r w:rsidR="00040967">
        <w:rPr>
          <w:rFonts w:eastAsia="Calibri"/>
          <w:color w:val="000000"/>
        </w:rPr>
        <w:t>.</w:t>
      </w:r>
      <w:r w:rsidRPr="003A366F">
        <w:rPr>
          <w:rFonts w:eastAsia="Calibri"/>
          <w:color w:val="000000"/>
        </w:rPr>
        <w:t xml:space="preserve">, and J. Gutteridge. 2007. Free radicals in biology and medicine, Ed 4. </w:t>
      </w:r>
      <w:r w:rsidR="00040967">
        <w:rPr>
          <w:rFonts w:eastAsia="Calibri"/>
          <w:color w:val="000000"/>
        </w:rPr>
        <w:t xml:space="preserve">Oxford University Press, Oxford, UK.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Hu, Chuanmin. 2009. A Novel ocean color index to detect floating algae in the global oceans. Remote Sensing of Environment. 113: 2118-2129</w:t>
      </w:r>
      <w:r w:rsidR="0043510C">
        <w:rPr>
          <w:rFonts w:eastAsia="Calibri"/>
          <w:color w:val="000000"/>
        </w:rPr>
        <w:t>.</w:t>
      </w:r>
    </w:p>
    <w:p w:rsidR="003A366F" w:rsidRPr="003A366F" w:rsidRDefault="003A366F" w:rsidP="003A366F">
      <w:pPr>
        <w:autoSpaceDE w:val="0"/>
        <w:autoSpaceDN w:val="0"/>
        <w:adjustRightInd w:val="0"/>
        <w:spacing w:line="480" w:lineRule="auto"/>
        <w:ind w:left="720" w:hanging="720"/>
        <w:rPr>
          <w:color w:val="222222"/>
        </w:rPr>
      </w:pPr>
      <w:r w:rsidRPr="003A366F">
        <w:rPr>
          <w:color w:val="222222"/>
        </w:rPr>
        <w:lastRenderedPageBreak/>
        <w:t>Huang, B.,</w:t>
      </w:r>
      <w:r w:rsidR="0043510C">
        <w:rPr>
          <w:color w:val="222222"/>
        </w:rPr>
        <w:t xml:space="preserve"> </w:t>
      </w:r>
      <w:r w:rsidRPr="003A366F">
        <w:rPr>
          <w:color w:val="222222"/>
        </w:rPr>
        <w:t>and H.Gao.</w:t>
      </w:r>
      <w:r w:rsidR="0043510C">
        <w:rPr>
          <w:color w:val="222222"/>
        </w:rPr>
        <w:t xml:space="preserve"> </w:t>
      </w:r>
      <w:r w:rsidRPr="003A366F">
        <w:rPr>
          <w:color w:val="222222"/>
        </w:rPr>
        <w:t>2000.</w:t>
      </w:r>
      <w:r w:rsidR="0043510C">
        <w:rPr>
          <w:color w:val="222222"/>
        </w:rPr>
        <w:t xml:space="preserve"> </w:t>
      </w:r>
      <w:r w:rsidRPr="003A366F">
        <w:rPr>
          <w:color w:val="222222"/>
        </w:rPr>
        <w:t>Growth and carbohydrate metabolism of creeping bentgrass cultivars in response to increasing temperatures. Crop Sci. 40:1115-1120.</w:t>
      </w:r>
    </w:p>
    <w:p w:rsidR="003A366F" w:rsidRPr="003A366F" w:rsidRDefault="003A366F" w:rsidP="003A366F">
      <w:pPr>
        <w:autoSpaceDE w:val="0"/>
        <w:autoSpaceDN w:val="0"/>
        <w:adjustRightInd w:val="0"/>
        <w:spacing w:line="480" w:lineRule="auto"/>
        <w:ind w:left="720" w:hanging="720"/>
        <w:rPr>
          <w:color w:val="222222"/>
        </w:rPr>
      </w:pPr>
      <w:r w:rsidRPr="003A366F">
        <w:rPr>
          <w:color w:val="222222"/>
        </w:rPr>
        <w:t xml:space="preserve">Jabs, T., J. Pfirrmann, S. Schäfer, Y.X. Wu, and A. V. Tiedemann. 2002. Anti-oxidative and anti-senescence effects of the strobilurin pyraclostrobin in plants: A new strategy to coope with environmental stress in cereals. </w:t>
      </w:r>
      <w:r w:rsidRPr="003A366F">
        <w:rPr>
          <w:i/>
          <w:color w:val="222222"/>
        </w:rPr>
        <w:t>In</w:t>
      </w:r>
      <w:r w:rsidRPr="003A366F">
        <w:rPr>
          <w:color w:val="222222"/>
        </w:rPr>
        <w:t xml:space="preserve"> Proc. British Crop Protection Co</w:t>
      </w:r>
      <w:r w:rsidR="0043510C">
        <w:rPr>
          <w:color w:val="222222"/>
        </w:rPr>
        <w:t xml:space="preserve">uncil Conf. Pests and Diseases. </w:t>
      </w:r>
      <w:r w:rsidRPr="003A366F">
        <w:rPr>
          <w:color w:val="222222"/>
        </w:rPr>
        <w:t xml:space="preserve">British Crop Protection Council, Farnham, UK. </w:t>
      </w:r>
    </w:p>
    <w:p w:rsidR="003A366F" w:rsidRPr="003A366F" w:rsidRDefault="003A366F" w:rsidP="003A366F">
      <w:pPr>
        <w:autoSpaceDE w:val="0"/>
        <w:autoSpaceDN w:val="0"/>
        <w:adjustRightInd w:val="0"/>
        <w:spacing w:line="480" w:lineRule="auto"/>
        <w:ind w:left="720" w:hanging="720"/>
        <w:rPr>
          <w:color w:val="222222"/>
        </w:rPr>
      </w:pPr>
      <w:r w:rsidRPr="003A366F">
        <w:rPr>
          <w:color w:val="222222"/>
        </w:rPr>
        <w:t>Karcher, D.E., and M.D. Richardson. 2003. Quantifying turfgrass color using digital image analysis. Crop Sci. 43:943–951</w:t>
      </w:r>
    </w:p>
    <w:p w:rsidR="003A366F" w:rsidRPr="003A366F" w:rsidRDefault="003A366F" w:rsidP="003A366F">
      <w:pPr>
        <w:autoSpaceDE w:val="0"/>
        <w:autoSpaceDN w:val="0"/>
        <w:adjustRightInd w:val="0"/>
        <w:spacing w:line="480" w:lineRule="auto"/>
        <w:ind w:left="720" w:hanging="720"/>
        <w:rPr>
          <w:rFonts w:eastAsia="Calibri"/>
        </w:rPr>
      </w:pPr>
      <w:r w:rsidRPr="003A366F">
        <w:rPr>
          <w:rFonts w:eastAsia="Calibri"/>
        </w:rPr>
        <w:t>K</w:t>
      </w:r>
      <w:r w:rsidR="00230D9F">
        <w:rPr>
          <w:sz w:val="19"/>
          <w:szCs w:val="19"/>
        </w:rPr>
        <w:t>ö</w:t>
      </w:r>
      <w:r w:rsidRPr="003A366F">
        <w:t xml:space="preserve">hle, H., K. Grossmann, T. Jabs, M. Gerhard, W. Kaiser, J. Glaab, </w:t>
      </w:r>
      <w:r w:rsidR="0043510C">
        <w:t>U. Conrath, K. Seehaus, and S. H</w:t>
      </w:r>
      <w:r w:rsidRPr="003A366F">
        <w:t xml:space="preserve">erms. 2002. Physiological effects of the strobilurin F500 on plants. </w:t>
      </w:r>
      <w:r w:rsidRPr="003A366F">
        <w:rPr>
          <w:i/>
        </w:rPr>
        <w:t>In</w:t>
      </w:r>
      <w:r w:rsidRPr="003A366F">
        <w:t xml:space="preserve"> H.W. Dehne, U. Gisi, and K.H. Kuck (ed.) Modern fungicides and antifungal compounds III. AgroConcept, Bonn, Germany.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 xml:space="preserve">Latin, R. 2011. </w:t>
      </w:r>
      <w:r w:rsidR="0043510C">
        <w:rPr>
          <w:rFonts w:eastAsia="Calibri"/>
          <w:color w:val="000000"/>
        </w:rPr>
        <w:t>A practical guide to turfgrass f</w:t>
      </w:r>
      <w:r w:rsidRPr="003A366F">
        <w:rPr>
          <w:rFonts w:eastAsia="Calibri"/>
          <w:color w:val="000000"/>
        </w:rPr>
        <w:t>ungic</w:t>
      </w:r>
      <w:r w:rsidR="0043510C">
        <w:rPr>
          <w:rFonts w:eastAsia="Calibri"/>
          <w:color w:val="000000"/>
        </w:rPr>
        <w:t>ides</w:t>
      </w:r>
      <w:r w:rsidRPr="003A366F">
        <w:rPr>
          <w:rFonts w:eastAsia="Calibri"/>
          <w:color w:val="000000"/>
        </w:rPr>
        <w:t>.  The American Phytopathological Society, St. Paul, MN.</w:t>
      </w:r>
    </w:p>
    <w:p w:rsidR="0043510C" w:rsidRDefault="003A366F" w:rsidP="0043510C">
      <w:pPr>
        <w:autoSpaceDE w:val="0"/>
        <w:autoSpaceDN w:val="0"/>
        <w:adjustRightInd w:val="0"/>
        <w:spacing w:line="480" w:lineRule="auto"/>
        <w:ind w:left="720" w:hanging="720"/>
        <w:rPr>
          <w:rFonts w:eastAsia="Calibri"/>
          <w:color w:val="000000"/>
        </w:rPr>
      </w:pPr>
      <w:r w:rsidRPr="003A366F">
        <w:rPr>
          <w:rFonts w:eastAsia="Calibri"/>
          <w:color w:val="000000"/>
        </w:rPr>
        <w:t xml:space="preserve">Lee, H., D.J. Bremer, S. Kemin, and S.J. Keeley. 2011. Relationships between normalized difference vegetation index and visual quality in turfgrasses: effects of mowing height. </w:t>
      </w:r>
      <w:r w:rsidRPr="003A366F">
        <w:rPr>
          <w:rFonts w:eastAsia="Calibri"/>
        </w:rPr>
        <w:t xml:space="preserve">Crop Sci. 51:323-332. </w:t>
      </w:r>
    </w:p>
    <w:p w:rsidR="0043510C" w:rsidRDefault="003A366F" w:rsidP="0043510C">
      <w:pPr>
        <w:autoSpaceDE w:val="0"/>
        <w:autoSpaceDN w:val="0"/>
        <w:adjustRightInd w:val="0"/>
        <w:spacing w:line="480" w:lineRule="auto"/>
        <w:ind w:left="720" w:hanging="720"/>
        <w:rPr>
          <w:rFonts w:eastAsia="Calibri"/>
          <w:color w:val="000000"/>
        </w:rPr>
      </w:pPr>
      <w:r w:rsidRPr="003A366F">
        <w:t>Leshem</w:t>
      </w:r>
      <w:r w:rsidR="0043510C">
        <w:t xml:space="preserve">, Y.Y., and Y. Pinchasov. 2000. </w:t>
      </w:r>
      <w:r w:rsidRPr="003A366F">
        <w:t xml:space="preserve">Non-invasive photoacoustic spectroscopic determination of relative endogenous nitric oxide and ethylene content stoichiometry during the </w:t>
      </w:r>
      <w:r w:rsidR="0043510C" w:rsidRPr="003A366F">
        <w:t>ripening</w:t>
      </w:r>
      <w:r w:rsidRPr="003A366F">
        <w:t xml:space="preserve"> of strawbe</w:t>
      </w:r>
      <w:r w:rsidR="0043510C">
        <w:t>rries</w:t>
      </w:r>
      <w:r w:rsidRPr="003A366F">
        <w:t xml:space="preserve"> and a</w:t>
      </w:r>
      <w:r w:rsidR="0043510C">
        <w:t>vocados</w:t>
      </w:r>
      <w:r w:rsidRPr="003A366F">
        <w:t>. J. Exp. Bot.</w:t>
      </w:r>
      <w:r w:rsidR="0043510C">
        <w:t xml:space="preserve"> 51:</w:t>
      </w:r>
      <w:r w:rsidRPr="003A366F">
        <w:t xml:space="preserve"> 1471–1473.</w:t>
      </w:r>
    </w:p>
    <w:p w:rsidR="0043510C" w:rsidRDefault="003A366F" w:rsidP="0043510C">
      <w:pPr>
        <w:autoSpaceDE w:val="0"/>
        <w:autoSpaceDN w:val="0"/>
        <w:adjustRightInd w:val="0"/>
        <w:spacing w:line="480" w:lineRule="auto"/>
        <w:ind w:left="720" w:hanging="720"/>
        <w:rPr>
          <w:rFonts w:eastAsia="Calibri"/>
          <w:color w:val="000000"/>
        </w:rPr>
      </w:pPr>
      <w:r w:rsidRPr="003A366F">
        <w:lastRenderedPageBreak/>
        <w:t xml:space="preserve">Lyman, G. T., C.S., Throssell, M.E. Johnson, G.A. Stacey, and C. D. Brown. 2007. Golf course profile describes turfgrass, landscape and environmental stewardship features. Online. Applied Turfgrass Science doi:10.1094/ATS-2007-1107-01-RS. </w:t>
      </w:r>
    </w:p>
    <w:p w:rsidR="003A366F" w:rsidRPr="0043510C" w:rsidRDefault="003A366F" w:rsidP="0043510C">
      <w:pPr>
        <w:autoSpaceDE w:val="0"/>
        <w:autoSpaceDN w:val="0"/>
        <w:adjustRightInd w:val="0"/>
        <w:spacing w:line="480" w:lineRule="auto"/>
        <w:ind w:left="720" w:hanging="720"/>
        <w:rPr>
          <w:rFonts w:eastAsia="Calibri"/>
          <w:color w:val="000000"/>
        </w:rPr>
      </w:pPr>
      <w:r w:rsidRPr="003A366F">
        <w:t>Purvis, A. C. 1997. Role of the alternative oxidase in limiting superoxide production by plant mitochondria. Physiologia Planta</w:t>
      </w:r>
      <w:r w:rsidR="0043510C">
        <w:t>rum. 100: 165–170</w:t>
      </w:r>
    </w:p>
    <w:p w:rsidR="003A366F" w:rsidRPr="003A366F" w:rsidRDefault="003A366F" w:rsidP="003A366F">
      <w:pPr>
        <w:autoSpaceDE w:val="0"/>
        <w:autoSpaceDN w:val="0"/>
        <w:adjustRightInd w:val="0"/>
        <w:spacing w:line="480" w:lineRule="auto"/>
        <w:ind w:left="720" w:hanging="720"/>
        <w:rPr>
          <w:rFonts w:eastAsia="Calibri"/>
        </w:rPr>
      </w:pPr>
      <w:r w:rsidRPr="003A366F">
        <w:rPr>
          <w:rFonts w:eastAsia="Calibri"/>
        </w:rPr>
        <w:t>Richardson, M.D., D.E. Karcher, and L.C. Purcell. 2001. Quantifying turfgrass cover using digital image analysis. Crop Sci. 41:1884–1888.</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t xml:space="preserve">Swoboda, C., and P. Pedersen. 2009. Effect of fungicide on soybean growth and yield. Agronomy J. 101: 352-356.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 xml:space="preserve">Taiz, L., and E. Zeiger. 1998. Plant physiology. Sinauer Associates, Sunderland, M.A. </w:t>
      </w:r>
    </w:p>
    <w:p w:rsid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 xml:space="preserve">United States Golf Association. 2007. Green section recommendations for a method of putting green construction. Available at:  http;//www.usga.org/course_care/articles/construction/greens/Green-Section-Recommendations-For-A-Method-Of-Putting-Green-Construction/ (verified 9 Nov. 2012). United States Golf Association, Far Hills, NJ. </w:t>
      </w:r>
    </w:p>
    <w:p w:rsidR="00DC248B" w:rsidRDefault="00DC248B" w:rsidP="00DC248B">
      <w:pPr>
        <w:autoSpaceDE w:val="0"/>
        <w:autoSpaceDN w:val="0"/>
        <w:adjustRightInd w:val="0"/>
        <w:spacing w:line="480" w:lineRule="auto"/>
        <w:ind w:left="720" w:hanging="720"/>
        <w:rPr>
          <w:rFonts w:eastAsia="Calibri"/>
          <w:color w:val="000000"/>
        </w:rPr>
      </w:pPr>
      <w:r>
        <w:rPr>
          <w:rFonts w:eastAsia="Calibri"/>
          <w:color w:val="000000"/>
        </w:rPr>
        <w:t>Vargas, J.M.</w:t>
      </w:r>
      <w:r w:rsidR="00D3668A">
        <w:rPr>
          <w:rFonts w:eastAsia="Calibri"/>
          <w:color w:val="000000"/>
        </w:rPr>
        <w:t xml:space="preserve"> 1994. Management of turfgrass diseases, 2</w:t>
      </w:r>
      <w:r w:rsidR="00D3668A" w:rsidRPr="00D3668A">
        <w:rPr>
          <w:rFonts w:eastAsia="Calibri"/>
          <w:color w:val="000000"/>
          <w:vertAlign w:val="superscript"/>
        </w:rPr>
        <w:t>nd</w:t>
      </w:r>
      <w:r w:rsidR="00D3668A">
        <w:rPr>
          <w:rFonts w:eastAsia="Calibri"/>
          <w:color w:val="000000"/>
        </w:rPr>
        <w:t xml:space="preserve"> ed. CRC Press, Boca Raton, FL. </w:t>
      </w:r>
    </w:p>
    <w:p w:rsidR="003A366F" w:rsidRPr="00DC248B" w:rsidRDefault="003A366F" w:rsidP="00DC248B">
      <w:pPr>
        <w:autoSpaceDE w:val="0"/>
        <w:autoSpaceDN w:val="0"/>
        <w:adjustRightInd w:val="0"/>
        <w:spacing w:line="480" w:lineRule="auto"/>
        <w:ind w:left="720" w:hanging="720"/>
        <w:rPr>
          <w:rFonts w:eastAsia="Calibri"/>
          <w:color w:val="000000"/>
        </w:rPr>
      </w:pPr>
      <w:r w:rsidRPr="003A366F">
        <w:t>Wagner, A. M.</w:t>
      </w:r>
      <w:r w:rsidR="00DC248B">
        <w:t>,</w:t>
      </w:r>
      <w:r w:rsidRPr="003A366F">
        <w:t xml:space="preserve"> and K. Krab. 1995. The alternative respiration pathway in plants: role and regulation. Physiologia Plantarum, 95: 318–325.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Wahid A., S. Gelani, M. Ashraf, and M.R. Foolad. 2007. Heat tolerance in plants: an overview. Environ</w:t>
      </w:r>
      <w:r w:rsidR="00DC248B">
        <w:rPr>
          <w:rFonts w:eastAsia="Calibri"/>
          <w:color w:val="000000"/>
        </w:rPr>
        <w:t>.</w:t>
      </w:r>
      <w:r w:rsidRPr="003A366F">
        <w:rPr>
          <w:rFonts w:eastAsia="Calibri"/>
          <w:color w:val="000000"/>
        </w:rPr>
        <w:t xml:space="preserve"> Exp</w:t>
      </w:r>
      <w:r w:rsidR="00DC248B">
        <w:rPr>
          <w:rFonts w:eastAsia="Calibri"/>
          <w:color w:val="000000"/>
        </w:rPr>
        <w:t>.</w:t>
      </w:r>
      <w:r w:rsidRPr="003A366F">
        <w:rPr>
          <w:rFonts w:eastAsia="Calibri"/>
          <w:color w:val="000000"/>
        </w:rPr>
        <w:t xml:space="preserve"> Bot</w:t>
      </w:r>
      <w:r w:rsidR="00DC248B">
        <w:rPr>
          <w:rFonts w:eastAsia="Calibri"/>
          <w:color w:val="000000"/>
        </w:rPr>
        <w:t>.</w:t>
      </w:r>
      <w:r w:rsidRPr="003A366F">
        <w:rPr>
          <w:rFonts w:eastAsia="Calibri"/>
          <w:color w:val="000000"/>
        </w:rPr>
        <w:t xml:space="preserve"> 61: 199–223.</w:t>
      </w:r>
    </w:p>
    <w:p w:rsidR="003A366F" w:rsidRPr="003A366F" w:rsidRDefault="003A366F" w:rsidP="00DC248B">
      <w:pPr>
        <w:autoSpaceDE w:val="0"/>
        <w:autoSpaceDN w:val="0"/>
        <w:adjustRightInd w:val="0"/>
        <w:spacing w:line="480" w:lineRule="auto"/>
        <w:ind w:left="720" w:hanging="720"/>
        <w:rPr>
          <w:rFonts w:eastAsia="Calibri"/>
          <w:color w:val="000000"/>
        </w:rPr>
      </w:pPr>
      <w:r w:rsidRPr="003A366F">
        <w:lastRenderedPageBreak/>
        <w:t>Weisz, R., C. Cowger, G. Ambrose, and A. Gardner. 2011. Multiple mid-</w:t>
      </w:r>
      <w:r w:rsidR="00DC248B" w:rsidRPr="003A366F">
        <w:t>Atlantic</w:t>
      </w:r>
      <w:r w:rsidRPr="003A366F">
        <w:t xml:space="preserve"> field experiments show no economic benefit to fungicide application when fungal disease is absent in winter wheat. Phytopathology. 101: 323-333.   </w:t>
      </w:r>
    </w:p>
    <w:p w:rsidR="003A366F" w:rsidRP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 xml:space="preserve">Wong, F.P., S.L. Midland, and K.A. de la Cerda. 2006. Occurrence and distribution of </w:t>
      </w:r>
      <w:r w:rsidR="00DC248B">
        <w:rPr>
          <w:rFonts w:eastAsia="Calibri"/>
          <w:color w:val="000000"/>
        </w:rPr>
        <w:t>Q</w:t>
      </w:r>
      <w:r w:rsidRPr="003A366F">
        <w:rPr>
          <w:rFonts w:eastAsia="Calibri"/>
          <w:color w:val="000000"/>
        </w:rPr>
        <w:t xml:space="preserve">oI-resistant isolates of </w:t>
      </w:r>
      <w:r w:rsidRPr="003A366F">
        <w:rPr>
          <w:rFonts w:eastAsia="Calibri"/>
          <w:i/>
          <w:color w:val="000000"/>
        </w:rPr>
        <w:t>Colletotricum cereale</w:t>
      </w:r>
      <w:r w:rsidRPr="003A366F">
        <w:rPr>
          <w:rFonts w:eastAsia="Calibri"/>
          <w:color w:val="000000"/>
        </w:rPr>
        <w:t xml:space="preserve"> from annual bluegrass in California. Plant Dis. 91:1536-1546. </w:t>
      </w:r>
    </w:p>
    <w:p w:rsidR="00EF3A13" w:rsidRPr="003A366F" w:rsidRDefault="003A366F" w:rsidP="00EF3A13">
      <w:pPr>
        <w:autoSpaceDE w:val="0"/>
        <w:autoSpaceDN w:val="0"/>
        <w:adjustRightInd w:val="0"/>
        <w:spacing w:line="480" w:lineRule="auto"/>
        <w:ind w:left="720" w:hanging="720"/>
        <w:rPr>
          <w:rFonts w:eastAsia="Calibri"/>
          <w:color w:val="000000"/>
        </w:rPr>
      </w:pPr>
      <w:r w:rsidRPr="003A366F">
        <w:rPr>
          <w:rFonts w:eastAsia="Calibri"/>
          <w:color w:val="000000"/>
        </w:rPr>
        <w:t>Wu, Y. X.</w:t>
      </w:r>
      <w:r w:rsidR="00DC248B">
        <w:rPr>
          <w:rFonts w:eastAsia="Calibri"/>
          <w:color w:val="000000"/>
        </w:rPr>
        <w:t>,</w:t>
      </w:r>
      <w:r w:rsidRPr="003A366F">
        <w:rPr>
          <w:rFonts w:eastAsia="Calibri"/>
          <w:color w:val="000000"/>
        </w:rPr>
        <w:t xml:space="preserve"> and A.V. Tiedemann. 2001. Physiological effects of azoxystrobin and epoxiconazole on senescence and the oxidative status of wheat. Pestic</w:t>
      </w:r>
      <w:r w:rsidR="00DC248B">
        <w:rPr>
          <w:rFonts w:eastAsia="Calibri"/>
          <w:color w:val="000000"/>
        </w:rPr>
        <w:t>ide Biochemistry and Physiology. 71:</w:t>
      </w:r>
      <w:r w:rsidRPr="003A366F">
        <w:rPr>
          <w:rFonts w:eastAsia="Calibri"/>
          <w:color w:val="000000"/>
        </w:rPr>
        <w:t xml:space="preserve"> 1-10. </w:t>
      </w:r>
    </w:p>
    <w:p w:rsidR="003A366F" w:rsidRDefault="003A366F" w:rsidP="003A366F">
      <w:pPr>
        <w:autoSpaceDE w:val="0"/>
        <w:autoSpaceDN w:val="0"/>
        <w:adjustRightInd w:val="0"/>
        <w:spacing w:line="480" w:lineRule="auto"/>
        <w:ind w:left="720" w:hanging="720"/>
        <w:rPr>
          <w:rFonts w:eastAsia="Calibri"/>
          <w:color w:val="000000"/>
        </w:rPr>
      </w:pPr>
      <w:r w:rsidRPr="003A366F">
        <w:rPr>
          <w:rFonts w:eastAsia="Calibri"/>
          <w:color w:val="000000"/>
        </w:rPr>
        <w:t xml:space="preserve">Xu, Q., and B. Huang. 2003. Seasonal changes in turf performance and carbohydrate status of creeping bentgrass. Crop Sci. 43:266-271. </w:t>
      </w:r>
    </w:p>
    <w:p w:rsidR="00EF3A13" w:rsidRPr="003A366F" w:rsidRDefault="00EF3A13" w:rsidP="003A366F">
      <w:pPr>
        <w:autoSpaceDE w:val="0"/>
        <w:autoSpaceDN w:val="0"/>
        <w:adjustRightInd w:val="0"/>
        <w:spacing w:line="480" w:lineRule="auto"/>
        <w:ind w:left="720" w:hanging="720"/>
        <w:rPr>
          <w:rFonts w:eastAsia="Calibri"/>
          <w:color w:val="000000"/>
        </w:rPr>
      </w:pPr>
      <w:r>
        <w:rPr>
          <w:rFonts w:eastAsia="Calibri"/>
          <w:color w:val="000000"/>
        </w:rPr>
        <w:t xml:space="preserve">Xu, Y., and B. Huang. 2009. Effects of foliar-applied ethylene inhibitor and synthetic cytokinins on creeping bentgrass to enhance heat tolerance. Crop Sci. 49:1876-1844. </w:t>
      </w:r>
    </w:p>
    <w:p w:rsidR="003A366F" w:rsidRPr="003A366F" w:rsidRDefault="003A366F" w:rsidP="003A366F">
      <w:pPr>
        <w:spacing w:before="100" w:beforeAutospacing="1" w:after="100" w:afterAutospacing="1" w:line="480" w:lineRule="auto"/>
        <w:ind w:left="720" w:hanging="720"/>
      </w:pPr>
      <w:r w:rsidRPr="003A366F">
        <w:t>Yamasaki, H. Y. Sakihama, and S. Takahashi. 1999. An alternative pathway for nitric oxide production in plants: new features of an old enzyme. Trends in Plant Sciences</w:t>
      </w:r>
      <w:r w:rsidR="00DC248B">
        <w:t>.</w:t>
      </w:r>
      <w:r w:rsidRPr="003A366F">
        <w:t xml:space="preserve"> 4: 128–129.</w:t>
      </w:r>
    </w:p>
    <w:p w:rsidR="003A366F" w:rsidRPr="003A366F" w:rsidRDefault="003A366F" w:rsidP="003A366F">
      <w:pPr>
        <w:spacing w:before="100" w:beforeAutospacing="1" w:after="100" w:afterAutospacing="1" w:line="480" w:lineRule="auto"/>
        <w:ind w:left="720" w:hanging="720"/>
      </w:pPr>
      <w:r w:rsidRPr="003A366F">
        <w:t xml:space="preserve">Zhang, L.T., Z.S. Zhang, H.Y. Gao, Z.C. Xue, C. Yang, X.L. Meng, and Q.W. Meng. 2011. Mitochondrial alternative oxidase pathway protects plants against photoinhibition by alleviating inhibition of the repair of photodamaged PSII through preventing formation of reactive oxygen species in </w:t>
      </w:r>
      <w:r w:rsidRPr="003A366F">
        <w:rPr>
          <w:i/>
          <w:iCs/>
        </w:rPr>
        <w:t>Rumex</w:t>
      </w:r>
      <w:r w:rsidRPr="003A366F">
        <w:t xml:space="preserve"> K-</w:t>
      </w:r>
      <w:r w:rsidR="00DC248B">
        <w:t>1 leaves. Physiologia Plantarum.</w:t>
      </w:r>
      <w:r w:rsidRPr="003A366F">
        <w:t xml:space="preserve"> 143: 396–407. </w:t>
      </w: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3A366F">
      <w:pPr>
        <w:pStyle w:val="Caption"/>
        <w:jc w:val="center"/>
        <w:rPr>
          <w:sz w:val="24"/>
        </w:rPr>
      </w:pPr>
    </w:p>
    <w:p w:rsidR="0047272D" w:rsidRDefault="0047272D" w:rsidP="0047272D"/>
    <w:p w:rsidR="0047272D" w:rsidRDefault="0047272D" w:rsidP="0047272D"/>
    <w:p w:rsidR="0047272D" w:rsidRDefault="0047272D" w:rsidP="0047272D"/>
    <w:p w:rsidR="0047272D" w:rsidRDefault="0047272D" w:rsidP="0047272D"/>
    <w:p w:rsidR="0047272D" w:rsidRPr="0047272D" w:rsidRDefault="0047272D" w:rsidP="0047272D"/>
    <w:p w:rsidR="003A366F" w:rsidRPr="00EF5EB6" w:rsidRDefault="003A366F" w:rsidP="00EB30A2">
      <w:pPr>
        <w:pStyle w:val="Heading2"/>
      </w:pPr>
      <w:bookmarkStart w:id="114" w:name="_Toc353890913"/>
      <w:bookmarkStart w:id="115" w:name="_Toc353892654"/>
      <w:r w:rsidRPr="00EF5EB6">
        <w:t>APPENDIX</w:t>
      </w:r>
      <w:bookmarkEnd w:id="114"/>
      <w:bookmarkEnd w:id="115"/>
    </w:p>
    <w:p w:rsidR="00AC4A70" w:rsidRPr="00EF5EB6" w:rsidRDefault="003A366F" w:rsidP="00EB30A2">
      <w:pPr>
        <w:pStyle w:val="Heading2"/>
      </w:pPr>
      <w:bookmarkStart w:id="116" w:name="_Toc353890914"/>
      <w:bookmarkStart w:id="117" w:name="_Toc353892655"/>
      <w:r w:rsidRPr="00EF5EB6">
        <w:t>TABLES AND FIGURES</w:t>
      </w:r>
      <w:bookmarkEnd w:id="116"/>
      <w:bookmarkEnd w:id="117"/>
    </w:p>
    <w:p w:rsidR="00AC4A70" w:rsidRDefault="00AC4A70" w:rsidP="0057258F">
      <w:pPr>
        <w:pStyle w:val="Caption"/>
        <w:rPr>
          <w:rFonts w:ascii="Arial" w:hAnsi="Arial" w:cs="Arial"/>
          <w:sz w:val="24"/>
        </w:rPr>
      </w:pPr>
    </w:p>
    <w:p w:rsidR="00AC4A70" w:rsidRDefault="00AC4A70" w:rsidP="0057258F">
      <w:pPr>
        <w:pStyle w:val="Caption"/>
        <w:rPr>
          <w:rFonts w:ascii="Arial" w:hAnsi="Arial" w:cs="Arial"/>
          <w:sz w:val="24"/>
        </w:rPr>
      </w:pPr>
    </w:p>
    <w:p w:rsidR="00AC4A70" w:rsidRDefault="00AC4A70" w:rsidP="00AC4A70"/>
    <w:p w:rsidR="00AC4A70" w:rsidRDefault="00AC4A70" w:rsidP="00AC4A70">
      <w:pPr>
        <w:numPr>
          <w:ilvl w:val="12"/>
          <w:numId w:val="0"/>
        </w:numPr>
        <w:jc w:val="center"/>
        <w:rPr>
          <w:b/>
          <w:sz w:val="32"/>
          <w:szCs w:val="32"/>
        </w:rPr>
      </w:pPr>
    </w:p>
    <w:p w:rsidR="00AC4A70" w:rsidRDefault="00AC4A70" w:rsidP="00AC4A70">
      <w:pPr>
        <w:numPr>
          <w:ilvl w:val="12"/>
          <w:numId w:val="0"/>
        </w:numPr>
        <w:jc w:val="center"/>
        <w:rPr>
          <w:b/>
          <w:sz w:val="32"/>
          <w:szCs w:val="32"/>
        </w:rPr>
      </w:pPr>
    </w:p>
    <w:p w:rsidR="00AC4A70" w:rsidRDefault="00AC4A70" w:rsidP="00AC4A70">
      <w:pPr>
        <w:numPr>
          <w:ilvl w:val="12"/>
          <w:numId w:val="0"/>
        </w:numPr>
        <w:jc w:val="center"/>
        <w:rPr>
          <w:b/>
          <w:sz w:val="32"/>
          <w:szCs w:val="32"/>
        </w:rPr>
      </w:pPr>
    </w:p>
    <w:p w:rsidR="00AC4A70" w:rsidRDefault="00AC4A70"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C43761" w:rsidRDefault="00C43761" w:rsidP="004A2853">
      <w:pPr>
        <w:numPr>
          <w:ilvl w:val="12"/>
          <w:numId w:val="0"/>
        </w:numPr>
        <w:rPr>
          <w:b/>
          <w:sz w:val="32"/>
          <w:szCs w:val="32"/>
        </w:rPr>
      </w:pPr>
    </w:p>
    <w:p w:rsidR="003A366F" w:rsidRDefault="003A366F" w:rsidP="00AC4A70">
      <w:pPr>
        <w:numPr>
          <w:ilvl w:val="12"/>
          <w:numId w:val="0"/>
        </w:numPr>
        <w:jc w:val="center"/>
        <w:rPr>
          <w:b/>
          <w:sz w:val="32"/>
          <w:szCs w:val="32"/>
        </w:rPr>
      </w:pPr>
    </w:p>
    <w:tbl>
      <w:tblPr>
        <w:tblpPr w:leftFromText="180" w:rightFromText="180" w:vertAnchor="text" w:horzAnchor="margin" w:tblpY="-35"/>
        <w:tblW w:w="8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
        <w:gridCol w:w="2046"/>
        <w:gridCol w:w="868"/>
        <w:gridCol w:w="732"/>
        <w:gridCol w:w="732"/>
        <w:gridCol w:w="732"/>
        <w:gridCol w:w="732"/>
        <w:gridCol w:w="732"/>
        <w:gridCol w:w="732"/>
      </w:tblGrid>
      <w:tr w:rsidR="00F94637" w:rsidRPr="006A3515" w:rsidTr="00F12D4D">
        <w:trPr>
          <w:trHeight w:val="358"/>
        </w:trPr>
        <w:tc>
          <w:tcPr>
            <w:tcW w:w="8224" w:type="dxa"/>
            <w:gridSpan w:val="9"/>
            <w:tcBorders>
              <w:top w:val="nil"/>
              <w:left w:val="nil"/>
              <w:bottom w:val="nil"/>
              <w:right w:val="nil"/>
            </w:tcBorders>
            <w:shd w:val="clear" w:color="auto" w:fill="auto"/>
            <w:vAlign w:val="center"/>
          </w:tcPr>
          <w:p w:rsidR="00F94637" w:rsidRPr="00051556" w:rsidRDefault="00F94637" w:rsidP="00051556">
            <w:pPr>
              <w:pStyle w:val="Heading2"/>
              <w:jc w:val="left"/>
              <w:rPr>
                <w:rFonts w:eastAsia="Cambria"/>
                <w:sz w:val="23"/>
                <w:szCs w:val="23"/>
              </w:rPr>
            </w:pPr>
            <w:bookmarkStart w:id="118" w:name="_Toc353890915"/>
            <w:bookmarkStart w:id="119" w:name="_Toc353892656"/>
            <w:r w:rsidRPr="00051556">
              <w:rPr>
                <w:rFonts w:eastAsia="Calibri"/>
                <w:sz w:val="23"/>
                <w:szCs w:val="23"/>
              </w:rPr>
              <w:t xml:space="preserve">Table </w:t>
            </w:r>
            <w:r w:rsidR="008201DA" w:rsidRPr="00051556">
              <w:rPr>
                <w:rFonts w:eastAsia="Calibri"/>
                <w:sz w:val="23"/>
                <w:szCs w:val="23"/>
              </w:rPr>
              <w:t>3</w:t>
            </w:r>
            <w:r w:rsidRPr="00051556">
              <w:rPr>
                <w:rFonts w:eastAsia="Calibri"/>
                <w:sz w:val="23"/>
                <w:szCs w:val="23"/>
              </w:rPr>
              <w:t>.1. Visual measurements of turfgrass quality</w:t>
            </w:r>
            <w:r w:rsidR="00D90DDF" w:rsidRPr="00051556">
              <w:rPr>
                <w:rFonts w:eastAsia="Calibri"/>
                <w:sz w:val="23"/>
                <w:szCs w:val="23"/>
              </w:rPr>
              <w:t xml:space="preserve"> (Pooled across two experimental runs) on a ‘Dominant Southern’ creeping bentgrass (</w:t>
            </w:r>
            <w:r w:rsidR="00D90DDF" w:rsidRPr="00051556">
              <w:rPr>
                <w:rFonts w:eastAsia="Calibri"/>
                <w:i/>
                <w:sz w:val="23"/>
                <w:szCs w:val="23"/>
              </w:rPr>
              <w:t>Agrostis stolonifera</w:t>
            </w:r>
            <w:r w:rsidR="00D90DDF" w:rsidRPr="00051556">
              <w:rPr>
                <w:rFonts w:eastAsia="Calibri"/>
                <w:sz w:val="23"/>
                <w:szCs w:val="23"/>
              </w:rPr>
              <w:t xml:space="preserve"> L.) putting green located in Knoxville, TN,</w:t>
            </w:r>
            <w:r w:rsidRPr="00051556">
              <w:rPr>
                <w:rFonts w:eastAsia="Calibri"/>
                <w:sz w:val="23"/>
                <w:szCs w:val="23"/>
              </w:rPr>
              <w:t xml:space="preserve"> under untreated (UNT) or oversprayed (OS) </w:t>
            </w:r>
            <w:r w:rsidR="00C43761" w:rsidRPr="00051556">
              <w:rPr>
                <w:rFonts w:eastAsia="Calibri"/>
                <w:sz w:val="23"/>
                <w:szCs w:val="23"/>
              </w:rPr>
              <w:t xml:space="preserve">whole plots </w:t>
            </w:r>
            <w:r w:rsidRPr="00051556">
              <w:rPr>
                <w:rFonts w:eastAsia="Calibri"/>
                <w:sz w:val="23"/>
                <w:szCs w:val="23"/>
              </w:rPr>
              <w:t>with various strobilurin fungicides</w:t>
            </w:r>
            <w:r w:rsidR="00F81533" w:rsidRPr="00051556">
              <w:rPr>
                <w:rFonts w:eastAsia="Calibri"/>
                <w:sz w:val="23"/>
                <w:szCs w:val="23"/>
              </w:rPr>
              <w:t xml:space="preserve"> </w:t>
            </w:r>
            <w:r w:rsidR="00D90DDF" w:rsidRPr="00051556">
              <w:rPr>
                <w:rFonts w:eastAsia="Calibri"/>
                <w:sz w:val="23"/>
                <w:szCs w:val="23"/>
              </w:rPr>
              <w:t>in 2011 and 2012</w:t>
            </w:r>
            <w:r w:rsidRPr="00051556">
              <w:rPr>
                <w:rFonts w:eastAsia="Calibri"/>
                <w:sz w:val="23"/>
                <w:szCs w:val="23"/>
              </w:rPr>
              <w:t>.</w:t>
            </w:r>
            <w:bookmarkEnd w:id="118"/>
            <w:bookmarkEnd w:id="119"/>
            <w:r w:rsidRPr="00051556">
              <w:rPr>
                <w:rFonts w:eastAsia="Calibri"/>
                <w:sz w:val="23"/>
                <w:szCs w:val="23"/>
              </w:rPr>
              <w:t xml:space="preserve"> </w:t>
            </w:r>
            <w:r w:rsidR="00D90DDF" w:rsidRPr="00051556">
              <w:rPr>
                <w:rFonts w:eastAsia="Calibri"/>
                <w:sz w:val="23"/>
                <w:szCs w:val="23"/>
              </w:rPr>
              <w:t xml:space="preserve"> </w:t>
            </w:r>
            <w:r w:rsidR="00D90DDF" w:rsidRPr="00051556">
              <w:rPr>
                <w:rFonts w:eastAsia="Cambria"/>
                <w:sz w:val="23"/>
                <w:szCs w:val="23"/>
              </w:rPr>
              <w:t xml:space="preserve"> </w:t>
            </w:r>
          </w:p>
        </w:tc>
      </w:tr>
      <w:tr w:rsidR="00F94637" w:rsidRPr="006A3515" w:rsidTr="00BE4CF1">
        <w:trPr>
          <w:trHeight w:val="358"/>
        </w:trPr>
        <w:tc>
          <w:tcPr>
            <w:tcW w:w="2964" w:type="dxa"/>
            <w:gridSpan w:val="2"/>
            <w:tcBorders>
              <w:left w:val="nil"/>
              <w:bottom w:val="nil"/>
              <w:right w:val="nil"/>
            </w:tcBorders>
            <w:shd w:val="clear" w:color="auto" w:fill="auto"/>
            <w:vAlign w:val="center"/>
          </w:tcPr>
          <w:p w:rsidR="00F94637" w:rsidRPr="002B68E0" w:rsidRDefault="00F94637" w:rsidP="00FE5015">
            <w:pPr>
              <w:rPr>
                <w:rFonts w:eastAsia="Cambria"/>
                <w:b/>
                <w:sz w:val="22"/>
                <w:szCs w:val="22"/>
              </w:rPr>
            </w:pPr>
          </w:p>
        </w:tc>
        <w:tc>
          <w:tcPr>
            <w:tcW w:w="868" w:type="dxa"/>
            <w:tcBorders>
              <w:left w:val="nil"/>
              <w:bottom w:val="nil"/>
              <w:right w:val="nil"/>
            </w:tcBorders>
            <w:shd w:val="clear" w:color="auto" w:fill="auto"/>
          </w:tcPr>
          <w:p w:rsidR="00F94637" w:rsidRPr="002B68E0" w:rsidRDefault="00F94637" w:rsidP="00FE5015">
            <w:pPr>
              <w:jc w:val="center"/>
              <w:rPr>
                <w:rFonts w:eastAsia="Cambria"/>
                <w:b/>
                <w:sz w:val="22"/>
                <w:szCs w:val="22"/>
              </w:rPr>
            </w:pPr>
          </w:p>
        </w:tc>
        <w:tc>
          <w:tcPr>
            <w:tcW w:w="4392" w:type="dxa"/>
            <w:gridSpan w:val="6"/>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Visual turfgrass quality</w:t>
            </w:r>
          </w:p>
        </w:tc>
      </w:tr>
      <w:tr w:rsidR="00F94637" w:rsidRPr="006A3515" w:rsidTr="00B72406">
        <w:trPr>
          <w:trHeight w:val="330"/>
        </w:trPr>
        <w:tc>
          <w:tcPr>
            <w:tcW w:w="918" w:type="dxa"/>
            <w:vMerge w:val="restart"/>
            <w:tcBorders>
              <w:top w:val="nil"/>
              <w:left w:val="nil"/>
              <w:bottom w:val="single" w:sz="4" w:space="0" w:color="000000"/>
              <w:right w:val="nil"/>
            </w:tcBorders>
            <w:shd w:val="clear" w:color="auto" w:fill="auto"/>
            <w:vAlign w:val="center"/>
          </w:tcPr>
          <w:p w:rsidR="00F94637" w:rsidRPr="002B68E0" w:rsidRDefault="00BE4CF1" w:rsidP="00BE4CF1">
            <w:pPr>
              <w:rPr>
                <w:rFonts w:eastAsia="Cambria"/>
                <w:b/>
                <w:sz w:val="22"/>
                <w:szCs w:val="22"/>
              </w:rPr>
            </w:pPr>
            <w:r>
              <w:rPr>
                <w:rFonts w:eastAsia="Cambria"/>
                <w:b/>
                <w:sz w:val="22"/>
                <w:szCs w:val="22"/>
              </w:rPr>
              <w:t>Whole plot</w:t>
            </w:r>
            <w:r w:rsidR="00B72406" w:rsidRPr="007A66C4">
              <w:rPr>
                <w:rFonts w:eastAsia="Cambria"/>
                <w:b/>
                <w:color w:val="000000"/>
                <w:sz w:val="22"/>
                <w:szCs w:val="22"/>
              </w:rPr>
              <w:t>†</w:t>
            </w:r>
          </w:p>
        </w:tc>
        <w:tc>
          <w:tcPr>
            <w:tcW w:w="2046" w:type="dxa"/>
            <w:vMerge w:val="restart"/>
            <w:tcBorders>
              <w:top w:val="nil"/>
              <w:left w:val="nil"/>
              <w:bottom w:val="single" w:sz="4" w:space="0" w:color="000000"/>
              <w:right w:val="nil"/>
            </w:tcBorders>
            <w:shd w:val="clear" w:color="auto" w:fill="auto"/>
            <w:vAlign w:val="center"/>
          </w:tcPr>
          <w:p w:rsidR="00F94637" w:rsidRPr="002B68E0" w:rsidRDefault="00F94637" w:rsidP="002B68E0">
            <w:pPr>
              <w:tabs>
                <w:tab w:val="left" w:pos="1698"/>
              </w:tabs>
              <w:ind w:left="-50" w:right="-70"/>
              <w:jc w:val="center"/>
              <w:rPr>
                <w:rFonts w:eastAsia="Cambria"/>
                <w:b/>
                <w:sz w:val="22"/>
                <w:szCs w:val="22"/>
              </w:rPr>
            </w:pPr>
            <w:r w:rsidRPr="002B68E0">
              <w:rPr>
                <w:rFonts w:eastAsia="Cambria"/>
                <w:b/>
                <w:sz w:val="22"/>
                <w:szCs w:val="22"/>
              </w:rPr>
              <w:t>Fungicide</w:t>
            </w:r>
          </w:p>
          <w:p w:rsidR="00F94637" w:rsidRPr="002B68E0" w:rsidRDefault="00F94637" w:rsidP="002B68E0">
            <w:pPr>
              <w:tabs>
                <w:tab w:val="left" w:pos="1698"/>
              </w:tabs>
              <w:ind w:left="-50" w:right="-70"/>
              <w:jc w:val="center"/>
              <w:rPr>
                <w:rFonts w:eastAsia="Cambria"/>
                <w:b/>
                <w:sz w:val="22"/>
                <w:szCs w:val="22"/>
              </w:rPr>
            </w:pPr>
            <w:r w:rsidRPr="002B68E0">
              <w:rPr>
                <w:rFonts w:eastAsia="Cambria"/>
                <w:b/>
                <w:sz w:val="22"/>
                <w:szCs w:val="22"/>
              </w:rPr>
              <w:t xml:space="preserve"> treatment</w:t>
            </w:r>
          </w:p>
        </w:tc>
        <w:tc>
          <w:tcPr>
            <w:tcW w:w="868" w:type="dxa"/>
            <w:vMerge w:val="restart"/>
            <w:tcBorders>
              <w:top w:val="nil"/>
              <w:left w:val="nil"/>
              <w:bottom w:val="single" w:sz="4" w:space="0" w:color="000000"/>
              <w:right w:val="nil"/>
            </w:tcBorders>
            <w:shd w:val="clear" w:color="auto" w:fill="auto"/>
            <w:vAlign w:val="center"/>
          </w:tcPr>
          <w:p w:rsidR="00F94637" w:rsidRPr="002B68E0" w:rsidRDefault="00F94637" w:rsidP="00FE5015">
            <w:pPr>
              <w:ind w:left="-44" w:right="-24"/>
              <w:jc w:val="center"/>
              <w:rPr>
                <w:rFonts w:eastAsia="Cambria"/>
                <w:b/>
                <w:sz w:val="22"/>
                <w:szCs w:val="22"/>
              </w:rPr>
            </w:pPr>
            <w:r w:rsidRPr="002B68E0">
              <w:rPr>
                <w:rFonts w:eastAsia="Cambria"/>
                <w:b/>
                <w:sz w:val="22"/>
                <w:szCs w:val="22"/>
              </w:rPr>
              <w:t>Rate</w:t>
            </w:r>
          </w:p>
          <w:p w:rsidR="00F94637" w:rsidRPr="002B68E0" w:rsidRDefault="00F94637" w:rsidP="00FE5015">
            <w:pPr>
              <w:ind w:left="-44" w:right="-24"/>
              <w:jc w:val="center"/>
              <w:rPr>
                <w:rFonts w:eastAsia="Cambria"/>
                <w:b/>
                <w:sz w:val="22"/>
                <w:szCs w:val="22"/>
              </w:rPr>
            </w:pPr>
            <w:r w:rsidRPr="002B68E0">
              <w:rPr>
                <w:rFonts w:eastAsia="Cambria"/>
                <w:b/>
                <w:sz w:val="22"/>
                <w:szCs w:val="22"/>
              </w:rPr>
              <w:t>kg ai ha</w:t>
            </w:r>
            <w:r w:rsidRPr="002B68E0">
              <w:rPr>
                <w:rFonts w:eastAsia="Cambria"/>
                <w:b/>
                <w:sz w:val="22"/>
                <w:szCs w:val="22"/>
                <w:vertAlign w:val="superscript"/>
              </w:rPr>
              <w:t>-1</w:t>
            </w:r>
          </w:p>
        </w:tc>
        <w:tc>
          <w:tcPr>
            <w:tcW w:w="4392" w:type="dxa"/>
            <w:gridSpan w:val="6"/>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Days after initial treatment</w:t>
            </w:r>
          </w:p>
        </w:tc>
      </w:tr>
      <w:tr w:rsidR="00F94637" w:rsidRPr="006A3515" w:rsidTr="00B72406">
        <w:trPr>
          <w:trHeight w:val="430"/>
        </w:trPr>
        <w:tc>
          <w:tcPr>
            <w:tcW w:w="918" w:type="dxa"/>
            <w:vMerge/>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p>
        </w:tc>
        <w:tc>
          <w:tcPr>
            <w:tcW w:w="2046" w:type="dxa"/>
            <w:vMerge/>
            <w:tcBorders>
              <w:top w:val="nil"/>
              <w:left w:val="nil"/>
              <w:bottom w:val="single" w:sz="4" w:space="0" w:color="000000"/>
              <w:right w:val="nil"/>
            </w:tcBorders>
            <w:shd w:val="clear" w:color="auto" w:fill="auto"/>
            <w:vAlign w:val="center"/>
          </w:tcPr>
          <w:p w:rsidR="00F94637" w:rsidRPr="002B68E0" w:rsidRDefault="00F94637" w:rsidP="002B68E0">
            <w:pPr>
              <w:tabs>
                <w:tab w:val="left" w:pos="1698"/>
              </w:tabs>
              <w:ind w:left="-50" w:right="-70"/>
              <w:jc w:val="center"/>
              <w:rPr>
                <w:rFonts w:eastAsia="Cambria"/>
                <w:b/>
                <w:sz w:val="22"/>
                <w:szCs w:val="22"/>
              </w:rPr>
            </w:pPr>
          </w:p>
        </w:tc>
        <w:tc>
          <w:tcPr>
            <w:tcW w:w="868" w:type="dxa"/>
            <w:vMerge/>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p>
        </w:tc>
        <w:tc>
          <w:tcPr>
            <w:tcW w:w="732" w:type="dxa"/>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14</w:t>
            </w:r>
          </w:p>
        </w:tc>
        <w:tc>
          <w:tcPr>
            <w:tcW w:w="732" w:type="dxa"/>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28</w:t>
            </w:r>
          </w:p>
        </w:tc>
        <w:tc>
          <w:tcPr>
            <w:tcW w:w="732" w:type="dxa"/>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42</w:t>
            </w:r>
          </w:p>
        </w:tc>
        <w:tc>
          <w:tcPr>
            <w:tcW w:w="732" w:type="dxa"/>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56</w:t>
            </w:r>
          </w:p>
        </w:tc>
        <w:tc>
          <w:tcPr>
            <w:tcW w:w="732" w:type="dxa"/>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70</w:t>
            </w:r>
          </w:p>
        </w:tc>
        <w:tc>
          <w:tcPr>
            <w:tcW w:w="732" w:type="dxa"/>
            <w:tcBorders>
              <w:left w:val="nil"/>
              <w:bottom w:val="single" w:sz="4" w:space="0" w:color="000000"/>
              <w:right w:val="nil"/>
            </w:tcBorders>
            <w:shd w:val="clear" w:color="auto" w:fill="auto"/>
            <w:vAlign w:val="center"/>
          </w:tcPr>
          <w:p w:rsidR="00F94637" w:rsidRPr="002B68E0" w:rsidRDefault="00F94637" w:rsidP="00FE5015">
            <w:pPr>
              <w:jc w:val="center"/>
              <w:rPr>
                <w:rFonts w:eastAsia="Cambria"/>
                <w:b/>
                <w:sz w:val="22"/>
                <w:szCs w:val="22"/>
              </w:rPr>
            </w:pPr>
            <w:r w:rsidRPr="002B68E0">
              <w:rPr>
                <w:rFonts w:eastAsia="Cambria"/>
                <w:b/>
                <w:sz w:val="22"/>
                <w:szCs w:val="22"/>
              </w:rPr>
              <w:t>84</w:t>
            </w:r>
          </w:p>
        </w:tc>
      </w:tr>
      <w:tr w:rsidR="00F94637" w:rsidRPr="006A3515" w:rsidTr="00B72406">
        <w:trPr>
          <w:trHeight w:val="430"/>
        </w:trPr>
        <w:tc>
          <w:tcPr>
            <w:tcW w:w="918" w:type="dxa"/>
            <w:tcBorders>
              <w:top w:val="single" w:sz="4" w:space="0" w:color="000000"/>
              <w:left w:val="nil"/>
              <w:bottom w:val="nil"/>
              <w:right w:val="nil"/>
            </w:tcBorders>
            <w:shd w:val="clear" w:color="auto" w:fill="auto"/>
            <w:vAlign w:val="center"/>
          </w:tcPr>
          <w:p w:rsidR="00F94637" w:rsidRPr="002B68E0" w:rsidRDefault="00F94637" w:rsidP="00FE5015">
            <w:pPr>
              <w:rPr>
                <w:rFonts w:eastAsia="Cambria"/>
                <w:sz w:val="22"/>
                <w:szCs w:val="22"/>
              </w:rPr>
            </w:pPr>
            <w:r w:rsidRPr="002B68E0">
              <w:rPr>
                <w:rFonts w:eastAsia="Cambria"/>
                <w:sz w:val="22"/>
                <w:szCs w:val="22"/>
              </w:rPr>
              <w:t>UNT</w:t>
            </w:r>
          </w:p>
        </w:tc>
        <w:tc>
          <w:tcPr>
            <w:tcW w:w="2046" w:type="dxa"/>
            <w:tcBorders>
              <w:top w:val="single" w:sz="4" w:space="0" w:color="000000"/>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Trifloxystrobin</w:t>
            </w:r>
          </w:p>
        </w:tc>
        <w:tc>
          <w:tcPr>
            <w:tcW w:w="868" w:type="dxa"/>
            <w:tcBorders>
              <w:top w:val="single" w:sz="4" w:space="0" w:color="000000"/>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0.38</w:t>
            </w:r>
          </w:p>
        </w:tc>
        <w:tc>
          <w:tcPr>
            <w:tcW w:w="732" w:type="dxa"/>
            <w:tcBorders>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c>
          <w:tcPr>
            <w:tcW w:w="732" w:type="dxa"/>
            <w:tcBorders>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6.0</w:t>
            </w:r>
          </w:p>
        </w:tc>
        <w:tc>
          <w:tcPr>
            <w:tcW w:w="732" w:type="dxa"/>
            <w:tcBorders>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6.0</w:t>
            </w:r>
          </w:p>
        </w:tc>
        <w:tc>
          <w:tcPr>
            <w:tcW w:w="732" w:type="dxa"/>
            <w:tcBorders>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6.4</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Fluoxastrobin</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0.55</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6.5</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Pyraclostrobin (SC)</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0.55</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6.4</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6.4</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6.6</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Azoxystrobin (TL)</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0.61</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6.2</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6.2</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6.4</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Azoxystrobin (WDG)</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0.61</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6.2</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6.1</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6.4</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Pyraclostrobin (WG)</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0.55</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12D4D" w:rsidP="002B68E0">
            <w:pPr>
              <w:tabs>
                <w:tab w:val="left" w:pos="1698"/>
              </w:tabs>
              <w:ind w:left="-50" w:right="-70"/>
              <w:jc w:val="center"/>
              <w:rPr>
                <w:rFonts w:eastAsia="Cambria"/>
                <w:color w:val="000000"/>
                <w:sz w:val="22"/>
                <w:szCs w:val="22"/>
              </w:rPr>
            </w:pPr>
            <w:r>
              <w:rPr>
                <w:rFonts w:eastAsia="Cambria"/>
                <w:color w:val="000000"/>
                <w:sz w:val="22"/>
                <w:szCs w:val="22"/>
              </w:rPr>
              <w:t>Non-treated control</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6.1</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6.0</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r w:rsidRPr="002B68E0">
              <w:rPr>
                <w:rFonts w:eastAsia="Cambria"/>
                <w:sz w:val="22"/>
                <w:szCs w:val="22"/>
              </w:rPr>
              <w:t>OS</w:t>
            </w: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Trifloxystrobin</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0.38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Fluoxastrobin</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0.55</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7.0</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6.2</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6.6</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Pyraclostrobin (SC)</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0.55</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6.2</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6.1</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6.5</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Azoxystrobin (TL)</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0.61</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6.4</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Azoxystrobin (WDG)</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0.61</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6.8</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6.4</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color w:val="000000"/>
                <w:sz w:val="22"/>
                <w:szCs w:val="22"/>
              </w:rPr>
              <w:t>Pyraclostrobin (WG)</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0.55</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6.3</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r>
      <w:tr w:rsidR="00F94637" w:rsidRPr="006A3515" w:rsidTr="00B72406">
        <w:trPr>
          <w:trHeight w:val="430"/>
        </w:trPr>
        <w:tc>
          <w:tcPr>
            <w:tcW w:w="918" w:type="dxa"/>
            <w:tcBorders>
              <w:top w:val="nil"/>
              <w:left w:val="nil"/>
              <w:bottom w:val="nil"/>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nil"/>
              <w:right w:val="nil"/>
            </w:tcBorders>
            <w:shd w:val="clear" w:color="auto" w:fill="auto"/>
            <w:vAlign w:val="center"/>
          </w:tcPr>
          <w:p w:rsidR="00F94637" w:rsidRPr="002B68E0" w:rsidRDefault="00F12D4D" w:rsidP="002B68E0">
            <w:pPr>
              <w:tabs>
                <w:tab w:val="left" w:pos="1698"/>
              </w:tabs>
              <w:ind w:left="-50" w:right="-70"/>
              <w:jc w:val="center"/>
              <w:rPr>
                <w:rFonts w:eastAsia="Cambria"/>
                <w:color w:val="000000"/>
                <w:sz w:val="22"/>
                <w:szCs w:val="22"/>
              </w:rPr>
            </w:pPr>
            <w:r>
              <w:rPr>
                <w:rFonts w:eastAsia="Cambria"/>
                <w:color w:val="000000"/>
                <w:sz w:val="22"/>
                <w:szCs w:val="22"/>
              </w:rPr>
              <w:t>Non-treated control</w:t>
            </w:r>
          </w:p>
        </w:tc>
        <w:tc>
          <w:tcPr>
            <w:tcW w:w="868"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6.9</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6.2</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6.2</w:t>
            </w:r>
          </w:p>
        </w:tc>
        <w:tc>
          <w:tcPr>
            <w:tcW w:w="732" w:type="dxa"/>
            <w:tcBorders>
              <w:top w:val="nil"/>
              <w:left w:val="nil"/>
              <w:bottom w:val="nil"/>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6.7</w:t>
            </w:r>
          </w:p>
        </w:tc>
      </w:tr>
      <w:tr w:rsidR="00F94637" w:rsidRPr="006A3515" w:rsidTr="00B72406">
        <w:trPr>
          <w:trHeight w:val="430"/>
        </w:trPr>
        <w:tc>
          <w:tcPr>
            <w:tcW w:w="918" w:type="dxa"/>
            <w:tcBorders>
              <w:top w:val="nil"/>
              <w:left w:val="nil"/>
              <w:bottom w:val="single" w:sz="4" w:space="0" w:color="000000"/>
              <w:right w:val="nil"/>
            </w:tcBorders>
            <w:shd w:val="clear" w:color="auto" w:fill="auto"/>
            <w:vAlign w:val="center"/>
          </w:tcPr>
          <w:p w:rsidR="00F94637" w:rsidRPr="002B68E0" w:rsidRDefault="00F94637" w:rsidP="00FE5015">
            <w:pPr>
              <w:rPr>
                <w:rFonts w:eastAsia="Cambria"/>
                <w:sz w:val="22"/>
                <w:szCs w:val="22"/>
              </w:rPr>
            </w:pPr>
          </w:p>
        </w:tc>
        <w:tc>
          <w:tcPr>
            <w:tcW w:w="2046" w:type="dxa"/>
            <w:tcBorders>
              <w:top w:val="nil"/>
              <w:left w:val="nil"/>
              <w:bottom w:val="single" w:sz="4" w:space="0" w:color="000000"/>
              <w:right w:val="nil"/>
            </w:tcBorders>
            <w:shd w:val="clear" w:color="auto" w:fill="auto"/>
            <w:vAlign w:val="center"/>
          </w:tcPr>
          <w:p w:rsidR="00F94637" w:rsidRPr="002B68E0" w:rsidRDefault="00F94637" w:rsidP="002B68E0">
            <w:pPr>
              <w:tabs>
                <w:tab w:val="left" w:pos="1698"/>
              </w:tabs>
              <w:ind w:left="-50" w:right="-70"/>
              <w:jc w:val="center"/>
              <w:rPr>
                <w:rFonts w:eastAsia="Cambria"/>
                <w:color w:val="000000"/>
                <w:sz w:val="22"/>
                <w:szCs w:val="22"/>
              </w:rPr>
            </w:pPr>
            <w:r w:rsidRPr="002B68E0">
              <w:rPr>
                <w:rFonts w:eastAsia="Cambria"/>
                <w:sz w:val="22"/>
                <w:szCs w:val="22"/>
              </w:rPr>
              <w:t>LSD</w:t>
            </w:r>
            <w:r w:rsidRPr="002B68E0">
              <w:rPr>
                <w:rFonts w:eastAsia="Cambria"/>
                <w:sz w:val="22"/>
                <w:szCs w:val="22"/>
                <w:vertAlign w:val="subscript"/>
              </w:rPr>
              <w:t>0.05</w:t>
            </w:r>
          </w:p>
        </w:tc>
        <w:tc>
          <w:tcPr>
            <w:tcW w:w="868" w:type="dxa"/>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color w:val="000000"/>
                <w:sz w:val="22"/>
                <w:szCs w:val="22"/>
              </w:rPr>
            </w:pPr>
          </w:p>
        </w:tc>
        <w:tc>
          <w:tcPr>
            <w:tcW w:w="732" w:type="dxa"/>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sz w:val="22"/>
                <w:szCs w:val="22"/>
              </w:rPr>
              <w:t>NS</w:t>
            </w:r>
            <w:r w:rsidR="008201DA" w:rsidRPr="008201DA">
              <w:rPr>
                <w:sz w:val="22"/>
                <w:szCs w:val="22"/>
              </w:rPr>
              <w:t>‡</w:t>
            </w:r>
          </w:p>
        </w:tc>
        <w:tc>
          <w:tcPr>
            <w:tcW w:w="732" w:type="dxa"/>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NS</w:t>
            </w:r>
          </w:p>
        </w:tc>
        <w:tc>
          <w:tcPr>
            <w:tcW w:w="732" w:type="dxa"/>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NS</w:t>
            </w:r>
          </w:p>
        </w:tc>
        <w:tc>
          <w:tcPr>
            <w:tcW w:w="732" w:type="dxa"/>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NS</w:t>
            </w:r>
          </w:p>
        </w:tc>
        <w:tc>
          <w:tcPr>
            <w:tcW w:w="732" w:type="dxa"/>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NS</w:t>
            </w:r>
          </w:p>
        </w:tc>
        <w:tc>
          <w:tcPr>
            <w:tcW w:w="732" w:type="dxa"/>
            <w:tcBorders>
              <w:top w:val="nil"/>
              <w:left w:val="nil"/>
              <w:bottom w:val="single" w:sz="4" w:space="0" w:color="000000"/>
              <w:right w:val="nil"/>
            </w:tcBorders>
            <w:shd w:val="clear" w:color="auto" w:fill="auto"/>
            <w:vAlign w:val="center"/>
          </w:tcPr>
          <w:p w:rsidR="00F94637" w:rsidRPr="002B68E0" w:rsidRDefault="00F94637" w:rsidP="00FE5015">
            <w:pPr>
              <w:jc w:val="center"/>
              <w:rPr>
                <w:rFonts w:eastAsia="Cambria"/>
                <w:color w:val="000000"/>
                <w:sz w:val="22"/>
                <w:szCs w:val="22"/>
              </w:rPr>
            </w:pPr>
            <w:r w:rsidRPr="002B68E0">
              <w:rPr>
                <w:rFonts w:eastAsia="Cambria"/>
                <w:color w:val="000000"/>
                <w:sz w:val="22"/>
                <w:szCs w:val="22"/>
              </w:rPr>
              <w:t>NS</w:t>
            </w:r>
          </w:p>
        </w:tc>
      </w:tr>
      <w:tr w:rsidR="00F94637" w:rsidRPr="006A3515" w:rsidTr="00B72406">
        <w:trPr>
          <w:trHeight w:val="253"/>
        </w:trPr>
        <w:tc>
          <w:tcPr>
            <w:tcW w:w="8224" w:type="dxa"/>
            <w:gridSpan w:val="9"/>
            <w:tcBorders>
              <w:top w:val="single" w:sz="4" w:space="0" w:color="000000"/>
              <w:left w:val="nil"/>
              <w:bottom w:val="nil"/>
              <w:right w:val="nil"/>
            </w:tcBorders>
            <w:shd w:val="clear" w:color="auto" w:fill="auto"/>
            <w:vAlign w:val="center"/>
          </w:tcPr>
          <w:p w:rsidR="00F94637" w:rsidRPr="006A3515" w:rsidRDefault="00F94637" w:rsidP="007D4682">
            <w:pPr>
              <w:rPr>
                <w:rFonts w:eastAsia="Cambria"/>
                <w:color w:val="000000"/>
                <w:sz w:val="20"/>
                <w:szCs w:val="20"/>
              </w:rPr>
            </w:pPr>
            <w:r w:rsidRPr="006A3515">
              <w:rPr>
                <w:rFonts w:eastAsia="Cambria"/>
                <w:sz w:val="20"/>
                <w:szCs w:val="20"/>
              </w:rPr>
              <w:t>†</w:t>
            </w:r>
            <w:r w:rsidRPr="006A3515">
              <w:rPr>
                <w:sz w:val="20"/>
                <w:szCs w:val="20"/>
              </w:rPr>
              <w:t xml:space="preserve"> </w:t>
            </w:r>
            <w:r w:rsidRPr="006A3515">
              <w:rPr>
                <w:rFonts w:eastAsia="Cambria"/>
                <w:sz w:val="20"/>
                <w:szCs w:val="20"/>
              </w:rPr>
              <w:t xml:space="preserve">Whole plots included an overspray (OS) of a fungicide mixture containing chlorothalonil and iprodione applied every 14 days to control foliar disease at </w:t>
            </w:r>
            <w:r w:rsidR="007D4682">
              <w:rPr>
                <w:rFonts w:eastAsia="Cambria"/>
                <w:sz w:val="20"/>
                <w:szCs w:val="20"/>
              </w:rPr>
              <w:t>8.05 and 3.05</w:t>
            </w:r>
            <w:r w:rsidRPr="006A3515">
              <w:rPr>
                <w:rFonts w:eastAsia="Cambria"/>
                <w:sz w:val="20"/>
                <w:szCs w:val="20"/>
              </w:rPr>
              <w:t xml:space="preserve"> kg a</w:t>
            </w:r>
            <w:r w:rsidR="00555D87">
              <w:rPr>
                <w:rFonts w:eastAsia="Cambria"/>
                <w:sz w:val="20"/>
                <w:szCs w:val="20"/>
              </w:rPr>
              <w:t xml:space="preserve">I </w:t>
            </w:r>
            <w:r w:rsidRPr="006A3515">
              <w:rPr>
                <w:rFonts w:eastAsia="Cambria"/>
                <w:sz w:val="20"/>
                <w:szCs w:val="20"/>
              </w:rPr>
              <w:t>ha</w:t>
            </w:r>
            <w:r w:rsidR="006B3F29" w:rsidRPr="006B3F29">
              <w:rPr>
                <w:rFonts w:eastAsia="Cambria"/>
                <w:sz w:val="20"/>
                <w:szCs w:val="20"/>
                <w:vertAlign w:val="superscript"/>
              </w:rPr>
              <w:t>-1</w:t>
            </w:r>
            <w:r w:rsidRPr="006A3515">
              <w:rPr>
                <w:rFonts w:eastAsia="Cambria"/>
                <w:sz w:val="20"/>
                <w:szCs w:val="20"/>
              </w:rPr>
              <w:t>, respectively, and an untreated treatment (UNT).</w:t>
            </w:r>
          </w:p>
        </w:tc>
      </w:tr>
      <w:tr w:rsidR="008201DA" w:rsidRPr="006A3515" w:rsidTr="00B72406">
        <w:trPr>
          <w:trHeight w:val="253"/>
        </w:trPr>
        <w:tc>
          <w:tcPr>
            <w:tcW w:w="8224" w:type="dxa"/>
            <w:gridSpan w:val="9"/>
            <w:tcBorders>
              <w:top w:val="nil"/>
              <w:left w:val="nil"/>
              <w:bottom w:val="nil"/>
              <w:right w:val="nil"/>
            </w:tcBorders>
            <w:shd w:val="clear" w:color="auto" w:fill="auto"/>
            <w:vAlign w:val="center"/>
          </w:tcPr>
          <w:p w:rsidR="008201DA" w:rsidRPr="006A3515" w:rsidRDefault="008201DA" w:rsidP="007D4682">
            <w:pPr>
              <w:rPr>
                <w:rFonts w:eastAsia="Cambria"/>
                <w:sz w:val="20"/>
                <w:szCs w:val="20"/>
              </w:rPr>
            </w:pPr>
            <w:r w:rsidRPr="00777DF2">
              <w:rPr>
                <w:sz w:val="20"/>
                <w:szCs w:val="20"/>
              </w:rPr>
              <w:t>‡</w:t>
            </w:r>
            <w:r>
              <w:rPr>
                <w:sz w:val="20"/>
                <w:szCs w:val="20"/>
              </w:rPr>
              <w:t xml:space="preserve"> NS, not significant.</w:t>
            </w:r>
            <w:r>
              <w:rPr>
                <w:rFonts w:eastAsia="Cambria"/>
                <w:color w:val="000000"/>
                <w:sz w:val="20"/>
                <w:szCs w:val="20"/>
              </w:rPr>
              <w:t xml:space="preserve"> </w:t>
            </w:r>
          </w:p>
        </w:tc>
      </w:tr>
    </w:tbl>
    <w:p w:rsidR="00F94637" w:rsidRPr="006A3515" w:rsidRDefault="00F94637" w:rsidP="00F94637"/>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BE5250" w:rsidRPr="008201DA" w:rsidRDefault="00BE5250" w:rsidP="00F94637"/>
    <w:tbl>
      <w:tblPr>
        <w:tblpPr w:leftFromText="180" w:rightFromText="180" w:vertAnchor="text" w:horzAnchor="margin" w:tblpY="262"/>
        <w:tblW w:w="8324" w:type="dxa"/>
        <w:tblBorders>
          <w:right w:val="single" w:sz="4" w:space="0" w:color="000000"/>
        </w:tblBorders>
        <w:tblLook w:val="04A0"/>
      </w:tblPr>
      <w:tblGrid>
        <w:gridCol w:w="1061"/>
        <w:gridCol w:w="1646"/>
        <w:gridCol w:w="518"/>
        <w:gridCol w:w="883"/>
        <w:gridCol w:w="881"/>
        <w:gridCol w:w="803"/>
        <w:gridCol w:w="804"/>
        <w:gridCol w:w="841"/>
        <w:gridCol w:w="887"/>
      </w:tblGrid>
      <w:tr w:rsidR="00F94637" w:rsidRPr="008201DA" w:rsidTr="00B72406">
        <w:trPr>
          <w:trHeight w:val="584"/>
        </w:trPr>
        <w:tc>
          <w:tcPr>
            <w:tcW w:w="8322" w:type="dxa"/>
            <w:gridSpan w:val="9"/>
            <w:tcBorders>
              <w:bottom w:val="single" w:sz="4" w:space="0" w:color="000000"/>
              <w:right w:val="nil"/>
            </w:tcBorders>
            <w:shd w:val="clear" w:color="auto" w:fill="auto"/>
            <w:vAlign w:val="center"/>
          </w:tcPr>
          <w:p w:rsidR="00F94637" w:rsidRPr="00051556" w:rsidRDefault="00F94637" w:rsidP="00051556">
            <w:pPr>
              <w:pStyle w:val="Heading2"/>
              <w:jc w:val="left"/>
              <w:rPr>
                <w:rFonts w:eastAsia="Cambria"/>
                <w:sz w:val="23"/>
                <w:szCs w:val="23"/>
              </w:rPr>
            </w:pPr>
            <w:bookmarkStart w:id="120" w:name="_Toc353890916"/>
            <w:bookmarkStart w:id="121" w:name="_Toc353892657"/>
            <w:r w:rsidRPr="00051556">
              <w:rPr>
                <w:rFonts w:eastAsia="Cambria"/>
                <w:sz w:val="23"/>
                <w:szCs w:val="23"/>
              </w:rPr>
              <w:t xml:space="preserve">Table </w:t>
            </w:r>
            <w:r w:rsidR="008201DA" w:rsidRPr="00051556">
              <w:rPr>
                <w:rFonts w:eastAsia="Cambria"/>
                <w:sz w:val="23"/>
                <w:szCs w:val="23"/>
              </w:rPr>
              <w:t>3</w:t>
            </w:r>
            <w:r w:rsidRPr="00051556">
              <w:rPr>
                <w:rFonts w:eastAsia="Cambria"/>
                <w:sz w:val="23"/>
                <w:szCs w:val="23"/>
              </w:rPr>
              <w:t>.2. Analysis of variance (Pooled across two experimental runs) for turfgrass quality and turfgrass cover</w:t>
            </w:r>
            <w:r w:rsidR="00555D87" w:rsidRPr="00051556">
              <w:rPr>
                <w:rFonts w:eastAsia="Cambria"/>
                <w:sz w:val="23"/>
                <w:szCs w:val="23"/>
              </w:rPr>
              <w:t xml:space="preserve"> data collected</w:t>
            </w:r>
            <w:r w:rsidRPr="00051556">
              <w:rPr>
                <w:rFonts w:eastAsia="Cambria"/>
                <w:sz w:val="23"/>
                <w:szCs w:val="23"/>
              </w:rPr>
              <w:t xml:space="preserve"> on </w:t>
            </w:r>
            <w:r w:rsidR="00555D87" w:rsidRPr="00051556">
              <w:rPr>
                <w:rFonts w:eastAsia="Cambria"/>
                <w:sz w:val="23"/>
                <w:szCs w:val="23"/>
              </w:rPr>
              <w:t>a ‘</w:t>
            </w:r>
            <w:r w:rsidRPr="00051556">
              <w:rPr>
                <w:rFonts w:eastAsia="Cambria"/>
                <w:sz w:val="23"/>
                <w:szCs w:val="23"/>
              </w:rPr>
              <w:t xml:space="preserve">Dominant </w:t>
            </w:r>
            <w:r w:rsidR="00555D87" w:rsidRPr="00051556">
              <w:rPr>
                <w:rFonts w:eastAsia="Cambria"/>
                <w:sz w:val="23"/>
                <w:szCs w:val="23"/>
              </w:rPr>
              <w:t>S</w:t>
            </w:r>
            <w:r w:rsidRPr="00051556">
              <w:rPr>
                <w:rFonts w:eastAsia="Cambria"/>
                <w:sz w:val="23"/>
                <w:szCs w:val="23"/>
              </w:rPr>
              <w:t>outhern</w:t>
            </w:r>
            <w:r w:rsidR="00555D87" w:rsidRPr="00051556">
              <w:rPr>
                <w:rFonts w:eastAsia="Cambria"/>
                <w:sz w:val="23"/>
                <w:szCs w:val="23"/>
              </w:rPr>
              <w:t>’</w:t>
            </w:r>
            <w:r w:rsidRPr="00051556">
              <w:rPr>
                <w:rFonts w:eastAsia="Cambria"/>
                <w:sz w:val="23"/>
                <w:szCs w:val="23"/>
              </w:rPr>
              <w:t xml:space="preserve"> creeping bentgrass</w:t>
            </w:r>
            <w:r w:rsidR="00555D87" w:rsidRPr="00051556">
              <w:rPr>
                <w:rFonts w:eastAsia="Cambria"/>
                <w:sz w:val="23"/>
                <w:szCs w:val="23"/>
              </w:rPr>
              <w:t xml:space="preserve"> (</w:t>
            </w:r>
            <w:r w:rsidR="006B3F29" w:rsidRPr="00051556">
              <w:rPr>
                <w:rFonts w:eastAsia="Cambria"/>
                <w:i/>
                <w:sz w:val="23"/>
                <w:szCs w:val="23"/>
              </w:rPr>
              <w:t>Agrostis stolonifera</w:t>
            </w:r>
            <w:r w:rsidR="004A2853" w:rsidRPr="00051556">
              <w:rPr>
                <w:rFonts w:eastAsia="Cambria"/>
                <w:sz w:val="23"/>
                <w:szCs w:val="23"/>
              </w:rPr>
              <w:t xml:space="preserve"> L.</w:t>
            </w:r>
            <w:r w:rsidR="00555D87" w:rsidRPr="00051556">
              <w:rPr>
                <w:rFonts w:eastAsia="Cambria"/>
                <w:sz w:val="23"/>
                <w:szCs w:val="23"/>
              </w:rPr>
              <w:t>) putting green</w:t>
            </w:r>
            <w:r w:rsidRPr="00051556">
              <w:rPr>
                <w:rFonts w:eastAsia="Cambria"/>
                <w:sz w:val="23"/>
                <w:szCs w:val="23"/>
              </w:rPr>
              <w:t xml:space="preserve"> subjected to various strobilurin fungicide treatments and overspray combinations in </w:t>
            </w:r>
            <w:r w:rsidR="004A2853" w:rsidRPr="00051556">
              <w:rPr>
                <w:rFonts w:eastAsia="Cambria"/>
                <w:sz w:val="23"/>
                <w:szCs w:val="23"/>
              </w:rPr>
              <w:t>2011 and 2012</w:t>
            </w:r>
            <w:r w:rsidRPr="00051556">
              <w:rPr>
                <w:rFonts w:eastAsia="Cambria"/>
                <w:sz w:val="23"/>
                <w:szCs w:val="23"/>
              </w:rPr>
              <w:t>.</w:t>
            </w:r>
            <w:bookmarkEnd w:id="120"/>
            <w:bookmarkEnd w:id="121"/>
          </w:p>
        </w:tc>
      </w:tr>
      <w:tr w:rsidR="00F94637" w:rsidRPr="006A3515" w:rsidTr="00B72406">
        <w:trPr>
          <w:trHeight w:val="362"/>
        </w:trPr>
        <w:tc>
          <w:tcPr>
            <w:tcW w:w="3219" w:type="dxa"/>
            <w:gridSpan w:val="3"/>
            <w:tcBorders>
              <w:top w:val="single" w:sz="4" w:space="0" w:color="000000"/>
              <w:bottom w:val="nil"/>
              <w:right w:val="nil"/>
            </w:tcBorders>
            <w:shd w:val="clear" w:color="auto" w:fill="auto"/>
            <w:vAlign w:val="center"/>
          </w:tcPr>
          <w:p w:rsidR="00F94637" w:rsidRPr="008201DA" w:rsidRDefault="00F94637" w:rsidP="008201DA">
            <w:pPr>
              <w:rPr>
                <w:rFonts w:eastAsia="Cambria"/>
                <w:b/>
                <w:sz w:val="22"/>
                <w:szCs w:val="22"/>
              </w:rPr>
            </w:pPr>
          </w:p>
        </w:tc>
        <w:tc>
          <w:tcPr>
            <w:tcW w:w="5103" w:type="dxa"/>
            <w:gridSpan w:val="6"/>
            <w:tcBorders>
              <w:top w:val="single" w:sz="4" w:space="0" w:color="000000"/>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Days after initial treatment</w:t>
            </w:r>
          </w:p>
        </w:tc>
      </w:tr>
      <w:tr w:rsidR="00F94637" w:rsidRPr="006A3515" w:rsidTr="00B72406">
        <w:trPr>
          <w:trHeight w:val="362"/>
        </w:trPr>
        <w:tc>
          <w:tcPr>
            <w:tcW w:w="1055" w:type="dxa"/>
            <w:tcBorders>
              <w:top w:val="nil"/>
              <w:bottom w:val="single" w:sz="4" w:space="0" w:color="000000"/>
              <w:right w:val="nil"/>
            </w:tcBorders>
            <w:shd w:val="clear" w:color="auto" w:fill="auto"/>
            <w:vAlign w:val="center"/>
          </w:tcPr>
          <w:p w:rsidR="00F94637" w:rsidRPr="008201DA" w:rsidRDefault="00F94637" w:rsidP="008201DA">
            <w:pPr>
              <w:rPr>
                <w:rFonts w:eastAsia="Cambria"/>
                <w:b/>
                <w:sz w:val="22"/>
                <w:szCs w:val="22"/>
              </w:rPr>
            </w:pPr>
          </w:p>
        </w:tc>
        <w:tc>
          <w:tcPr>
            <w:tcW w:w="1646" w:type="dxa"/>
            <w:tcBorders>
              <w:top w:val="nil"/>
              <w:left w:val="nil"/>
              <w:bottom w:val="single" w:sz="4" w:space="0" w:color="000000"/>
              <w:right w:val="nil"/>
            </w:tcBorders>
            <w:shd w:val="clear" w:color="auto" w:fill="auto"/>
            <w:vAlign w:val="center"/>
          </w:tcPr>
          <w:p w:rsidR="00F94637" w:rsidRPr="008201DA" w:rsidRDefault="00F94637" w:rsidP="008201DA">
            <w:pPr>
              <w:rPr>
                <w:rFonts w:eastAsia="Cambria"/>
                <w:b/>
                <w:sz w:val="22"/>
                <w:szCs w:val="22"/>
              </w:rPr>
            </w:pPr>
          </w:p>
        </w:tc>
        <w:tc>
          <w:tcPr>
            <w:tcW w:w="518" w:type="dxa"/>
            <w:tcBorders>
              <w:top w:val="nil"/>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df</w:t>
            </w:r>
          </w:p>
        </w:tc>
        <w:tc>
          <w:tcPr>
            <w:tcW w:w="884" w:type="dxa"/>
            <w:tcBorders>
              <w:top w:val="single" w:sz="4" w:space="0" w:color="000000"/>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14</w:t>
            </w:r>
          </w:p>
        </w:tc>
        <w:tc>
          <w:tcPr>
            <w:tcW w:w="882" w:type="dxa"/>
            <w:tcBorders>
              <w:top w:val="single" w:sz="4" w:space="0" w:color="000000"/>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28</w:t>
            </w:r>
          </w:p>
        </w:tc>
        <w:tc>
          <w:tcPr>
            <w:tcW w:w="804" w:type="dxa"/>
            <w:tcBorders>
              <w:top w:val="single" w:sz="4" w:space="0" w:color="000000"/>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42</w:t>
            </w:r>
          </w:p>
        </w:tc>
        <w:tc>
          <w:tcPr>
            <w:tcW w:w="805" w:type="dxa"/>
            <w:tcBorders>
              <w:top w:val="single" w:sz="4" w:space="0" w:color="000000"/>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56</w:t>
            </w:r>
          </w:p>
        </w:tc>
        <w:tc>
          <w:tcPr>
            <w:tcW w:w="842" w:type="dxa"/>
            <w:tcBorders>
              <w:top w:val="single" w:sz="4" w:space="0" w:color="000000"/>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70</w:t>
            </w:r>
          </w:p>
        </w:tc>
        <w:tc>
          <w:tcPr>
            <w:tcW w:w="888" w:type="dxa"/>
            <w:tcBorders>
              <w:top w:val="single" w:sz="4" w:space="0" w:color="000000"/>
              <w:left w:val="nil"/>
              <w:bottom w:val="single" w:sz="4" w:space="0" w:color="000000"/>
              <w:right w:val="nil"/>
            </w:tcBorders>
            <w:shd w:val="clear" w:color="auto" w:fill="auto"/>
            <w:vAlign w:val="center"/>
          </w:tcPr>
          <w:p w:rsidR="00F94637" w:rsidRPr="008201DA" w:rsidRDefault="00F94637" w:rsidP="008201DA">
            <w:pPr>
              <w:jc w:val="center"/>
              <w:rPr>
                <w:rFonts w:eastAsia="Cambria"/>
                <w:b/>
                <w:sz w:val="22"/>
                <w:szCs w:val="22"/>
              </w:rPr>
            </w:pPr>
            <w:r w:rsidRPr="008201DA">
              <w:rPr>
                <w:rFonts w:eastAsia="Cambria"/>
                <w:b/>
                <w:sz w:val="22"/>
                <w:szCs w:val="22"/>
              </w:rPr>
              <w:t>84</w:t>
            </w:r>
          </w:p>
        </w:tc>
      </w:tr>
      <w:tr w:rsidR="00F94637" w:rsidRPr="006A3515" w:rsidTr="00B72406">
        <w:trPr>
          <w:trHeight w:val="362"/>
        </w:trPr>
        <w:tc>
          <w:tcPr>
            <w:tcW w:w="1055" w:type="dxa"/>
            <w:tcBorders>
              <w:top w:val="single" w:sz="4" w:space="0" w:color="000000"/>
              <w:bottom w:val="nil"/>
            </w:tcBorders>
            <w:shd w:val="clear" w:color="auto" w:fill="auto"/>
            <w:vAlign w:val="center"/>
          </w:tcPr>
          <w:p w:rsidR="00F94637" w:rsidRPr="008201DA" w:rsidRDefault="00F94637" w:rsidP="008201DA">
            <w:pPr>
              <w:rPr>
                <w:rFonts w:eastAsia="Cambria"/>
                <w:color w:val="000000"/>
                <w:sz w:val="22"/>
                <w:szCs w:val="22"/>
              </w:rPr>
            </w:pPr>
          </w:p>
        </w:tc>
        <w:tc>
          <w:tcPr>
            <w:tcW w:w="1646" w:type="dxa"/>
            <w:tcBorders>
              <w:top w:val="single" w:sz="4" w:space="0" w:color="000000"/>
              <w:bottom w:val="nil"/>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Replication</w:t>
            </w:r>
          </w:p>
        </w:tc>
        <w:tc>
          <w:tcPr>
            <w:tcW w:w="518" w:type="dxa"/>
            <w:tcBorders>
              <w:top w:val="single" w:sz="4" w:space="0" w:color="000000"/>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3</w:t>
            </w:r>
          </w:p>
        </w:tc>
        <w:tc>
          <w:tcPr>
            <w:tcW w:w="884" w:type="dxa"/>
            <w:tcBorders>
              <w:top w:val="single" w:sz="4" w:space="0" w:color="000000"/>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NS</w:t>
            </w:r>
            <w:r w:rsidRPr="004A2853">
              <w:rPr>
                <w:rFonts w:eastAsia="Cambria"/>
                <w:color w:val="000000"/>
                <w:sz w:val="22"/>
                <w:szCs w:val="22"/>
                <w:vertAlign w:val="superscript"/>
              </w:rPr>
              <w:t>†</w:t>
            </w:r>
          </w:p>
        </w:tc>
        <w:tc>
          <w:tcPr>
            <w:tcW w:w="882" w:type="dxa"/>
            <w:tcBorders>
              <w:top w:val="single" w:sz="4" w:space="0" w:color="000000"/>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4" w:type="dxa"/>
            <w:tcBorders>
              <w:top w:val="single" w:sz="4" w:space="0" w:color="000000"/>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5" w:type="dxa"/>
            <w:tcBorders>
              <w:top w:val="single" w:sz="4" w:space="0" w:color="000000"/>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42" w:type="dxa"/>
            <w:tcBorders>
              <w:top w:val="single" w:sz="4" w:space="0" w:color="000000"/>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8" w:type="dxa"/>
            <w:tcBorders>
              <w:top w:val="single" w:sz="4" w:space="0" w:color="000000"/>
              <w:bottom w:val="nil"/>
              <w:right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r>
      <w:tr w:rsidR="00F94637" w:rsidRPr="006A3515" w:rsidTr="00B72406">
        <w:trPr>
          <w:trHeight w:val="362"/>
        </w:trPr>
        <w:tc>
          <w:tcPr>
            <w:tcW w:w="1055" w:type="dxa"/>
            <w:vMerge w:val="restart"/>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Turfgrass Quality</w:t>
            </w:r>
          </w:p>
        </w:tc>
        <w:tc>
          <w:tcPr>
            <w:tcW w:w="1646"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Overspray (O)</w:t>
            </w:r>
          </w:p>
        </w:tc>
        <w:tc>
          <w:tcPr>
            <w:tcW w:w="518"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1</w:t>
            </w:r>
          </w:p>
        </w:tc>
        <w:tc>
          <w:tcPr>
            <w:tcW w:w="884"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w:t>
            </w:r>
          </w:p>
        </w:tc>
        <w:tc>
          <w:tcPr>
            <w:tcW w:w="882"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NS</w:t>
            </w:r>
          </w:p>
        </w:tc>
        <w:tc>
          <w:tcPr>
            <w:tcW w:w="804"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w:t>
            </w:r>
          </w:p>
        </w:tc>
        <w:tc>
          <w:tcPr>
            <w:tcW w:w="805"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w:t>
            </w:r>
          </w:p>
        </w:tc>
        <w:tc>
          <w:tcPr>
            <w:tcW w:w="842"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NS</w:t>
            </w:r>
          </w:p>
        </w:tc>
        <w:tc>
          <w:tcPr>
            <w:tcW w:w="888" w:type="dxa"/>
            <w:tcBorders>
              <w:top w:val="nil"/>
              <w:bottom w:val="nil"/>
              <w:right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w:t>
            </w:r>
          </w:p>
        </w:tc>
      </w:tr>
      <w:tr w:rsidR="00F94637" w:rsidRPr="006A3515" w:rsidTr="00B72406">
        <w:trPr>
          <w:trHeight w:val="362"/>
        </w:trPr>
        <w:tc>
          <w:tcPr>
            <w:tcW w:w="1055" w:type="dxa"/>
            <w:vMerge/>
            <w:tcBorders>
              <w:top w:val="nil"/>
              <w:bottom w:val="nil"/>
            </w:tcBorders>
            <w:shd w:val="clear" w:color="auto" w:fill="auto"/>
            <w:vAlign w:val="center"/>
          </w:tcPr>
          <w:p w:rsidR="00F94637" w:rsidRPr="008201DA" w:rsidRDefault="00F94637" w:rsidP="008201DA">
            <w:pPr>
              <w:rPr>
                <w:rFonts w:eastAsia="Cambria"/>
                <w:color w:val="000000"/>
                <w:sz w:val="22"/>
                <w:szCs w:val="22"/>
              </w:rPr>
            </w:pPr>
          </w:p>
        </w:tc>
        <w:tc>
          <w:tcPr>
            <w:tcW w:w="1646"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Fungicide (F)</w:t>
            </w:r>
          </w:p>
        </w:tc>
        <w:tc>
          <w:tcPr>
            <w:tcW w:w="518"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6</w:t>
            </w:r>
          </w:p>
        </w:tc>
        <w:tc>
          <w:tcPr>
            <w:tcW w:w="88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5"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w:t>
            </w:r>
          </w:p>
        </w:tc>
        <w:tc>
          <w:tcPr>
            <w:tcW w:w="84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8" w:type="dxa"/>
            <w:tcBorders>
              <w:top w:val="nil"/>
              <w:bottom w:val="nil"/>
              <w:right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r>
      <w:tr w:rsidR="00F94637" w:rsidRPr="006A3515" w:rsidTr="00B72406">
        <w:trPr>
          <w:trHeight w:val="362"/>
        </w:trPr>
        <w:tc>
          <w:tcPr>
            <w:tcW w:w="1055"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p>
        </w:tc>
        <w:tc>
          <w:tcPr>
            <w:tcW w:w="1646"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O x F</w:t>
            </w:r>
          </w:p>
        </w:tc>
        <w:tc>
          <w:tcPr>
            <w:tcW w:w="518"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6</w:t>
            </w:r>
          </w:p>
        </w:tc>
        <w:tc>
          <w:tcPr>
            <w:tcW w:w="88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5"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4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8" w:type="dxa"/>
            <w:tcBorders>
              <w:top w:val="nil"/>
              <w:bottom w:val="nil"/>
              <w:right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r>
      <w:tr w:rsidR="00F94637" w:rsidRPr="006A3515" w:rsidTr="00B72406">
        <w:trPr>
          <w:trHeight w:val="290"/>
        </w:trPr>
        <w:tc>
          <w:tcPr>
            <w:tcW w:w="8322" w:type="dxa"/>
            <w:gridSpan w:val="9"/>
            <w:tcBorders>
              <w:top w:val="nil"/>
              <w:bottom w:val="nil"/>
              <w:right w:val="nil"/>
            </w:tcBorders>
            <w:shd w:val="clear" w:color="auto" w:fill="auto"/>
            <w:vAlign w:val="center"/>
          </w:tcPr>
          <w:p w:rsidR="00F94637" w:rsidRPr="008201DA" w:rsidRDefault="00F94637" w:rsidP="008201DA">
            <w:pPr>
              <w:rPr>
                <w:rFonts w:eastAsia="Cambria"/>
                <w:color w:val="000000"/>
                <w:sz w:val="22"/>
                <w:szCs w:val="22"/>
              </w:rPr>
            </w:pPr>
          </w:p>
        </w:tc>
      </w:tr>
      <w:tr w:rsidR="00F94637" w:rsidRPr="006A3515" w:rsidTr="00B72406">
        <w:trPr>
          <w:trHeight w:val="362"/>
        </w:trPr>
        <w:tc>
          <w:tcPr>
            <w:tcW w:w="1055"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p>
        </w:tc>
        <w:tc>
          <w:tcPr>
            <w:tcW w:w="1646"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Replication</w:t>
            </w:r>
          </w:p>
        </w:tc>
        <w:tc>
          <w:tcPr>
            <w:tcW w:w="518"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3</w:t>
            </w:r>
          </w:p>
        </w:tc>
        <w:tc>
          <w:tcPr>
            <w:tcW w:w="884"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NS</w:t>
            </w:r>
          </w:p>
        </w:tc>
        <w:tc>
          <w:tcPr>
            <w:tcW w:w="88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5"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4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8" w:type="dxa"/>
            <w:tcBorders>
              <w:top w:val="nil"/>
              <w:bottom w:val="nil"/>
              <w:right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r>
      <w:tr w:rsidR="00F94637" w:rsidRPr="006A3515" w:rsidTr="00B72406">
        <w:trPr>
          <w:trHeight w:val="362"/>
        </w:trPr>
        <w:tc>
          <w:tcPr>
            <w:tcW w:w="1055" w:type="dxa"/>
            <w:vMerge w:val="restart"/>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Turfgrass Cover (%)</w:t>
            </w:r>
          </w:p>
        </w:tc>
        <w:tc>
          <w:tcPr>
            <w:tcW w:w="1646"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Overspray (O)</w:t>
            </w:r>
          </w:p>
        </w:tc>
        <w:tc>
          <w:tcPr>
            <w:tcW w:w="518"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1</w:t>
            </w:r>
          </w:p>
        </w:tc>
        <w:tc>
          <w:tcPr>
            <w:tcW w:w="884"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NS</w:t>
            </w:r>
          </w:p>
        </w:tc>
        <w:tc>
          <w:tcPr>
            <w:tcW w:w="882"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w:t>
            </w:r>
          </w:p>
        </w:tc>
        <w:tc>
          <w:tcPr>
            <w:tcW w:w="80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5"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4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8" w:type="dxa"/>
            <w:tcBorders>
              <w:top w:val="nil"/>
              <w:bottom w:val="nil"/>
              <w:right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r>
      <w:tr w:rsidR="00F94637" w:rsidRPr="006A3515" w:rsidTr="00B72406">
        <w:trPr>
          <w:trHeight w:val="362"/>
        </w:trPr>
        <w:tc>
          <w:tcPr>
            <w:tcW w:w="1055" w:type="dxa"/>
            <w:vMerge/>
            <w:tcBorders>
              <w:top w:val="nil"/>
              <w:bottom w:val="nil"/>
            </w:tcBorders>
            <w:shd w:val="clear" w:color="auto" w:fill="auto"/>
            <w:vAlign w:val="center"/>
          </w:tcPr>
          <w:p w:rsidR="00F94637" w:rsidRPr="008201DA" w:rsidRDefault="00F94637" w:rsidP="008201DA">
            <w:pPr>
              <w:rPr>
                <w:rFonts w:eastAsia="Cambria"/>
                <w:color w:val="000000"/>
                <w:sz w:val="22"/>
                <w:szCs w:val="22"/>
              </w:rPr>
            </w:pPr>
          </w:p>
        </w:tc>
        <w:tc>
          <w:tcPr>
            <w:tcW w:w="1646" w:type="dxa"/>
            <w:tcBorders>
              <w:top w:val="nil"/>
              <w:bottom w:val="nil"/>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Fungicide (F)</w:t>
            </w:r>
          </w:p>
        </w:tc>
        <w:tc>
          <w:tcPr>
            <w:tcW w:w="518"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6</w:t>
            </w:r>
          </w:p>
        </w:tc>
        <w:tc>
          <w:tcPr>
            <w:tcW w:w="88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4"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5" w:type="dxa"/>
            <w:tcBorders>
              <w:top w:val="nil"/>
              <w:bottom w:val="nil"/>
            </w:tcBorders>
            <w:shd w:val="clear" w:color="auto" w:fill="auto"/>
            <w:vAlign w:val="center"/>
          </w:tcPr>
          <w:p w:rsidR="00F94637" w:rsidRPr="008201DA" w:rsidRDefault="00F94637" w:rsidP="008201DA">
            <w:pPr>
              <w:jc w:val="center"/>
              <w:rPr>
                <w:rFonts w:eastAsia="Cambria"/>
                <w:color w:val="000000"/>
                <w:sz w:val="22"/>
                <w:szCs w:val="22"/>
              </w:rPr>
            </w:pPr>
            <w:r w:rsidRPr="008201DA">
              <w:rPr>
                <w:rFonts w:eastAsia="Cambria"/>
                <w:color w:val="000000"/>
                <w:sz w:val="22"/>
                <w:szCs w:val="22"/>
              </w:rPr>
              <w:t>NS</w:t>
            </w:r>
          </w:p>
        </w:tc>
        <w:tc>
          <w:tcPr>
            <w:tcW w:w="842" w:type="dxa"/>
            <w:tcBorders>
              <w:top w:val="nil"/>
              <w:bottom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8" w:type="dxa"/>
            <w:tcBorders>
              <w:top w:val="nil"/>
              <w:bottom w:val="nil"/>
              <w:right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r>
      <w:tr w:rsidR="00F94637" w:rsidRPr="006A3515" w:rsidTr="00B72406">
        <w:trPr>
          <w:trHeight w:val="362"/>
        </w:trPr>
        <w:tc>
          <w:tcPr>
            <w:tcW w:w="1055" w:type="dxa"/>
            <w:tcBorders>
              <w:top w:val="nil"/>
              <w:bottom w:val="single" w:sz="4" w:space="0" w:color="000000"/>
            </w:tcBorders>
            <w:shd w:val="clear" w:color="auto" w:fill="auto"/>
            <w:vAlign w:val="center"/>
          </w:tcPr>
          <w:p w:rsidR="00F94637" w:rsidRPr="008201DA" w:rsidRDefault="00F94637" w:rsidP="008201DA">
            <w:pPr>
              <w:rPr>
                <w:rFonts w:eastAsia="Cambria"/>
                <w:color w:val="000000"/>
                <w:sz w:val="22"/>
                <w:szCs w:val="22"/>
              </w:rPr>
            </w:pPr>
          </w:p>
        </w:tc>
        <w:tc>
          <w:tcPr>
            <w:tcW w:w="1646" w:type="dxa"/>
            <w:tcBorders>
              <w:top w:val="nil"/>
              <w:bottom w:val="single" w:sz="4" w:space="0" w:color="000000"/>
            </w:tcBorders>
            <w:shd w:val="clear" w:color="auto" w:fill="auto"/>
            <w:vAlign w:val="center"/>
          </w:tcPr>
          <w:p w:rsidR="00F94637" w:rsidRPr="008201DA" w:rsidRDefault="00F94637" w:rsidP="008201DA">
            <w:pPr>
              <w:rPr>
                <w:rFonts w:eastAsia="Cambria"/>
                <w:color w:val="000000"/>
                <w:sz w:val="22"/>
                <w:szCs w:val="22"/>
              </w:rPr>
            </w:pPr>
            <w:r w:rsidRPr="008201DA">
              <w:rPr>
                <w:rFonts w:eastAsia="Cambria"/>
                <w:color w:val="000000"/>
                <w:sz w:val="22"/>
                <w:szCs w:val="22"/>
              </w:rPr>
              <w:t>O x F</w:t>
            </w:r>
          </w:p>
        </w:tc>
        <w:tc>
          <w:tcPr>
            <w:tcW w:w="518" w:type="dxa"/>
            <w:tcBorders>
              <w:top w:val="nil"/>
              <w:bottom w:val="single" w:sz="4" w:space="0" w:color="000000"/>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6</w:t>
            </w:r>
          </w:p>
        </w:tc>
        <w:tc>
          <w:tcPr>
            <w:tcW w:w="884" w:type="dxa"/>
            <w:tcBorders>
              <w:top w:val="nil"/>
              <w:bottom w:val="single" w:sz="4" w:space="0" w:color="000000"/>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2" w:type="dxa"/>
            <w:tcBorders>
              <w:top w:val="nil"/>
              <w:bottom w:val="single" w:sz="4" w:space="0" w:color="000000"/>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4" w:type="dxa"/>
            <w:tcBorders>
              <w:top w:val="nil"/>
              <w:bottom w:val="single" w:sz="4" w:space="0" w:color="000000"/>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05" w:type="dxa"/>
            <w:tcBorders>
              <w:top w:val="nil"/>
              <w:bottom w:val="single" w:sz="4" w:space="0" w:color="000000"/>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42" w:type="dxa"/>
            <w:tcBorders>
              <w:top w:val="nil"/>
              <w:bottom w:val="single" w:sz="4" w:space="0" w:color="000000"/>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c>
          <w:tcPr>
            <w:tcW w:w="888" w:type="dxa"/>
            <w:tcBorders>
              <w:top w:val="nil"/>
              <w:bottom w:val="single" w:sz="4" w:space="0" w:color="000000"/>
              <w:right w:val="nil"/>
            </w:tcBorders>
            <w:shd w:val="clear" w:color="auto" w:fill="auto"/>
            <w:vAlign w:val="center"/>
          </w:tcPr>
          <w:p w:rsidR="00F94637" w:rsidRPr="008201DA" w:rsidRDefault="00F94637" w:rsidP="008201DA">
            <w:pPr>
              <w:jc w:val="center"/>
              <w:rPr>
                <w:rFonts w:eastAsia="Cambria"/>
                <w:sz w:val="22"/>
                <w:szCs w:val="22"/>
              </w:rPr>
            </w:pPr>
            <w:r w:rsidRPr="008201DA">
              <w:rPr>
                <w:rFonts w:eastAsia="Cambria"/>
                <w:color w:val="000000"/>
                <w:sz w:val="22"/>
                <w:szCs w:val="22"/>
              </w:rPr>
              <w:t>NS</w:t>
            </w:r>
          </w:p>
        </w:tc>
      </w:tr>
      <w:tr w:rsidR="00F94637" w:rsidRPr="006A3515" w:rsidTr="00B72406">
        <w:trPr>
          <w:trHeight w:val="145"/>
        </w:trPr>
        <w:tc>
          <w:tcPr>
            <w:tcW w:w="8322" w:type="dxa"/>
            <w:gridSpan w:val="9"/>
            <w:tcBorders>
              <w:top w:val="single" w:sz="4" w:space="0" w:color="000000"/>
              <w:bottom w:val="nil"/>
              <w:right w:val="nil"/>
            </w:tcBorders>
            <w:shd w:val="clear" w:color="auto" w:fill="auto"/>
            <w:vAlign w:val="center"/>
          </w:tcPr>
          <w:p w:rsidR="00F94637" w:rsidRPr="006A3515" w:rsidRDefault="008201DA" w:rsidP="008201DA">
            <w:pPr>
              <w:rPr>
                <w:rFonts w:eastAsia="Cambria"/>
                <w:color w:val="000000"/>
                <w:sz w:val="20"/>
                <w:szCs w:val="20"/>
              </w:rPr>
            </w:pPr>
            <w:r w:rsidRPr="008201DA">
              <w:rPr>
                <w:rFonts w:eastAsia="Cambria"/>
                <w:color w:val="000000"/>
                <w:sz w:val="20"/>
                <w:szCs w:val="20"/>
              </w:rPr>
              <w:t>*</w:t>
            </w:r>
            <w:r>
              <w:rPr>
                <w:rFonts w:eastAsia="Cambria"/>
                <w:color w:val="000000"/>
                <w:sz w:val="20"/>
                <w:szCs w:val="20"/>
              </w:rPr>
              <w:t xml:space="preserve"> </w:t>
            </w:r>
            <w:r w:rsidR="00F94637" w:rsidRPr="006A3515">
              <w:rPr>
                <w:rFonts w:eastAsia="Cambria"/>
                <w:color w:val="000000"/>
                <w:sz w:val="20"/>
                <w:szCs w:val="20"/>
              </w:rPr>
              <w:t>Significant at the p ≤ 0.05 level.</w:t>
            </w:r>
          </w:p>
        </w:tc>
      </w:tr>
      <w:tr w:rsidR="008201DA" w:rsidRPr="006A3515" w:rsidTr="00B72406">
        <w:trPr>
          <w:trHeight w:val="145"/>
        </w:trPr>
        <w:tc>
          <w:tcPr>
            <w:tcW w:w="8322" w:type="dxa"/>
            <w:gridSpan w:val="9"/>
            <w:tcBorders>
              <w:top w:val="nil"/>
              <w:bottom w:val="nil"/>
              <w:right w:val="nil"/>
            </w:tcBorders>
            <w:shd w:val="clear" w:color="auto" w:fill="auto"/>
            <w:vAlign w:val="center"/>
          </w:tcPr>
          <w:p w:rsidR="008201DA" w:rsidRPr="006A3515" w:rsidRDefault="008201DA" w:rsidP="008201DA">
            <w:pPr>
              <w:rPr>
                <w:rFonts w:eastAsia="Cambria"/>
                <w:color w:val="000000"/>
                <w:sz w:val="20"/>
                <w:szCs w:val="20"/>
              </w:rPr>
            </w:pPr>
            <w:r w:rsidRPr="006A3515">
              <w:rPr>
                <w:rFonts w:eastAsia="Cambria"/>
                <w:color w:val="000000"/>
                <w:sz w:val="20"/>
                <w:szCs w:val="20"/>
              </w:rPr>
              <w:t>**</w:t>
            </w:r>
            <w:r>
              <w:rPr>
                <w:rFonts w:eastAsia="Cambria"/>
                <w:color w:val="000000"/>
                <w:sz w:val="20"/>
                <w:szCs w:val="20"/>
              </w:rPr>
              <w:t xml:space="preserve"> </w:t>
            </w:r>
            <w:r w:rsidRPr="006A3515">
              <w:rPr>
                <w:rFonts w:eastAsia="Cambria"/>
                <w:color w:val="000000"/>
                <w:sz w:val="20"/>
                <w:szCs w:val="20"/>
              </w:rPr>
              <w:t>Significant at the p ≤ 0.01 level</w:t>
            </w:r>
          </w:p>
        </w:tc>
      </w:tr>
      <w:tr w:rsidR="008201DA" w:rsidRPr="006A3515" w:rsidTr="00B72406">
        <w:trPr>
          <w:trHeight w:val="145"/>
        </w:trPr>
        <w:tc>
          <w:tcPr>
            <w:tcW w:w="8322" w:type="dxa"/>
            <w:gridSpan w:val="9"/>
            <w:tcBorders>
              <w:top w:val="nil"/>
              <w:bottom w:val="nil"/>
              <w:right w:val="nil"/>
            </w:tcBorders>
            <w:shd w:val="clear" w:color="auto" w:fill="auto"/>
            <w:vAlign w:val="center"/>
          </w:tcPr>
          <w:p w:rsidR="008201DA" w:rsidRPr="006A3515" w:rsidRDefault="008201DA" w:rsidP="008201DA">
            <w:pPr>
              <w:rPr>
                <w:rFonts w:eastAsia="Cambria"/>
                <w:color w:val="000000"/>
                <w:sz w:val="20"/>
                <w:szCs w:val="20"/>
              </w:rPr>
            </w:pPr>
            <w:r w:rsidRPr="006A3515">
              <w:rPr>
                <w:rFonts w:eastAsia="Cambria"/>
                <w:color w:val="000000"/>
                <w:sz w:val="20"/>
                <w:szCs w:val="20"/>
              </w:rPr>
              <w:t>***</w:t>
            </w:r>
            <w:r>
              <w:rPr>
                <w:rFonts w:eastAsia="Cambria"/>
                <w:color w:val="000000"/>
                <w:sz w:val="20"/>
                <w:szCs w:val="20"/>
              </w:rPr>
              <w:t xml:space="preserve"> </w:t>
            </w:r>
            <w:r w:rsidRPr="006A3515">
              <w:rPr>
                <w:rFonts w:eastAsia="Cambria"/>
                <w:color w:val="000000"/>
                <w:sz w:val="20"/>
                <w:szCs w:val="20"/>
              </w:rPr>
              <w:t>Significant at the p ≤ 0.001 level.</w:t>
            </w:r>
          </w:p>
        </w:tc>
      </w:tr>
      <w:tr w:rsidR="008201DA" w:rsidRPr="006A3515" w:rsidTr="00B72406">
        <w:trPr>
          <w:trHeight w:val="145"/>
        </w:trPr>
        <w:tc>
          <w:tcPr>
            <w:tcW w:w="8322" w:type="dxa"/>
            <w:gridSpan w:val="9"/>
            <w:tcBorders>
              <w:top w:val="nil"/>
              <w:bottom w:val="nil"/>
              <w:right w:val="nil"/>
            </w:tcBorders>
            <w:shd w:val="clear" w:color="auto" w:fill="auto"/>
            <w:vAlign w:val="center"/>
          </w:tcPr>
          <w:p w:rsidR="008201DA" w:rsidRPr="006A3515" w:rsidRDefault="008201DA" w:rsidP="008201DA">
            <w:pPr>
              <w:rPr>
                <w:rFonts w:eastAsia="Cambria"/>
                <w:color w:val="000000"/>
                <w:sz w:val="20"/>
                <w:szCs w:val="20"/>
              </w:rPr>
            </w:pPr>
            <w:r w:rsidRPr="006A3515">
              <w:rPr>
                <w:rFonts w:eastAsia="Cambria"/>
                <w:color w:val="000000"/>
                <w:sz w:val="20"/>
                <w:szCs w:val="20"/>
              </w:rPr>
              <w:t>†</w:t>
            </w:r>
            <w:r>
              <w:rPr>
                <w:rFonts w:eastAsia="Cambria"/>
                <w:color w:val="000000"/>
                <w:sz w:val="20"/>
                <w:szCs w:val="20"/>
              </w:rPr>
              <w:t xml:space="preserve"> NS, </w:t>
            </w:r>
            <w:r w:rsidRPr="006A3515">
              <w:rPr>
                <w:rFonts w:eastAsia="Cambria"/>
                <w:color w:val="000000"/>
                <w:sz w:val="20"/>
                <w:szCs w:val="20"/>
              </w:rPr>
              <w:t>not significant.</w:t>
            </w:r>
          </w:p>
        </w:tc>
      </w:tr>
    </w:tbl>
    <w:p w:rsidR="00F94637" w:rsidRPr="006A3515" w:rsidRDefault="00F94637" w:rsidP="00F94637"/>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F94637" w:rsidRDefault="00F94637" w:rsidP="00F94637"/>
    <w:p w:rsidR="006A4068" w:rsidRDefault="006A4068" w:rsidP="00F94637"/>
    <w:p w:rsidR="006A4068" w:rsidRDefault="006A4068" w:rsidP="00F94637"/>
    <w:p w:rsidR="00F94637" w:rsidRDefault="00F94637" w:rsidP="00F94637"/>
    <w:p w:rsidR="00F94637" w:rsidRDefault="00F94637" w:rsidP="00F94637"/>
    <w:p w:rsidR="00EF5EB6" w:rsidRDefault="00EF5EB6" w:rsidP="00F94637"/>
    <w:tbl>
      <w:tblPr>
        <w:tblpPr w:leftFromText="180" w:rightFromText="180" w:vertAnchor="text" w:horzAnchor="margin" w:tblpY="359"/>
        <w:tblW w:w="8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8"/>
        <w:gridCol w:w="2079"/>
        <w:gridCol w:w="931"/>
        <w:gridCol w:w="1145"/>
        <w:gridCol w:w="853"/>
        <w:gridCol w:w="832"/>
        <w:gridCol w:w="1145"/>
      </w:tblGrid>
      <w:tr w:rsidR="00F94637" w:rsidRPr="006A3515" w:rsidTr="00B72406">
        <w:trPr>
          <w:trHeight w:val="359"/>
        </w:trPr>
        <w:tc>
          <w:tcPr>
            <w:tcW w:w="8083" w:type="dxa"/>
            <w:gridSpan w:val="7"/>
            <w:tcBorders>
              <w:top w:val="nil"/>
              <w:left w:val="nil"/>
              <w:bottom w:val="nil"/>
              <w:right w:val="nil"/>
            </w:tcBorders>
            <w:shd w:val="clear" w:color="auto" w:fill="auto"/>
            <w:vAlign w:val="center"/>
          </w:tcPr>
          <w:p w:rsidR="00F94637" w:rsidRPr="00051556" w:rsidRDefault="00F94637" w:rsidP="00051556">
            <w:pPr>
              <w:pStyle w:val="Heading2"/>
              <w:jc w:val="left"/>
              <w:rPr>
                <w:rFonts w:eastAsia="Calibri"/>
                <w:sz w:val="23"/>
                <w:szCs w:val="23"/>
              </w:rPr>
            </w:pPr>
            <w:bookmarkStart w:id="122" w:name="_Toc353890917"/>
            <w:bookmarkStart w:id="123" w:name="_Toc353892658"/>
            <w:r w:rsidRPr="00051556">
              <w:rPr>
                <w:rFonts w:eastAsia="Calibri"/>
                <w:sz w:val="23"/>
                <w:szCs w:val="23"/>
              </w:rPr>
              <w:t xml:space="preserve">Table </w:t>
            </w:r>
            <w:r w:rsidR="007A66C4" w:rsidRPr="00051556">
              <w:rPr>
                <w:rFonts w:eastAsia="Calibri"/>
                <w:sz w:val="23"/>
                <w:szCs w:val="23"/>
              </w:rPr>
              <w:t>3</w:t>
            </w:r>
            <w:r w:rsidR="00B72406" w:rsidRPr="00051556">
              <w:rPr>
                <w:rFonts w:eastAsia="Calibri"/>
                <w:sz w:val="23"/>
                <w:szCs w:val="23"/>
              </w:rPr>
              <w:t>.3. Analysis of area u</w:t>
            </w:r>
            <w:r w:rsidRPr="00051556">
              <w:rPr>
                <w:rFonts w:eastAsia="Calibri"/>
                <w:sz w:val="23"/>
                <w:szCs w:val="23"/>
              </w:rPr>
              <w:t>nder the (</w:t>
            </w:r>
            <w:r w:rsidR="00B72406" w:rsidRPr="00051556">
              <w:rPr>
                <w:rFonts w:eastAsia="Calibri"/>
                <w:sz w:val="23"/>
                <w:szCs w:val="23"/>
              </w:rPr>
              <w:t>x) progress c</w:t>
            </w:r>
            <w:r w:rsidR="004A2853" w:rsidRPr="00051556">
              <w:rPr>
                <w:rFonts w:eastAsia="Calibri"/>
                <w:sz w:val="23"/>
                <w:szCs w:val="23"/>
              </w:rPr>
              <w:t xml:space="preserve">urve </w:t>
            </w:r>
            <w:r w:rsidR="004A2853" w:rsidRPr="00051556">
              <w:rPr>
                <w:rFonts w:eastAsia="Cambria"/>
                <w:sz w:val="23"/>
                <w:szCs w:val="23"/>
              </w:rPr>
              <w:t>(Pooled across two experimental runs)</w:t>
            </w:r>
            <w:r w:rsidR="004A2853" w:rsidRPr="00051556">
              <w:rPr>
                <w:rFonts w:eastAsia="Calibri"/>
                <w:sz w:val="23"/>
                <w:szCs w:val="23"/>
              </w:rPr>
              <w:t xml:space="preserve"> </w:t>
            </w:r>
            <w:r w:rsidRPr="00051556">
              <w:rPr>
                <w:rFonts w:eastAsia="Calibri"/>
                <w:sz w:val="23"/>
                <w:szCs w:val="23"/>
              </w:rPr>
              <w:t xml:space="preserve">for turfgrass quality, </w:t>
            </w:r>
            <w:r w:rsidR="005F3822" w:rsidRPr="00051556">
              <w:rPr>
                <w:rFonts w:eastAsia="Calibri"/>
                <w:sz w:val="23"/>
                <w:szCs w:val="23"/>
              </w:rPr>
              <w:t>normalized difference vegetation i</w:t>
            </w:r>
            <w:r w:rsidR="00DF59C2" w:rsidRPr="00051556">
              <w:rPr>
                <w:rFonts w:eastAsia="Calibri"/>
                <w:sz w:val="23"/>
                <w:szCs w:val="23"/>
              </w:rPr>
              <w:t>ndex (</w:t>
            </w:r>
            <w:r w:rsidRPr="00051556">
              <w:rPr>
                <w:rFonts w:eastAsia="Calibri"/>
                <w:sz w:val="23"/>
                <w:szCs w:val="23"/>
              </w:rPr>
              <w:t>NDVI</w:t>
            </w:r>
            <w:r w:rsidR="00DF59C2" w:rsidRPr="00051556">
              <w:rPr>
                <w:rFonts w:eastAsia="Calibri"/>
                <w:sz w:val="23"/>
                <w:szCs w:val="23"/>
              </w:rPr>
              <w:t>)</w:t>
            </w:r>
            <w:r w:rsidRPr="00051556">
              <w:rPr>
                <w:rFonts w:eastAsia="Calibri"/>
                <w:sz w:val="23"/>
                <w:szCs w:val="23"/>
              </w:rPr>
              <w:t>,</w:t>
            </w:r>
            <w:r w:rsidR="005F3822" w:rsidRPr="00051556">
              <w:rPr>
                <w:rFonts w:eastAsia="Calibri"/>
                <w:sz w:val="23"/>
                <w:szCs w:val="23"/>
              </w:rPr>
              <w:t xml:space="preserve"> ratio vegetation i</w:t>
            </w:r>
            <w:r w:rsidR="00DF59C2" w:rsidRPr="00051556">
              <w:rPr>
                <w:rFonts w:eastAsia="Calibri"/>
                <w:sz w:val="23"/>
                <w:szCs w:val="23"/>
              </w:rPr>
              <w:t>ndex</w:t>
            </w:r>
            <w:r w:rsidRPr="00051556">
              <w:rPr>
                <w:rFonts w:eastAsia="Calibri"/>
                <w:sz w:val="23"/>
                <w:szCs w:val="23"/>
              </w:rPr>
              <w:t xml:space="preserve"> </w:t>
            </w:r>
            <w:r w:rsidR="00DF59C2" w:rsidRPr="00051556">
              <w:rPr>
                <w:rFonts w:eastAsia="Calibri"/>
                <w:sz w:val="23"/>
                <w:szCs w:val="23"/>
              </w:rPr>
              <w:t>(</w:t>
            </w:r>
            <w:r w:rsidRPr="00051556">
              <w:rPr>
                <w:rFonts w:eastAsia="Calibri"/>
                <w:sz w:val="23"/>
                <w:szCs w:val="23"/>
              </w:rPr>
              <w:t>RVI</w:t>
            </w:r>
            <w:r w:rsidR="00DF59C2" w:rsidRPr="00051556">
              <w:rPr>
                <w:rFonts w:eastAsia="Calibri"/>
                <w:sz w:val="23"/>
                <w:szCs w:val="23"/>
              </w:rPr>
              <w:t>)</w:t>
            </w:r>
            <w:r w:rsidRPr="00051556">
              <w:rPr>
                <w:rFonts w:eastAsia="Calibri"/>
                <w:sz w:val="23"/>
                <w:szCs w:val="23"/>
              </w:rPr>
              <w:t>, and percent turfgrass cover under untreated</w:t>
            </w:r>
            <w:r w:rsidR="00C43761" w:rsidRPr="00051556">
              <w:rPr>
                <w:rFonts w:eastAsia="Calibri"/>
                <w:sz w:val="23"/>
                <w:szCs w:val="23"/>
              </w:rPr>
              <w:t xml:space="preserve"> (UNT)</w:t>
            </w:r>
            <w:r w:rsidRPr="00051556">
              <w:rPr>
                <w:rFonts w:eastAsia="Calibri"/>
                <w:sz w:val="23"/>
                <w:szCs w:val="23"/>
              </w:rPr>
              <w:t xml:space="preserve"> </w:t>
            </w:r>
            <w:r w:rsidR="007A66C4" w:rsidRPr="00051556">
              <w:rPr>
                <w:rFonts w:eastAsia="Calibri"/>
                <w:sz w:val="23"/>
                <w:szCs w:val="23"/>
              </w:rPr>
              <w:t>or oversprayed</w:t>
            </w:r>
            <w:r w:rsidR="00C43761" w:rsidRPr="00051556">
              <w:rPr>
                <w:rFonts w:eastAsia="Calibri"/>
                <w:sz w:val="23"/>
                <w:szCs w:val="23"/>
              </w:rPr>
              <w:t xml:space="preserve"> (OS)</w:t>
            </w:r>
            <w:r w:rsidRPr="00051556">
              <w:rPr>
                <w:rFonts w:eastAsia="Calibri"/>
                <w:sz w:val="23"/>
                <w:szCs w:val="23"/>
              </w:rPr>
              <w:t xml:space="preserve"> </w:t>
            </w:r>
            <w:r w:rsidR="00C43761" w:rsidRPr="00051556">
              <w:rPr>
                <w:rFonts w:eastAsia="Calibri"/>
                <w:sz w:val="23"/>
                <w:szCs w:val="23"/>
              </w:rPr>
              <w:t>whole plots</w:t>
            </w:r>
            <w:r w:rsidRPr="00051556">
              <w:rPr>
                <w:rFonts w:eastAsia="Calibri"/>
                <w:sz w:val="23"/>
                <w:szCs w:val="23"/>
              </w:rPr>
              <w:t xml:space="preserve"> with various strobilurin fungicides</w:t>
            </w:r>
            <w:r w:rsidR="004A2853" w:rsidRPr="00051556">
              <w:rPr>
                <w:rFonts w:eastAsia="Calibri"/>
                <w:sz w:val="23"/>
                <w:szCs w:val="23"/>
              </w:rPr>
              <w:t xml:space="preserve"> in 2011 and 2012 . Treatments were located in Knoxville, TN, on a ‘Dominant Southern’ creeping bentgrass (</w:t>
            </w:r>
            <w:r w:rsidR="004A2853" w:rsidRPr="00051556">
              <w:rPr>
                <w:rFonts w:eastAsia="Cambria"/>
                <w:i/>
                <w:sz w:val="23"/>
                <w:szCs w:val="23"/>
              </w:rPr>
              <w:t>Agrostis stolonifera</w:t>
            </w:r>
            <w:r w:rsidR="004A2853" w:rsidRPr="00051556">
              <w:rPr>
                <w:rFonts w:eastAsia="Cambria"/>
                <w:sz w:val="23"/>
                <w:szCs w:val="23"/>
              </w:rPr>
              <w:t xml:space="preserve"> L.) putting green.</w:t>
            </w:r>
            <w:bookmarkEnd w:id="122"/>
            <w:bookmarkEnd w:id="123"/>
          </w:p>
        </w:tc>
      </w:tr>
      <w:tr w:rsidR="00F94637" w:rsidRPr="006A3515" w:rsidTr="00B72406">
        <w:trPr>
          <w:trHeight w:val="331"/>
        </w:trPr>
        <w:tc>
          <w:tcPr>
            <w:tcW w:w="1098" w:type="dxa"/>
            <w:vMerge w:val="restart"/>
            <w:tcBorders>
              <w:top w:val="single" w:sz="4" w:space="0" w:color="000000"/>
              <w:left w:val="nil"/>
              <w:bottom w:val="single" w:sz="4" w:space="0" w:color="000000"/>
              <w:right w:val="nil"/>
            </w:tcBorders>
            <w:shd w:val="clear" w:color="auto" w:fill="auto"/>
            <w:vAlign w:val="center"/>
          </w:tcPr>
          <w:p w:rsidR="00F94637" w:rsidRPr="007A66C4" w:rsidRDefault="00B72406" w:rsidP="00B72406">
            <w:pPr>
              <w:rPr>
                <w:rFonts w:eastAsia="Cambria"/>
                <w:b/>
                <w:sz w:val="22"/>
                <w:szCs w:val="22"/>
              </w:rPr>
            </w:pPr>
            <w:r>
              <w:rPr>
                <w:rFonts w:eastAsia="Cambria"/>
                <w:b/>
                <w:sz w:val="22"/>
                <w:szCs w:val="22"/>
              </w:rPr>
              <w:t>Whole plot</w:t>
            </w:r>
            <w:r w:rsidR="00F94637" w:rsidRPr="007A66C4">
              <w:rPr>
                <w:rFonts w:eastAsia="Cambria"/>
                <w:b/>
                <w:color w:val="000000"/>
                <w:sz w:val="22"/>
                <w:szCs w:val="22"/>
              </w:rPr>
              <w:t>†</w:t>
            </w:r>
          </w:p>
        </w:tc>
        <w:tc>
          <w:tcPr>
            <w:tcW w:w="2079" w:type="dxa"/>
            <w:vMerge w:val="restart"/>
            <w:tcBorders>
              <w:top w:val="single" w:sz="4" w:space="0" w:color="000000"/>
              <w:left w:val="nil"/>
              <w:bottom w:val="single" w:sz="4" w:space="0" w:color="000000"/>
              <w:right w:val="nil"/>
            </w:tcBorders>
            <w:shd w:val="clear" w:color="auto" w:fill="auto"/>
            <w:vAlign w:val="center"/>
          </w:tcPr>
          <w:p w:rsidR="00F94637" w:rsidRPr="007A66C4" w:rsidRDefault="00F94637" w:rsidP="0096622C">
            <w:pPr>
              <w:tabs>
                <w:tab w:val="left" w:pos="1780"/>
              </w:tabs>
              <w:ind w:left="-50"/>
              <w:jc w:val="center"/>
              <w:rPr>
                <w:rFonts w:eastAsia="Cambria"/>
                <w:b/>
                <w:sz w:val="22"/>
                <w:szCs w:val="22"/>
              </w:rPr>
            </w:pPr>
            <w:r w:rsidRPr="007A66C4">
              <w:rPr>
                <w:rFonts w:eastAsia="Cambria"/>
                <w:b/>
                <w:sz w:val="22"/>
                <w:szCs w:val="22"/>
              </w:rPr>
              <w:t>Fungicide</w:t>
            </w:r>
          </w:p>
          <w:p w:rsidR="00F94637" w:rsidRPr="007A66C4" w:rsidRDefault="00F94637" w:rsidP="0096622C">
            <w:pPr>
              <w:tabs>
                <w:tab w:val="left" w:pos="1780"/>
              </w:tabs>
              <w:ind w:left="-50"/>
              <w:jc w:val="center"/>
              <w:rPr>
                <w:rFonts w:eastAsia="Cambria"/>
                <w:b/>
                <w:sz w:val="22"/>
                <w:szCs w:val="22"/>
              </w:rPr>
            </w:pPr>
            <w:r w:rsidRPr="007A66C4">
              <w:rPr>
                <w:rFonts w:eastAsia="Cambria"/>
                <w:b/>
                <w:sz w:val="22"/>
                <w:szCs w:val="22"/>
              </w:rPr>
              <w:t xml:space="preserve"> treatment</w:t>
            </w:r>
          </w:p>
        </w:tc>
        <w:tc>
          <w:tcPr>
            <w:tcW w:w="931" w:type="dxa"/>
            <w:vMerge w:val="restart"/>
            <w:tcBorders>
              <w:top w:val="single" w:sz="4" w:space="0" w:color="000000"/>
              <w:left w:val="nil"/>
              <w:bottom w:val="single" w:sz="4" w:space="0" w:color="000000"/>
              <w:right w:val="nil"/>
            </w:tcBorders>
            <w:shd w:val="clear" w:color="auto" w:fill="auto"/>
            <w:vAlign w:val="center"/>
          </w:tcPr>
          <w:p w:rsidR="00F94637" w:rsidRPr="007A66C4" w:rsidRDefault="00F94637" w:rsidP="0096622C">
            <w:pPr>
              <w:ind w:left="-44" w:right="-24"/>
              <w:jc w:val="center"/>
              <w:rPr>
                <w:rFonts w:eastAsia="Cambria"/>
                <w:b/>
                <w:sz w:val="22"/>
                <w:szCs w:val="22"/>
              </w:rPr>
            </w:pPr>
            <w:r w:rsidRPr="007A66C4">
              <w:rPr>
                <w:rFonts w:eastAsia="Cambria"/>
                <w:b/>
                <w:sz w:val="22"/>
                <w:szCs w:val="22"/>
              </w:rPr>
              <w:t>Rate</w:t>
            </w:r>
          </w:p>
          <w:p w:rsidR="00F94637" w:rsidRPr="007A66C4" w:rsidRDefault="00F94637" w:rsidP="0096622C">
            <w:pPr>
              <w:ind w:left="-44" w:right="-24"/>
              <w:jc w:val="center"/>
              <w:rPr>
                <w:rFonts w:eastAsia="Cambria"/>
                <w:b/>
                <w:sz w:val="22"/>
                <w:szCs w:val="22"/>
              </w:rPr>
            </w:pPr>
            <w:r w:rsidRPr="007A66C4">
              <w:rPr>
                <w:rFonts w:eastAsia="Cambria"/>
                <w:b/>
                <w:sz w:val="22"/>
                <w:szCs w:val="22"/>
              </w:rPr>
              <w:t>kg ai ha</w:t>
            </w:r>
            <w:r w:rsidRPr="007A66C4">
              <w:rPr>
                <w:rFonts w:eastAsia="Cambria"/>
                <w:b/>
                <w:sz w:val="22"/>
                <w:szCs w:val="22"/>
                <w:vertAlign w:val="superscript"/>
              </w:rPr>
              <w:t>-1</w:t>
            </w:r>
          </w:p>
        </w:tc>
        <w:tc>
          <w:tcPr>
            <w:tcW w:w="3975" w:type="dxa"/>
            <w:gridSpan w:val="4"/>
            <w:tcBorders>
              <w:top w:val="single" w:sz="4" w:space="0" w:color="000000"/>
              <w:left w:val="nil"/>
              <w:bottom w:val="single" w:sz="4" w:space="0" w:color="000000"/>
              <w:right w:val="nil"/>
            </w:tcBorders>
            <w:shd w:val="clear" w:color="auto" w:fill="auto"/>
            <w:vAlign w:val="center"/>
          </w:tcPr>
          <w:p w:rsidR="00F94637" w:rsidRPr="007A66C4" w:rsidRDefault="00F94637" w:rsidP="0096622C">
            <w:pPr>
              <w:jc w:val="center"/>
              <w:rPr>
                <w:rFonts w:eastAsia="Cambria"/>
                <w:b/>
                <w:sz w:val="22"/>
                <w:szCs w:val="22"/>
              </w:rPr>
            </w:pPr>
            <w:r w:rsidRPr="007A66C4">
              <w:rPr>
                <w:rFonts w:eastAsia="Cambria"/>
                <w:b/>
                <w:sz w:val="22"/>
                <w:szCs w:val="22"/>
              </w:rPr>
              <w:t>Area Under the (X) Progress Curve</w:t>
            </w:r>
          </w:p>
        </w:tc>
      </w:tr>
      <w:tr w:rsidR="00F94637" w:rsidRPr="006A3515" w:rsidTr="00B72406">
        <w:trPr>
          <w:trHeight w:val="578"/>
        </w:trPr>
        <w:tc>
          <w:tcPr>
            <w:tcW w:w="1098" w:type="dxa"/>
            <w:vMerge/>
            <w:tcBorders>
              <w:top w:val="nil"/>
              <w:left w:val="nil"/>
              <w:bottom w:val="single" w:sz="4" w:space="0" w:color="000000"/>
              <w:right w:val="nil"/>
            </w:tcBorders>
            <w:shd w:val="clear" w:color="auto" w:fill="auto"/>
            <w:vAlign w:val="center"/>
          </w:tcPr>
          <w:p w:rsidR="00F94637" w:rsidRPr="007A66C4" w:rsidRDefault="00F94637" w:rsidP="0096622C">
            <w:pPr>
              <w:jc w:val="center"/>
              <w:rPr>
                <w:rFonts w:eastAsia="Cambria"/>
                <w:b/>
                <w:sz w:val="22"/>
                <w:szCs w:val="22"/>
              </w:rPr>
            </w:pPr>
          </w:p>
        </w:tc>
        <w:tc>
          <w:tcPr>
            <w:tcW w:w="2079" w:type="dxa"/>
            <w:vMerge/>
            <w:tcBorders>
              <w:top w:val="nil"/>
              <w:left w:val="nil"/>
              <w:bottom w:val="single" w:sz="4" w:space="0" w:color="000000"/>
              <w:right w:val="nil"/>
            </w:tcBorders>
            <w:shd w:val="clear" w:color="auto" w:fill="auto"/>
            <w:vAlign w:val="center"/>
          </w:tcPr>
          <w:p w:rsidR="00F94637" w:rsidRPr="007A66C4" w:rsidRDefault="00F94637" w:rsidP="0096622C">
            <w:pPr>
              <w:tabs>
                <w:tab w:val="left" w:pos="1780"/>
              </w:tabs>
              <w:ind w:left="-50"/>
              <w:jc w:val="center"/>
              <w:rPr>
                <w:rFonts w:eastAsia="Cambria"/>
                <w:b/>
                <w:sz w:val="22"/>
                <w:szCs w:val="22"/>
              </w:rPr>
            </w:pPr>
          </w:p>
        </w:tc>
        <w:tc>
          <w:tcPr>
            <w:tcW w:w="931" w:type="dxa"/>
            <w:vMerge/>
            <w:tcBorders>
              <w:top w:val="nil"/>
              <w:left w:val="nil"/>
              <w:bottom w:val="single" w:sz="4" w:space="0" w:color="000000"/>
              <w:right w:val="nil"/>
            </w:tcBorders>
            <w:shd w:val="clear" w:color="auto" w:fill="auto"/>
            <w:vAlign w:val="center"/>
          </w:tcPr>
          <w:p w:rsidR="00F94637" w:rsidRPr="007A66C4" w:rsidRDefault="00F94637" w:rsidP="0096622C">
            <w:pPr>
              <w:jc w:val="center"/>
              <w:rPr>
                <w:rFonts w:eastAsia="Cambria"/>
                <w:b/>
                <w:sz w:val="22"/>
                <w:szCs w:val="22"/>
              </w:rPr>
            </w:pPr>
          </w:p>
        </w:tc>
        <w:tc>
          <w:tcPr>
            <w:tcW w:w="1145" w:type="dxa"/>
            <w:tcBorders>
              <w:left w:val="nil"/>
              <w:bottom w:val="single" w:sz="4" w:space="0" w:color="000000"/>
              <w:right w:val="nil"/>
            </w:tcBorders>
            <w:shd w:val="clear" w:color="auto" w:fill="auto"/>
            <w:vAlign w:val="center"/>
          </w:tcPr>
          <w:p w:rsidR="00F94637" w:rsidRPr="007A66C4" w:rsidRDefault="00F94637" w:rsidP="0096622C">
            <w:pPr>
              <w:jc w:val="center"/>
              <w:rPr>
                <w:rFonts w:eastAsia="Cambria"/>
                <w:b/>
                <w:sz w:val="22"/>
                <w:szCs w:val="22"/>
              </w:rPr>
            </w:pPr>
            <w:r w:rsidRPr="007A66C4">
              <w:rPr>
                <w:rFonts w:eastAsia="Cambria"/>
                <w:b/>
                <w:sz w:val="22"/>
                <w:szCs w:val="22"/>
              </w:rPr>
              <w:t>Turfgrass quality</w:t>
            </w:r>
          </w:p>
        </w:tc>
        <w:tc>
          <w:tcPr>
            <w:tcW w:w="853" w:type="dxa"/>
            <w:tcBorders>
              <w:left w:val="nil"/>
              <w:bottom w:val="single" w:sz="4" w:space="0" w:color="000000"/>
              <w:right w:val="nil"/>
            </w:tcBorders>
            <w:shd w:val="clear" w:color="auto" w:fill="auto"/>
            <w:vAlign w:val="center"/>
          </w:tcPr>
          <w:p w:rsidR="00F94637" w:rsidRPr="007A66C4" w:rsidRDefault="00F94637" w:rsidP="0096622C">
            <w:pPr>
              <w:jc w:val="center"/>
              <w:rPr>
                <w:rFonts w:eastAsia="Cambria"/>
                <w:b/>
                <w:sz w:val="22"/>
                <w:szCs w:val="22"/>
              </w:rPr>
            </w:pPr>
            <w:r w:rsidRPr="007A66C4">
              <w:rPr>
                <w:rFonts w:eastAsia="Cambria"/>
                <w:b/>
                <w:sz w:val="22"/>
                <w:szCs w:val="22"/>
              </w:rPr>
              <w:t>NDVI</w:t>
            </w:r>
          </w:p>
        </w:tc>
        <w:tc>
          <w:tcPr>
            <w:tcW w:w="832" w:type="dxa"/>
            <w:tcBorders>
              <w:left w:val="nil"/>
              <w:bottom w:val="single" w:sz="4" w:space="0" w:color="000000"/>
              <w:right w:val="nil"/>
            </w:tcBorders>
            <w:shd w:val="clear" w:color="auto" w:fill="auto"/>
            <w:vAlign w:val="center"/>
          </w:tcPr>
          <w:p w:rsidR="00F94637" w:rsidRPr="007A66C4" w:rsidRDefault="00F94637" w:rsidP="0096622C">
            <w:pPr>
              <w:jc w:val="center"/>
              <w:rPr>
                <w:rFonts w:eastAsia="Cambria"/>
                <w:b/>
                <w:sz w:val="22"/>
                <w:szCs w:val="22"/>
              </w:rPr>
            </w:pPr>
            <w:r w:rsidRPr="007A66C4">
              <w:rPr>
                <w:rFonts w:eastAsia="Cambria"/>
                <w:b/>
                <w:sz w:val="22"/>
                <w:szCs w:val="22"/>
              </w:rPr>
              <w:t>RVI</w:t>
            </w:r>
          </w:p>
        </w:tc>
        <w:tc>
          <w:tcPr>
            <w:tcW w:w="1145" w:type="dxa"/>
            <w:tcBorders>
              <w:left w:val="nil"/>
              <w:bottom w:val="single" w:sz="4" w:space="0" w:color="000000"/>
              <w:right w:val="nil"/>
            </w:tcBorders>
            <w:shd w:val="clear" w:color="auto" w:fill="auto"/>
            <w:vAlign w:val="center"/>
          </w:tcPr>
          <w:p w:rsidR="00F94637" w:rsidRPr="007A66C4" w:rsidRDefault="00F94637" w:rsidP="0096622C">
            <w:pPr>
              <w:jc w:val="center"/>
              <w:rPr>
                <w:rFonts w:eastAsia="Cambria"/>
                <w:b/>
                <w:sz w:val="22"/>
                <w:szCs w:val="22"/>
              </w:rPr>
            </w:pPr>
            <w:r w:rsidRPr="007A66C4">
              <w:rPr>
                <w:rFonts w:eastAsia="Cambria"/>
                <w:b/>
                <w:sz w:val="22"/>
                <w:szCs w:val="22"/>
              </w:rPr>
              <w:t>Turfgrass cover</w:t>
            </w:r>
          </w:p>
        </w:tc>
      </w:tr>
      <w:tr w:rsidR="00F94637" w:rsidRPr="006A3515" w:rsidTr="00B72406">
        <w:trPr>
          <w:trHeight w:val="433"/>
        </w:trPr>
        <w:tc>
          <w:tcPr>
            <w:tcW w:w="1098" w:type="dxa"/>
            <w:tcBorders>
              <w:top w:val="single" w:sz="4" w:space="0" w:color="000000"/>
              <w:left w:val="nil"/>
              <w:bottom w:val="nil"/>
              <w:right w:val="nil"/>
            </w:tcBorders>
            <w:shd w:val="clear" w:color="auto" w:fill="auto"/>
            <w:vAlign w:val="center"/>
          </w:tcPr>
          <w:p w:rsidR="00F94637" w:rsidRPr="007A66C4" w:rsidRDefault="00F94637" w:rsidP="0096622C">
            <w:pPr>
              <w:rPr>
                <w:rFonts w:eastAsia="Cambria"/>
                <w:sz w:val="22"/>
                <w:szCs w:val="22"/>
              </w:rPr>
            </w:pPr>
            <w:r w:rsidRPr="007A66C4">
              <w:rPr>
                <w:rFonts w:eastAsia="Cambria"/>
                <w:sz w:val="22"/>
                <w:szCs w:val="22"/>
              </w:rPr>
              <w:t>UNT</w:t>
            </w:r>
          </w:p>
        </w:tc>
        <w:tc>
          <w:tcPr>
            <w:tcW w:w="2079" w:type="dxa"/>
            <w:tcBorders>
              <w:top w:val="single" w:sz="4" w:space="0" w:color="000000"/>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Trifloxystrobin</w:t>
            </w:r>
          </w:p>
        </w:tc>
        <w:tc>
          <w:tcPr>
            <w:tcW w:w="931" w:type="dxa"/>
            <w:tcBorders>
              <w:top w:val="single" w:sz="4" w:space="0" w:color="000000"/>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0.38</w:t>
            </w:r>
          </w:p>
        </w:tc>
        <w:tc>
          <w:tcPr>
            <w:tcW w:w="1145" w:type="dxa"/>
            <w:tcBorders>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496.3</w:t>
            </w:r>
          </w:p>
        </w:tc>
        <w:tc>
          <w:tcPr>
            <w:tcW w:w="853" w:type="dxa"/>
            <w:tcBorders>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50.2</w:t>
            </w:r>
          </w:p>
        </w:tc>
        <w:tc>
          <w:tcPr>
            <w:tcW w:w="832" w:type="dxa"/>
            <w:tcBorders>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402.4</w:t>
            </w:r>
          </w:p>
        </w:tc>
        <w:tc>
          <w:tcPr>
            <w:tcW w:w="1145" w:type="dxa"/>
            <w:tcBorders>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6887.3</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Fluoxastrobin</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0.55</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508.7</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51.7</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429.6</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7232.9</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Pyraclostrobin (SC)</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0.55</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511.3</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51.8</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432.8</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7223.7</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Azoxystrobin (TL)</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0.61</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500.8</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50.9</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414.5</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7025.0</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Azoxystrobin (WDG)</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0.61</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498.1</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50.6</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410.3</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7005.4</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Pyraclostrobin (WG)</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0.55</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509.9</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51.1</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418.7</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7165.0</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12D4D" w:rsidP="0096622C">
            <w:pPr>
              <w:tabs>
                <w:tab w:val="left" w:pos="1780"/>
              </w:tabs>
              <w:ind w:left="-50" w:right="-45"/>
              <w:jc w:val="center"/>
              <w:rPr>
                <w:rFonts w:eastAsia="Cambria"/>
                <w:color w:val="000000"/>
                <w:sz w:val="22"/>
                <w:szCs w:val="22"/>
              </w:rPr>
            </w:pPr>
            <w:r>
              <w:rPr>
                <w:rFonts w:eastAsia="Cambria"/>
                <w:color w:val="000000"/>
                <w:sz w:val="22"/>
                <w:szCs w:val="22"/>
              </w:rPr>
              <w:t>Non-treated control</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496.3</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50.3</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405.9</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7036.5</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r w:rsidRPr="007A66C4">
              <w:rPr>
                <w:rFonts w:eastAsia="Cambria"/>
                <w:sz w:val="22"/>
                <w:szCs w:val="22"/>
              </w:rPr>
              <w:t>OS</w:t>
            </w: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Trifloxystrobin</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0.38</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513.4</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50.5</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408.1</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7075.3</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Fluoxastrobin</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0.55</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513.5</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50.9</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418.6</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7125.0</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Pyraclostrobin (SC)</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0.55</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507.9</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50.2</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404.3</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6928.7</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Azoxystrobin (TL)</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0.61</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513.2</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50.5</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407.3</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7034.5</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Azoxystrobin (WDG)</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0.61</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514.9</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50.9</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415.2</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7096.2</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color w:val="000000"/>
                <w:sz w:val="22"/>
                <w:szCs w:val="22"/>
              </w:rPr>
              <w:t>Pyraclostrobin (WG)</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0.55</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513.7</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50.5</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411.1</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7048.6</w:t>
            </w:r>
          </w:p>
        </w:tc>
      </w:tr>
      <w:tr w:rsidR="00F94637" w:rsidRPr="006A3515" w:rsidTr="00B72406">
        <w:trPr>
          <w:trHeight w:val="433"/>
        </w:trPr>
        <w:tc>
          <w:tcPr>
            <w:tcW w:w="1098" w:type="dxa"/>
            <w:tcBorders>
              <w:top w:val="nil"/>
              <w:left w:val="nil"/>
              <w:bottom w:val="nil"/>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nil"/>
              <w:right w:val="nil"/>
            </w:tcBorders>
            <w:shd w:val="clear" w:color="auto" w:fill="auto"/>
            <w:vAlign w:val="center"/>
          </w:tcPr>
          <w:p w:rsidR="00F94637" w:rsidRPr="007A66C4" w:rsidRDefault="00F12D4D" w:rsidP="0096622C">
            <w:pPr>
              <w:tabs>
                <w:tab w:val="left" w:pos="1780"/>
              </w:tabs>
              <w:ind w:left="-50" w:right="-45"/>
              <w:jc w:val="center"/>
              <w:rPr>
                <w:rFonts w:eastAsia="Cambria"/>
                <w:color w:val="000000"/>
                <w:sz w:val="22"/>
                <w:szCs w:val="22"/>
              </w:rPr>
            </w:pPr>
            <w:r>
              <w:rPr>
                <w:rFonts w:eastAsia="Cambria"/>
                <w:color w:val="000000"/>
                <w:sz w:val="22"/>
                <w:szCs w:val="22"/>
              </w:rPr>
              <w:t>Non-treated control</w:t>
            </w:r>
          </w:p>
        </w:tc>
        <w:tc>
          <w:tcPr>
            <w:tcW w:w="931"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511.1</w:t>
            </w:r>
          </w:p>
        </w:tc>
        <w:tc>
          <w:tcPr>
            <w:tcW w:w="853"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50.9</w:t>
            </w:r>
          </w:p>
        </w:tc>
        <w:tc>
          <w:tcPr>
            <w:tcW w:w="832"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415.6</w:t>
            </w:r>
          </w:p>
        </w:tc>
        <w:tc>
          <w:tcPr>
            <w:tcW w:w="1145" w:type="dxa"/>
            <w:tcBorders>
              <w:top w:val="nil"/>
              <w:left w:val="nil"/>
              <w:bottom w:val="nil"/>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7010.0</w:t>
            </w:r>
          </w:p>
        </w:tc>
      </w:tr>
      <w:tr w:rsidR="00F94637" w:rsidRPr="006A3515" w:rsidTr="00230D9F">
        <w:trPr>
          <w:trHeight w:val="433"/>
        </w:trPr>
        <w:tc>
          <w:tcPr>
            <w:tcW w:w="1098" w:type="dxa"/>
            <w:tcBorders>
              <w:top w:val="nil"/>
              <w:left w:val="nil"/>
              <w:bottom w:val="single" w:sz="4" w:space="0" w:color="000000"/>
              <w:right w:val="nil"/>
            </w:tcBorders>
            <w:shd w:val="clear" w:color="auto" w:fill="auto"/>
            <w:vAlign w:val="center"/>
          </w:tcPr>
          <w:p w:rsidR="00F94637" w:rsidRPr="007A66C4" w:rsidRDefault="00F94637" w:rsidP="0096622C">
            <w:pPr>
              <w:rPr>
                <w:rFonts w:eastAsia="Cambria"/>
                <w:sz w:val="22"/>
                <w:szCs w:val="22"/>
              </w:rPr>
            </w:pPr>
          </w:p>
        </w:tc>
        <w:tc>
          <w:tcPr>
            <w:tcW w:w="2079" w:type="dxa"/>
            <w:tcBorders>
              <w:top w:val="nil"/>
              <w:left w:val="nil"/>
              <w:bottom w:val="single" w:sz="4" w:space="0" w:color="000000"/>
              <w:right w:val="nil"/>
            </w:tcBorders>
            <w:shd w:val="clear" w:color="auto" w:fill="auto"/>
            <w:vAlign w:val="center"/>
          </w:tcPr>
          <w:p w:rsidR="00F94637" w:rsidRPr="007A66C4" w:rsidRDefault="00F94637" w:rsidP="0096622C">
            <w:pPr>
              <w:tabs>
                <w:tab w:val="left" w:pos="1780"/>
              </w:tabs>
              <w:ind w:left="-50" w:right="-45"/>
              <w:jc w:val="center"/>
              <w:rPr>
                <w:rFonts w:eastAsia="Cambria"/>
                <w:color w:val="000000"/>
                <w:sz w:val="22"/>
                <w:szCs w:val="22"/>
              </w:rPr>
            </w:pPr>
            <w:r w:rsidRPr="007A66C4">
              <w:rPr>
                <w:rFonts w:eastAsia="Cambria"/>
                <w:sz w:val="22"/>
                <w:szCs w:val="22"/>
              </w:rPr>
              <w:t>LSD</w:t>
            </w:r>
            <w:r w:rsidRPr="007A66C4">
              <w:rPr>
                <w:rFonts w:eastAsia="Cambria"/>
                <w:sz w:val="22"/>
                <w:szCs w:val="22"/>
                <w:vertAlign w:val="subscript"/>
              </w:rPr>
              <w:t>0.05</w:t>
            </w:r>
          </w:p>
        </w:tc>
        <w:tc>
          <w:tcPr>
            <w:tcW w:w="931" w:type="dxa"/>
            <w:tcBorders>
              <w:top w:val="nil"/>
              <w:left w:val="nil"/>
              <w:bottom w:val="single" w:sz="4" w:space="0" w:color="000000"/>
              <w:right w:val="nil"/>
            </w:tcBorders>
            <w:shd w:val="clear" w:color="auto" w:fill="auto"/>
            <w:vAlign w:val="center"/>
          </w:tcPr>
          <w:p w:rsidR="00F94637" w:rsidRPr="007A66C4" w:rsidRDefault="00F94637" w:rsidP="0096622C">
            <w:pPr>
              <w:jc w:val="center"/>
              <w:rPr>
                <w:rFonts w:eastAsia="Cambria"/>
                <w:color w:val="000000"/>
                <w:sz w:val="22"/>
                <w:szCs w:val="22"/>
              </w:rPr>
            </w:pPr>
          </w:p>
        </w:tc>
        <w:tc>
          <w:tcPr>
            <w:tcW w:w="1145" w:type="dxa"/>
            <w:tcBorders>
              <w:top w:val="nil"/>
              <w:left w:val="nil"/>
              <w:bottom w:val="single" w:sz="4" w:space="0" w:color="000000"/>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sz w:val="22"/>
                <w:szCs w:val="22"/>
              </w:rPr>
              <w:t>NS</w:t>
            </w:r>
            <w:r w:rsidR="007A66C4" w:rsidRPr="002962EB">
              <w:rPr>
                <w:sz w:val="22"/>
                <w:szCs w:val="22"/>
                <w:vertAlign w:val="superscript"/>
              </w:rPr>
              <w:t>‡</w:t>
            </w:r>
          </w:p>
        </w:tc>
        <w:tc>
          <w:tcPr>
            <w:tcW w:w="853" w:type="dxa"/>
            <w:tcBorders>
              <w:top w:val="nil"/>
              <w:left w:val="nil"/>
              <w:bottom w:val="single" w:sz="4" w:space="0" w:color="000000"/>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NS</w:t>
            </w:r>
          </w:p>
        </w:tc>
        <w:tc>
          <w:tcPr>
            <w:tcW w:w="832" w:type="dxa"/>
            <w:tcBorders>
              <w:top w:val="nil"/>
              <w:left w:val="nil"/>
              <w:bottom w:val="single" w:sz="4" w:space="0" w:color="000000"/>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NS</w:t>
            </w:r>
          </w:p>
        </w:tc>
        <w:tc>
          <w:tcPr>
            <w:tcW w:w="1145" w:type="dxa"/>
            <w:tcBorders>
              <w:top w:val="nil"/>
              <w:left w:val="nil"/>
              <w:bottom w:val="single" w:sz="4" w:space="0" w:color="000000"/>
              <w:right w:val="nil"/>
            </w:tcBorders>
            <w:shd w:val="clear" w:color="auto" w:fill="auto"/>
            <w:vAlign w:val="center"/>
          </w:tcPr>
          <w:p w:rsidR="00F94637" w:rsidRPr="007A66C4" w:rsidRDefault="00F94637" w:rsidP="0096622C">
            <w:pPr>
              <w:jc w:val="center"/>
              <w:rPr>
                <w:rFonts w:eastAsia="Cambria"/>
                <w:color w:val="000000"/>
                <w:sz w:val="22"/>
                <w:szCs w:val="22"/>
              </w:rPr>
            </w:pPr>
            <w:r w:rsidRPr="007A66C4">
              <w:rPr>
                <w:rFonts w:eastAsia="Cambria"/>
                <w:color w:val="000000"/>
                <w:sz w:val="22"/>
                <w:szCs w:val="22"/>
              </w:rPr>
              <w:t>NS</w:t>
            </w:r>
          </w:p>
        </w:tc>
      </w:tr>
      <w:tr w:rsidR="00F94637" w:rsidRPr="006A3515" w:rsidTr="00230D9F">
        <w:trPr>
          <w:trHeight w:val="254"/>
        </w:trPr>
        <w:tc>
          <w:tcPr>
            <w:tcW w:w="8083" w:type="dxa"/>
            <w:gridSpan w:val="7"/>
            <w:tcBorders>
              <w:top w:val="single" w:sz="4" w:space="0" w:color="000000"/>
              <w:left w:val="nil"/>
              <w:bottom w:val="nil"/>
              <w:right w:val="nil"/>
            </w:tcBorders>
            <w:shd w:val="clear" w:color="auto" w:fill="auto"/>
            <w:vAlign w:val="center"/>
          </w:tcPr>
          <w:p w:rsidR="00F94637" w:rsidRPr="006A3515" w:rsidRDefault="00F94637" w:rsidP="0096622C">
            <w:pPr>
              <w:rPr>
                <w:rFonts w:eastAsia="Cambria"/>
                <w:color w:val="000000"/>
                <w:sz w:val="20"/>
                <w:szCs w:val="20"/>
              </w:rPr>
            </w:pPr>
            <w:r w:rsidRPr="006A3515">
              <w:rPr>
                <w:rFonts w:eastAsia="Cambria"/>
                <w:sz w:val="20"/>
                <w:szCs w:val="20"/>
              </w:rPr>
              <w:t>†</w:t>
            </w:r>
            <w:r w:rsidRPr="006A3515">
              <w:rPr>
                <w:sz w:val="20"/>
                <w:szCs w:val="20"/>
              </w:rPr>
              <w:t xml:space="preserve"> </w:t>
            </w:r>
            <w:r w:rsidRPr="006A3515">
              <w:rPr>
                <w:rFonts w:eastAsia="Cambria"/>
                <w:sz w:val="20"/>
                <w:szCs w:val="20"/>
              </w:rPr>
              <w:t xml:space="preserve">Whole plots included an overspray (OS) of a fungicide mixture containing chlorothalonil and iprodione applied every 14 days to control foliar disease at </w:t>
            </w:r>
            <w:r w:rsidR="007D4682">
              <w:rPr>
                <w:rFonts w:eastAsia="Cambria"/>
                <w:sz w:val="20"/>
                <w:szCs w:val="20"/>
              </w:rPr>
              <w:t>8.05</w:t>
            </w:r>
            <w:r w:rsidRPr="006A3515">
              <w:rPr>
                <w:rFonts w:eastAsia="Cambria"/>
                <w:sz w:val="20"/>
                <w:szCs w:val="20"/>
              </w:rPr>
              <w:t xml:space="preserve"> and </w:t>
            </w:r>
            <w:r w:rsidR="007D4682">
              <w:rPr>
                <w:rFonts w:eastAsia="Cambria"/>
                <w:sz w:val="20"/>
                <w:szCs w:val="20"/>
              </w:rPr>
              <w:t>3.05</w:t>
            </w:r>
            <w:r w:rsidRPr="006A3515">
              <w:rPr>
                <w:rFonts w:eastAsia="Cambria"/>
                <w:sz w:val="20"/>
                <w:szCs w:val="20"/>
              </w:rPr>
              <w:t xml:space="preserve"> kg ai</w:t>
            </w:r>
            <w:r w:rsidR="00301BF8">
              <w:rPr>
                <w:rFonts w:eastAsia="Cambria"/>
                <w:sz w:val="20"/>
                <w:szCs w:val="20"/>
              </w:rPr>
              <w:t xml:space="preserve"> </w:t>
            </w:r>
            <w:r w:rsidRPr="006A3515">
              <w:rPr>
                <w:rFonts w:eastAsia="Cambria"/>
                <w:sz w:val="20"/>
                <w:szCs w:val="20"/>
              </w:rPr>
              <w:t>ha</w:t>
            </w:r>
            <w:r w:rsidR="006B3F29" w:rsidRPr="006B3F29">
              <w:rPr>
                <w:rFonts w:eastAsia="Cambria"/>
                <w:sz w:val="20"/>
                <w:szCs w:val="20"/>
                <w:vertAlign w:val="superscript"/>
              </w:rPr>
              <w:t>-1</w:t>
            </w:r>
            <w:r w:rsidRPr="006A3515">
              <w:rPr>
                <w:rFonts w:eastAsia="Cambria"/>
                <w:sz w:val="20"/>
                <w:szCs w:val="20"/>
              </w:rPr>
              <w:t>, respectively, and an untreated treatment (UNT).</w:t>
            </w:r>
          </w:p>
        </w:tc>
      </w:tr>
      <w:tr w:rsidR="007A66C4" w:rsidRPr="006A3515" w:rsidTr="00B72406">
        <w:trPr>
          <w:trHeight w:val="254"/>
        </w:trPr>
        <w:tc>
          <w:tcPr>
            <w:tcW w:w="8083" w:type="dxa"/>
            <w:gridSpan w:val="7"/>
            <w:tcBorders>
              <w:top w:val="nil"/>
              <w:left w:val="nil"/>
              <w:bottom w:val="nil"/>
              <w:right w:val="nil"/>
            </w:tcBorders>
            <w:shd w:val="clear" w:color="auto" w:fill="auto"/>
            <w:vAlign w:val="center"/>
          </w:tcPr>
          <w:p w:rsidR="007A66C4" w:rsidRPr="006A3515" w:rsidRDefault="007A66C4" w:rsidP="0096622C">
            <w:pPr>
              <w:rPr>
                <w:rFonts w:eastAsia="Cambria"/>
                <w:sz w:val="20"/>
                <w:szCs w:val="20"/>
              </w:rPr>
            </w:pPr>
            <w:r w:rsidRPr="00777DF2">
              <w:rPr>
                <w:sz w:val="20"/>
                <w:szCs w:val="20"/>
              </w:rPr>
              <w:t>‡</w:t>
            </w:r>
            <w:r>
              <w:rPr>
                <w:sz w:val="20"/>
                <w:szCs w:val="20"/>
              </w:rPr>
              <w:t xml:space="preserve"> NS, not significant.</w:t>
            </w:r>
          </w:p>
        </w:tc>
      </w:tr>
    </w:tbl>
    <w:p w:rsidR="00F94637" w:rsidRPr="006A3515" w:rsidRDefault="00F94637" w:rsidP="00F94637"/>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123C19" w:rsidRDefault="00123C19" w:rsidP="00123C19"/>
    <w:p w:rsidR="00F94637" w:rsidRDefault="00F94637" w:rsidP="00F94637">
      <w:pPr>
        <w:pStyle w:val="Caption"/>
        <w:rPr>
          <w:rFonts w:ascii="Arial" w:hAnsi="Arial" w:cs="Arial"/>
          <w:sz w:val="24"/>
        </w:rPr>
      </w:pPr>
    </w:p>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Default="00B72406" w:rsidP="00B72406"/>
    <w:p w:rsidR="00B72406" w:rsidRPr="00B72406" w:rsidRDefault="00B72406" w:rsidP="00B72406"/>
    <w:tbl>
      <w:tblPr>
        <w:tblpPr w:leftFromText="180" w:rightFromText="180" w:vertAnchor="text" w:horzAnchor="margin" w:tblpY="374"/>
        <w:tblW w:w="8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78"/>
        <w:gridCol w:w="284"/>
        <w:gridCol w:w="1202"/>
        <w:gridCol w:w="71"/>
        <w:gridCol w:w="388"/>
        <w:gridCol w:w="729"/>
        <w:gridCol w:w="702"/>
        <w:gridCol w:w="660"/>
        <w:gridCol w:w="640"/>
        <w:gridCol w:w="680"/>
        <w:gridCol w:w="706"/>
        <w:gridCol w:w="1168"/>
      </w:tblGrid>
      <w:tr w:rsidR="00F94637" w:rsidRPr="00473083" w:rsidTr="00B72406">
        <w:trPr>
          <w:trHeight w:val="582"/>
        </w:trPr>
        <w:tc>
          <w:tcPr>
            <w:tcW w:w="8508" w:type="dxa"/>
            <w:gridSpan w:val="12"/>
            <w:tcBorders>
              <w:top w:val="nil"/>
              <w:left w:val="nil"/>
              <w:bottom w:val="single" w:sz="4" w:space="0" w:color="000000"/>
              <w:right w:val="nil"/>
            </w:tcBorders>
            <w:shd w:val="clear" w:color="auto" w:fill="auto"/>
            <w:vAlign w:val="center"/>
          </w:tcPr>
          <w:p w:rsidR="00F94637" w:rsidRPr="00051556" w:rsidRDefault="00F94637" w:rsidP="00051556">
            <w:pPr>
              <w:pStyle w:val="Heading2"/>
              <w:jc w:val="left"/>
              <w:rPr>
                <w:rFonts w:eastAsia="Cambria"/>
                <w:sz w:val="23"/>
                <w:szCs w:val="23"/>
              </w:rPr>
            </w:pPr>
            <w:bookmarkStart w:id="124" w:name="_Toc353890918"/>
            <w:bookmarkStart w:id="125" w:name="_Toc353892659"/>
            <w:r w:rsidRPr="00051556">
              <w:rPr>
                <w:rFonts w:eastAsia="Cambria"/>
                <w:sz w:val="23"/>
                <w:szCs w:val="23"/>
              </w:rPr>
              <w:lastRenderedPageBreak/>
              <w:t xml:space="preserve">Table </w:t>
            </w:r>
            <w:r w:rsidR="00123C19" w:rsidRPr="00051556">
              <w:rPr>
                <w:rFonts w:eastAsia="Cambria"/>
                <w:sz w:val="23"/>
                <w:szCs w:val="23"/>
              </w:rPr>
              <w:t>3</w:t>
            </w:r>
            <w:r w:rsidRPr="00051556">
              <w:rPr>
                <w:rFonts w:eastAsia="Cambria"/>
                <w:sz w:val="23"/>
                <w:szCs w:val="23"/>
              </w:rPr>
              <w:t xml:space="preserve">.4. Analysis of variance (Pooled across two experimental runs) for dollar spot, brown patch, and cyanobacteria on </w:t>
            </w:r>
            <w:r w:rsidR="002962EB" w:rsidRPr="00051556">
              <w:rPr>
                <w:rFonts w:eastAsia="Cambria"/>
                <w:sz w:val="23"/>
                <w:szCs w:val="23"/>
              </w:rPr>
              <w:t xml:space="preserve">a </w:t>
            </w:r>
            <w:r w:rsidR="00B72406" w:rsidRPr="00051556">
              <w:rPr>
                <w:rFonts w:eastAsia="Cambria"/>
                <w:sz w:val="23"/>
                <w:szCs w:val="23"/>
              </w:rPr>
              <w:t>‘Dominant S</w:t>
            </w:r>
            <w:r w:rsidRPr="00051556">
              <w:rPr>
                <w:rFonts w:eastAsia="Cambria"/>
                <w:sz w:val="23"/>
                <w:szCs w:val="23"/>
              </w:rPr>
              <w:t>outhern</w:t>
            </w:r>
            <w:r w:rsidR="00B72406" w:rsidRPr="00051556">
              <w:rPr>
                <w:rFonts w:eastAsia="Cambria"/>
                <w:sz w:val="23"/>
                <w:szCs w:val="23"/>
              </w:rPr>
              <w:t>’</w:t>
            </w:r>
            <w:r w:rsidRPr="00051556">
              <w:rPr>
                <w:rFonts w:eastAsia="Cambria"/>
                <w:sz w:val="23"/>
                <w:szCs w:val="23"/>
              </w:rPr>
              <w:t xml:space="preserve"> creeping bentgrass </w:t>
            </w:r>
            <w:r w:rsidR="002962EB" w:rsidRPr="00051556">
              <w:rPr>
                <w:rFonts w:eastAsia="Cambria"/>
                <w:sz w:val="23"/>
                <w:szCs w:val="23"/>
              </w:rPr>
              <w:t>(</w:t>
            </w:r>
            <w:r w:rsidR="002962EB" w:rsidRPr="00051556">
              <w:rPr>
                <w:rFonts w:eastAsia="Cambria"/>
                <w:i/>
                <w:sz w:val="23"/>
                <w:szCs w:val="23"/>
              </w:rPr>
              <w:t>Agrostis stolonifera</w:t>
            </w:r>
            <w:r w:rsidR="002962EB" w:rsidRPr="00051556">
              <w:rPr>
                <w:rFonts w:eastAsia="Cambria"/>
                <w:sz w:val="23"/>
                <w:szCs w:val="23"/>
              </w:rPr>
              <w:t xml:space="preserve"> L.) putting green </w:t>
            </w:r>
            <w:r w:rsidRPr="00051556">
              <w:rPr>
                <w:rFonts w:eastAsia="Cambria"/>
                <w:sz w:val="23"/>
                <w:szCs w:val="23"/>
              </w:rPr>
              <w:t xml:space="preserve">subjected to various strobilurin fungicide treatments and overspray combinations in </w:t>
            </w:r>
            <w:r w:rsidR="002962EB" w:rsidRPr="00051556">
              <w:rPr>
                <w:rFonts w:eastAsia="Cambria"/>
                <w:sz w:val="23"/>
                <w:szCs w:val="23"/>
              </w:rPr>
              <w:t>2011 and 2012</w:t>
            </w:r>
            <w:r w:rsidRPr="00051556">
              <w:rPr>
                <w:rFonts w:eastAsia="Cambria"/>
                <w:sz w:val="23"/>
                <w:szCs w:val="23"/>
              </w:rPr>
              <w:t>.</w:t>
            </w:r>
            <w:bookmarkEnd w:id="124"/>
            <w:bookmarkEnd w:id="125"/>
          </w:p>
        </w:tc>
      </w:tr>
      <w:tr w:rsidR="00F94637" w:rsidRPr="00473083" w:rsidTr="00B72406">
        <w:trPr>
          <w:trHeight w:val="434"/>
        </w:trPr>
        <w:tc>
          <w:tcPr>
            <w:tcW w:w="3223" w:type="dxa"/>
            <w:gridSpan w:val="5"/>
            <w:tcBorders>
              <w:left w:val="nil"/>
              <w:bottom w:val="nil"/>
              <w:right w:val="nil"/>
            </w:tcBorders>
            <w:shd w:val="clear" w:color="auto" w:fill="auto"/>
            <w:vAlign w:val="center"/>
          </w:tcPr>
          <w:p w:rsidR="00F94637" w:rsidRPr="00123C19" w:rsidRDefault="00F94637" w:rsidP="00123C19">
            <w:pPr>
              <w:rPr>
                <w:rFonts w:eastAsia="Cambria"/>
                <w:b/>
                <w:sz w:val="22"/>
                <w:szCs w:val="22"/>
              </w:rPr>
            </w:pPr>
          </w:p>
        </w:tc>
        <w:tc>
          <w:tcPr>
            <w:tcW w:w="5285" w:type="dxa"/>
            <w:gridSpan w:val="7"/>
            <w:tcBorders>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Days after initial treatment</w:t>
            </w:r>
          </w:p>
        </w:tc>
      </w:tr>
      <w:tr w:rsidR="00F94637" w:rsidRPr="00473083" w:rsidTr="00B72406">
        <w:trPr>
          <w:trHeight w:val="434"/>
        </w:trPr>
        <w:tc>
          <w:tcPr>
            <w:tcW w:w="1562" w:type="dxa"/>
            <w:gridSpan w:val="2"/>
            <w:tcBorders>
              <w:top w:val="nil"/>
              <w:left w:val="nil"/>
              <w:bottom w:val="single" w:sz="4" w:space="0" w:color="000000"/>
              <w:right w:val="nil"/>
            </w:tcBorders>
            <w:shd w:val="clear" w:color="auto" w:fill="auto"/>
            <w:vAlign w:val="center"/>
          </w:tcPr>
          <w:p w:rsidR="00F94637" w:rsidRPr="00123C19" w:rsidRDefault="00F94637" w:rsidP="00123C19">
            <w:pPr>
              <w:rPr>
                <w:rFonts w:eastAsia="Cambria"/>
                <w:b/>
                <w:sz w:val="22"/>
                <w:szCs w:val="22"/>
              </w:rPr>
            </w:pPr>
          </w:p>
        </w:tc>
        <w:tc>
          <w:tcPr>
            <w:tcW w:w="1202" w:type="dxa"/>
            <w:tcBorders>
              <w:top w:val="nil"/>
              <w:left w:val="nil"/>
              <w:bottom w:val="single" w:sz="4" w:space="0" w:color="000000"/>
              <w:right w:val="nil"/>
            </w:tcBorders>
            <w:shd w:val="clear" w:color="auto" w:fill="auto"/>
            <w:vAlign w:val="center"/>
          </w:tcPr>
          <w:p w:rsidR="00F94637" w:rsidRPr="00123C19" w:rsidRDefault="00F94637" w:rsidP="00123C19">
            <w:pPr>
              <w:rPr>
                <w:rFonts w:eastAsia="Cambria"/>
                <w:b/>
                <w:sz w:val="22"/>
                <w:szCs w:val="22"/>
              </w:rPr>
            </w:pPr>
          </w:p>
        </w:tc>
        <w:tc>
          <w:tcPr>
            <w:tcW w:w="459" w:type="dxa"/>
            <w:gridSpan w:val="2"/>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df</w:t>
            </w:r>
          </w:p>
        </w:tc>
        <w:tc>
          <w:tcPr>
            <w:tcW w:w="729"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14</w:t>
            </w:r>
          </w:p>
        </w:tc>
        <w:tc>
          <w:tcPr>
            <w:tcW w:w="702"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28</w:t>
            </w:r>
          </w:p>
        </w:tc>
        <w:tc>
          <w:tcPr>
            <w:tcW w:w="660"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42</w:t>
            </w:r>
          </w:p>
        </w:tc>
        <w:tc>
          <w:tcPr>
            <w:tcW w:w="640"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56</w:t>
            </w:r>
          </w:p>
        </w:tc>
        <w:tc>
          <w:tcPr>
            <w:tcW w:w="680"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70</w:t>
            </w:r>
          </w:p>
        </w:tc>
        <w:tc>
          <w:tcPr>
            <w:tcW w:w="706"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84</w:t>
            </w:r>
          </w:p>
        </w:tc>
        <w:tc>
          <w:tcPr>
            <w:tcW w:w="1168"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b/>
                <w:sz w:val="22"/>
                <w:szCs w:val="22"/>
              </w:rPr>
            </w:pPr>
            <w:r w:rsidRPr="00123C19">
              <w:rPr>
                <w:rFonts w:eastAsia="Cambria"/>
                <w:b/>
                <w:sz w:val="22"/>
                <w:szCs w:val="22"/>
              </w:rPr>
              <w:t>AU(X)PC</w:t>
            </w:r>
          </w:p>
        </w:tc>
      </w:tr>
      <w:tr w:rsidR="007F37CF" w:rsidRPr="00473083" w:rsidTr="007F37CF">
        <w:trPr>
          <w:trHeight w:val="363"/>
        </w:trPr>
        <w:tc>
          <w:tcPr>
            <w:tcW w:w="1278" w:type="dxa"/>
            <w:tcBorders>
              <w:top w:val="single" w:sz="4" w:space="0" w:color="000000"/>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single" w:sz="4" w:space="0" w:color="000000"/>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Replication</w:t>
            </w:r>
          </w:p>
        </w:tc>
        <w:tc>
          <w:tcPr>
            <w:tcW w:w="388"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3</w:t>
            </w:r>
          </w:p>
        </w:tc>
        <w:tc>
          <w:tcPr>
            <w:tcW w:w="729"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c>
          <w:tcPr>
            <w:tcW w:w="702"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60"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40"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80"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6"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1168" w:type="dxa"/>
            <w:tcBorders>
              <w:top w:val="single" w:sz="4" w:space="0" w:color="000000"/>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r>
      <w:tr w:rsidR="007F37CF" w:rsidRPr="00473083" w:rsidTr="007F37CF">
        <w:trPr>
          <w:trHeight w:val="363"/>
        </w:trPr>
        <w:tc>
          <w:tcPr>
            <w:tcW w:w="1278" w:type="dxa"/>
            <w:vMerge w:val="restart"/>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Dollar spot</w:t>
            </w: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Overspray (O)</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1</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w:t>
            </w:r>
          </w:p>
        </w:tc>
      </w:tr>
      <w:tr w:rsidR="007F37CF" w:rsidRPr="00473083" w:rsidTr="007F37CF">
        <w:trPr>
          <w:trHeight w:val="363"/>
        </w:trPr>
        <w:tc>
          <w:tcPr>
            <w:tcW w:w="1278" w:type="dxa"/>
            <w:vMerge/>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Fungicide (F)</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6</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r>
      <w:tr w:rsidR="007F37CF" w:rsidRPr="00473083" w:rsidTr="007F37CF">
        <w:trPr>
          <w:trHeight w:val="363"/>
        </w:trPr>
        <w:tc>
          <w:tcPr>
            <w:tcW w:w="1278" w:type="dxa"/>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O x F</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6</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r>
      <w:tr w:rsidR="00F94637" w:rsidRPr="00473083" w:rsidTr="007F37CF">
        <w:trPr>
          <w:trHeight w:val="290"/>
        </w:trPr>
        <w:tc>
          <w:tcPr>
            <w:tcW w:w="1278" w:type="dxa"/>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7230" w:type="dxa"/>
            <w:gridSpan w:val="11"/>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r>
      <w:tr w:rsidR="007F37CF" w:rsidRPr="00473083" w:rsidTr="007F37CF">
        <w:trPr>
          <w:trHeight w:val="363"/>
        </w:trPr>
        <w:tc>
          <w:tcPr>
            <w:tcW w:w="1278" w:type="dxa"/>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Replication</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3</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r>
      <w:tr w:rsidR="007F37CF" w:rsidRPr="00473083" w:rsidTr="007F37CF">
        <w:trPr>
          <w:trHeight w:val="363"/>
        </w:trPr>
        <w:tc>
          <w:tcPr>
            <w:tcW w:w="1278" w:type="dxa"/>
            <w:vMerge w:val="restart"/>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Brown patch</w:t>
            </w: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Overspray (O)</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1</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r>
      <w:tr w:rsidR="007F37CF" w:rsidRPr="00473083" w:rsidTr="007F37CF">
        <w:trPr>
          <w:trHeight w:val="363"/>
        </w:trPr>
        <w:tc>
          <w:tcPr>
            <w:tcW w:w="1278" w:type="dxa"/>
            <w:vMerge/>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Fungicide (F)</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6</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r>
      <w:tr w:rsidR="007F37CF" w:rsidRPr="00473083" w:rsidTr="007F37CF">
        <w:trPr>
          <w:trHeight w:val="363"/>
        </w:trPr>
        <w:tc>
          <w:tcPr>
            <w:tcW w:w="1278" w:type="dxa"/>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O x F</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6</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NS</w:t>
            </w:r>
          </w:p>
        </w:tc>
      </w:tr>
      <w:tr w:rsidR="00F94637" w:rsidRPr="00473083" w:rsidTr="007F37CF">
        <w:trPr>
          <w:trHeight w:val="290"/>
        </w:trPr>
        <w:tc>
          <w:tcPr>
            <w:tcW w:w="1278" w:type="dxa"/>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7230" w:type="dxa"/>
            <w:gridSpan w:val="11"/>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r>
      <w:tr w:rsidR="007F37CF" w:rsidRPr="00473083" w:rsidTr="007F37CF">
        <w:trPr>
          <w:trHeight w:val="363"/>
        </w:trPr>
        <w:tc>
          <w:tcPr>
            <w:tcW w:w="1278" w:type="dxa"/>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Replication</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3</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r>
      <w:tr w:rsidR="007F37CF" w:rsidRPr="00473083" w:rsidTr="007F37CF">
        <w:trPr>
          <w:trHeight w:val="363"/>
        </w:trPr>
        <w:tc>
          <w:tcPr>
            <w:tcW w:w="1278" w:type="dxa"/>
            <w:vMerge w:val="restart"/>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Cyano</w:t>
            </w:r>
            <w:r w:rsidR="007F37CF">
              <w:rPr>
                <w:rFonts w:eastAsia="Cambria"/>
                <w:color w:val="000000"/>
                <w:sz w:val="22"/>
                <w:szCs w:val="22"/>
              </w:rPr>
              <w:t>-</w:t>
            </w:r>
            <w:r w:rsidRPr="00123C19">
              <w:rPr>
                <w:rFonts w:eastAsia="Cambria"/>
                <w:color w:val="000000"/>
                <w:sz w:val="22"/>
                <w:szCs w:val="22"/>
              </w:rPr>
              <w:t>bacteria</w:t>
            </w: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Overspray (O)</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1</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ascii="Cambria" w:eastAsia="Cambria" w:hAnsi="Cambria"/>
                <w:sz w:val="22"/>
                <w:szCs w:val="22"/>
              </w:rPr>
            </w:pPr>
            <w:r w:rsidRPr="00123C19">
              <w:rPr>
                <w:rFonts w:eastAsia="Cambria"/>
                <w:color w:val="000000"/>
                <w:sz w:val="22"/>
                <w:szCs w:val="22"/>
              </w:rPr>
              <w:t>***</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w:t>
            </w:r>
          </w:p>
        </w:tc>
      </w:tr>
      <w:tr w:rsidR="007F37CF" w:rsidRPr="00473083" w:rsidTr="007F37CF">
        <w:trPr>
          <w:trHeight w:val="363"/>
        </w:trPr>
        <w:tc>
          <w:tcPr>
            <w:tcW w:w="1278" w:type="dxa"/>
            <w:vMerge/>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nil"/>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Fungicide (F)</w:t>
            </w:r>
          </w:p>
        </w:tc>
        <w:tc>
          <w:tcPr>
            <w:tcW w:w="388"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6</w:t>
            </w:r>
          </w:p>
        </w:tc>
        <w:tc>
          <w:tcPr>
            <w:tcW w:w="729"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2"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6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40"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c>
          <w:tcPr>
            <w:tcW w:w="680"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6" w:type="dxa"/>
            <w:tcBorders>
              <w:top w:val="nil"/>
              <w:left w:val="nil"/>
              <w:bottom w:val="nil"/>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1168" w:type="dxa"/>
            <w:tcBorders>
              <w:top w:val="nil"/>
              <w:left w:val="nil"/>
              <w:bottom w:val="nil"/>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r>
      <w:tr w:rsidR="007F37CF" w:rsidRPr="00473083" w:rsidTr="007F37CF">
        <w:trPr>
          <w:trHeight w:val="363"/>
        </w:trPr>
        <w:tc>
          <w:tcPr>
            <w:tcW w:w="1278" w:type="dxa"/>
            <w:tcBorders>
              <w:top w:val="nil"/>
              <w:left w:val="nil"/>
              <w:bottom w:val="single" w:sz="4" w:space="0" w:color="000000"/>
              <w:right w:val="nil"/>
            </w:tcBorders>
            <w:shd w:val="clear" w:color="auto" w:fill="auto"/>
            <w:vAlign w:val="center"/>
          </w:tcPr>
          <w:p w:rsidR="00F94637" w:rsidRPr="00123C19" w:rsidRDefault="00F94637" w:rsidP="00123C19">
            <w:pPr>
              <w:rPr>
                <w:rFonts w:eastAsia="Cambria"/>
                <w:color w:val="000000"/>
                <w:sz w:val="22"/>
                <w:szCs w:val="22"/>
              </w:rPr>
            </w:pPr>
          </w:p>
        </w:tc>
        <w:tc>
          <w:tcPr>
            <w:tcW w:w="1557" w:type="dxa"/>
            <w:gridSpan w:val="3"/>
            <w:tcBorders>
              <w:top w:val="nil"/>
              <w:left w:val="nil"/>
              <w:bottom w:val="single" w:sz="4" w:space="0" w:color="000000"/>
              <w:right w:val="nil"/>
            </w:tcBorders>
            <w:shd w:val="clear" w:color="auto" w:fill="auto"/>
            <w:vAlign w:val="center"/>
          </w:tcPr>
          <w:p w:rsidR="00F94637" w:rsidRPr="00123C19" w:rsidRDefault="00F94637" w:rsidP="00123C19">
            <w:pPr>
              <w:rPr>
                <w:rFonts w:eastAsia="Cambria"/>
                <w:color w:val="000000"/>
                <w:sz w:val="22"/>
                <w:szCs w:val="22"/>
              </w:rPr>
            </w:pPr>
            <w:r w:rsidRPr="00123C19">
              <w:rPr>
                <w:rFonts w:eastAsia="Cambria"/>
                <w:color w:val="000000"/>
                <w:sz w:val="22"/>
                <w:szCs w:val="22"/>
              </w:rPr>
              <w:t>O x F</w:t>
            </w:r>
          </w:p>
        </w:tc>
        <w:tc>
          <w:tcPr>
            <w:tcW w:w="388"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6</w:t>
            </w:r>
          </w:p>
        </w:tc>
        <w:tc>
          <w:tcPr>
            <w:tcW w:w="729"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2"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60"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40"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680"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706"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sz w:val="22"/>
                <w:szCs w:val="22"/>
              </w:rPr>
            </w:pPr>
            <w:r w:rsidRPr="00123C19">
              <w:rPr>
                <w:rFonts w:eastAsia="Cambria"/>
                <w:color w:val="000000"/>
                <w:sz w:val="22"/>
                <w:szCs w:val="22"/>
              </w:rPr>
              <w:t>NS</w:t>
            </w:r>
          </w:p>
        </w:tc>
        <w:tc>
          <w:tcPr>
            <w:tcW w:w="1168" w:type="dxa"/>
            <w:tcBorders>
              <w:top w:val="nil"/>
              <w:left w:val="nil"/>
              <w:bottom w:val="single" w:sz="4" w:space="0" w:color="000000"/>
              <w:right w:val="nil"/>
            </w:tcBorders>
            <w:shd w:val="clear" w:color="auto" w:fill="auto"/>
            <w:vAlign w:val="center"/>
          </w:tcPr>
          <w:p w:rsidR="00F94637" w:rsidRPr="00123C19" w:rsidRDefault="00F94637" w:rsidP="00123C19">
            <w:pPr>
              <w:jc w:val="center"/>
              <w:rPr>
                <w:rFonts w:eastAsia="Cambria"/>
                <w:color w:val="000000"/>
                <w:sz w:val="22"/>
                <w:szCs w:val="22"/>
              </w:rPr>
            </w:pPr>
            <w:r w:rsidRPr="00123C19">
              <w:rPr>
                <w:rFonts w:eastAsia="Cambria"/>
                <w:color w:val="000000"/>
                <w:sz w:val="22"/>
                <w:szCs w:val="22"/>
              </w:rPr>
              <w:t>NS</w:t>
            </w:r>
          </w:p>
        </w:tc>
      </w:tr>
      <w:tr w:rsidR="00F94637" w:rsidRPr="00473083" w:rsidTr="00B72406">
        <w:trPr>
          <w:trHeight w:val="145"/>
        </w:trPr>
        <w:tc>
          <w:tcPr>
            <w:tcW w:w="8508" w:type="dxa"/>
            <w:gridSpan w:val="12"/>
            <w:tcBorders>
              <w:top w:val="single" w:sz="4" w:space="0" w:color="000000"/>
              <w:left w:val="nil"/>
              <w:bottom w:val="nil"/>
              <w:right w:val="nil"/>
            </w:tcBorders>
            <w:shd w:val="clear" w:color="auto" w:fill="auto"/>
            <w:vAlign w:val="center"/>
          </w:tcPr>
          <w:p w:rsidR="00F94637" w:rsidRPr="00473083" w:rsidRDefault="00F94637" w:rsidP="00123C19">
            <w:pPr>
              <w:rPr>
                <w:rFonts w:eastAsia="Cambria"/>
                <w:color w:val="000000"/>
                <w:sz w:val="20"/>
                <w:szCs w:val="20"/>
              </w:rPr>
            </w:pPr>
            <w:r w:rsidRPr="00473083">
              <w:rPr>
                <w:rFonts w:eastAsia="Cambria"/>
                <w:color w:val="000000"/>
                <w:sz w:val="20"/>
                <w:szCs w:val="20"/>
              </w:rPr>
              <w:t>**</w:t>
            </w:r>
            <w:r w:rsidR="00123C19">
              <w:rPr>
                <w:rFonts w:eastAsia="Cambria"/>
                <w:color w:val="000000"/>
                <w:sz w:val="20"/>
                <w:szCs w:val="20"/>
              </w:rPr>
              <w:t xml:space="preserve"> </w:t>
            </w:r>
            <w:r w:rsidRPr="00473083">
              <w:rPr>
                <w:rFonts w:eastAsia="Cambria"/>
                <w:color w:val="000000"/>
                <w:sz w:val="20"/>
                <w:szCs w:val="20"/>
              </w:rPr>
              <w:t>Significant at the p ≤ 0.01 level.</w:t>
            </w:r>
          </w:p>
        </w:tc>
      </w:tr>
      <w:tr w:rsidR="00123C19" w:rsidRPr="00473083" w:rsidTr="00B72406">
        <w:trPr>
          <w:trHeight w:val="145"/>
        </w:trPr>
        <w:tc>
          <w:tcPr>
            <w:tcW w:w="8508" w:type="dxa"/>
            <w:gridSpan w:val="12"/>
            <w:tcBorders>
              <w:top w:val="nil"/>
              <w:left w:val="nil"/>
              <w:bottom w:val="nil"/>
              <w:right w:val="nil"/>
            </w:tcBorders>
            <w:shd w:val="clear" w:color="auto" w:fill="auto"/>
            <w:vAlign w:val="center"/>
          </w:tcPr>
          <w:p w:rsidR="00123C19" w:rsidRPr="00473083" w:rsidRDefault="00123C19" w:rsidP="00123C19">
            <w:pPr>
              <w:rPr>
                <w:rFonts w:eastAsia="Cambria"/>
                <w:color w:val="000000"/>
                <w:sz w:val="20"/>
                <w:szCs w:val="20"/>
              </w:rPr>
            </w:pPr>
            <w:r w:rsidRPr="00473083">
              <w:rPr>
                <w:rFonts w:eastAsia="Cambria"/>
                <w:color w:val="000000"/>
                <w:sz w:val="20"/>
                <w:szCs w:val="20"/>
              </w:rPr>
              <w:t>***</w:t>
            </w:r>
            <w:r>
              <w:rPr>
                <w:rFonts w:eastAsia="Cambria"/>
                <w:color w:val="000000"/>
                <w:sz w:val="20"/>
                <w:szCs w:val="20"/>
              </w:rPr>
              <w:t xml:space="preserve"> </w:t>
            </w:r>
            <w:r w:rsidRPr="00473083">
              <w:rPr>
                <w:rFonts w:eastAsia="Cambria"/>
                <w:color w:val="000000"/>
                <w:sz w:val="20"/>
                <w:szCs w:val="20"/>
              </w:rPr>
              <w:t>Significant at the p ≤ 0.001 level.</w:t>
            </w:r>
          </w:p>
        </w:tc>
      </w:tr>
      <w:tr w:rsidR="00123C19" w:rsidRPr="00473083" w:rsidTr="00B72406">
        <w:trPr>
          <w:trHeight w:val="145"/>
        </w:trPr>
        <w:tc>
          <w:tcPr>
            <w:tcW w:w="8508" w:type="dxa"/>
            <w:gridSpan w:val="12"/>
            <w:tcBorders>
              <w:top w:val="nil"/>
              <w:left w:val="nil"/>
              <w:bottom w:val="nil"/>
              <w:right w:val="nil"/>
            </w:tcBorders>
            <w:shd w:val="clear" w:color="auto" w:fill="auto"/>
            <w:vAlign w:val="center"/>
          </w:tcPr>
          <w:p w:rsidR="00123C19" w:rsidRPr="00473083" w:rsidRDefault="00123C19" w:rsidP="00123C19">
            <w:pPr>
              <w:rPr>
                <w:rFonts w:eastAsia="Cambria"/>
                <w:color w:val="000000"/>
                <w:sz w:val="20"/>
                <w:szCs w:val="20"/>
              </w:rPr>
            </w:pPr>
            <w:r w:rsidRPr="00473083">
              <w:rPr>
                <w:rFonts w:eastAsia="Cambria"/>
                <w:color w:val="000000"/>
                <w:sz w:val="20"/>
                <w:szCs w:val="20"/>
              </w:rPr>
              <w:t>†</w:t>
            </w:r>
            <w:r>
              <w:rPr>
                <w:rFonts w:eastAsia="Cambria"/>
                <w:color w:val="000000"/>
                <w:sz w:val="20"/>
                <w:szCs w:val="20"/>
              </w:rPr>
              <w:t xml:space="preserve"> </w:t>
            </w:r>
            <w:r w:rsidRPr="00473083">
              <w:rPr>
                <w:rFonts w:eastAsia="Cambria"/>
                <w:color w:val="000000"/>
                <w:sz w:val="20"/>
                <w:szCs w:val="20"/>
              </w:rPr>
              <w:t>NS</w:t>
            </w:r>
            <w:r>
              <w:rPr>
                <w:rFonts w:eastAsia="Cambria"/>
                <w:color w:val="000000"/>
                <w:sz w:val="20"/>
                <w:szCs w:val="20"/>
              </w:rPr>
              <w:t>, not significant</w:t>
            </w:r>
            <w:r w:rsidRPr="00473083">
              <w:rPr>
                <w:rFonts w:eastAsia="Cambria"/>
                <w:color w:val="000000"/>
                <w:sz w:val="20"/>
                <w:szCs w:val="20"/>
              </w:rPr>
              <w:t>.</w:t>
            </w:r>
          </w:p>
        </w:tc>
      </w:tr>
    </w:tbl>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Pr="00473083" w:rsidRDefault="00F94637" w:rsidP="00F94637"/>
    <w:tbl>
      <w:tblPr>
        <w:tblpPr w:leftFromText="180" w:rightFromText="180" w:vertAnchor="text" w:horzAnchor="margin" w:tblpY="11"/>
        <w:tblW w:w="8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8"/>
        <w:gridCol w:w="2018"/>
        <w:gridCol w:w="57"/>
        <w:gridCol w:w="805"/>
        <w:gridCol w:w="139"/>
        <w:gridCol w:w="634"/>
        <w:gridCol w:w="754"/>
        <w:gridCol w:w="754"/>
        <w:gridCol w:w="754"/>
        <w:gridCol w:w="754"/>
        <w:gridCol w:w="752"/>
      </w:tblGrid>
      <w:tr w:rsidR="00F94637" w:rsidRPr="00473083" w:rsidTr="00BE5250">
        <w:trPr>
          <w:trHeight w:val="363"/>
        </w:trPr>
        <w:tc>
          <w:tcPr>
            <w:tcW w:w="8429" w:type="dxa"/>
            <w:gridSpan w:val="11"/>
            <w:tcBorders>
              <w:top w:val="nil"/>
              <w:left w:val="nil"/>
              <w:bottom w:val="nil"/>
              <w:right w:val="nil"/>
            </w:tcBorders>
            <w:shd w:val="clear" w:color="auto" w:fill="auto"/>
            <w:vAlign w:val="center"/>
          </w:tcPr>
          <w:p w:rsidR="002962EB" w:rsidRPr="00051556" w:rsidRDefault="00F94637" w:rsidP="00051556">
            <w:pPr>
              <w:pStyle w:val="Heading2"/>
              <w:jc w:val="left"/>
              <w:rPr>
                <w:rFonts w:eastAsia="Calibri"/>
                <w:sz w:val="23"/>
                <w:szCs w:val="23"/>
              </w:rPr>
            </w:pPr>
            <w:bookmarkStart w:id="126" w:name="_Toc353890919"/>
            <w:bookmarkStart w:id="127" w:name="_Toc353892660"/>
            <w:r w:rsidRPr="00051556">
              <w:rPr>
                <w:rFonts w:eastAsia="Calibri"/>
                <w:sz w:val="23"/>
                <w:szCs w:val="23"/>
              </w:rPr>
              <w:t xml:space="preserve">Table </w:t>
            </w:r>
            <w:r w:rsidR="00A771D3" w:rsidRPr="00051556">
              <w:rPr>
                <w:rFonts w:eastAsia="Calibri"/>
                <w:sz w:val="23"/>
                <w:szCs w:val="23"/>
              </w:rPr>
              <w:t>3</w:t>
            </w:r>
            <w:r w:rsidRPr="00051556">
              <w:rPr>
                <w:rFonts w:eastAsia="Calibri"/>
                <w:sz w:val="23"/>
                <w:szCs w:val="23"/>
              </w:rPr>
              <w:t>.5. Spectra</w:t>
            </w:r>
            <w:r w:rsidR="006B2A18" w:rsidRPr="00051556">
              <w:rPr>
                <w:rFonts w:eastAsia="Calibri"/>
                <w:sz w:val="23"/>
                <w:szCs w:val="23"/>
              </w:rPr>
              <w:t>l reflectance measurements for n</w:t>
            </w:r>
            <w:r w:rsidRPr="00051556">
              <w:rPr>
                <w:rFonts w:eastAsia="Calibri"/>
                <w:sz w:val="23"/>
                <w:szCs w:val="23"/>
              </w:rPr>
              <w:t xml:space="preserve">ormalized </w:t>
            </w:r>
            <w:r w:rsidR="006B2A18" w:rsidRPr="00051556">
              <w:rPr>
                <w:rFonts w:eastAsia="Calibri"/>
                <w:sz w:val="23"/>
                <w:szCs w:val="23"/>
              </w:rPr>
              <w:t>d</w:t>
            </w:r>
            <w:r w:rsidRPr="00051556">
              <w:rPr>
                <w:rFonts w:eastAsia="Calibri"/>
                <w:sz w:val="23"/>
                <w:szCs w:val="23"/>
              </w:rPr>
              <w:t xml:space="preserve">ifference </w:t>
            </w:r>
            <w:r w:rsidR="006B2A18" w:rsidRPr="00051556">
              <w:rPr>
                <w:rFonts w:eastAsia="Calibri"/>
                <w:sz w:val="23"/>
                <w:szCs w:val="23"/>
              </w:rPr>
              <w:t>v</w:t>
            </w:r>
            <w:r w:rsidRPr="00051556">
              <w:rPr>
                <w:rFonts w:eastAsia="Calibri"/>
                <w:sz w:val="23"/>
                <w:szCs w:val="23"/>
              </w:rPr>
              <w:t xml:space="preserve">egetation </w:t>
            </w:r>
            <w:r w:rsidR="006B2A18" w:rsidRPr="00051556">
              <w:rPr>
                <w:rFonts w:eastAsia="Calibri"/>
                <w:sz w:val="23"/>
                <w:szCs w:val="23"/>
              </w:rPr>
              <w:t>i</w:t>
            </w:r>
            <w:r w:rsidRPr="00051556">
              <w:rPr>
                <w:rFonts w:eastAsia="Calibri"/>
                <w:sz w:val="23"/>
                <w:szCs w:val="23"/>
              </w:rPr>
              <w:t xml:space="preserve">ndex (NDVI) </w:t>
            </w:r>
            <w:r w:rsidR="00D2554A" w:rsidRPr="00051556">
              <w:rPr>
                <w:rFonts w:eastAsia="Calibri"/>
                <w:sz w:val="23"/>
                <w:szCs w:val="23"/>
              </w:rPr>
              <w:t>(Pooled across two experimental runs) on a ‘Dominant Southern’ creeping bentgrass (</w:t>
            </w:r>
            <w:r w:rsidR="00D2554A" w:rsidRPr="00051556">
              <w:rPr>
                <w:rFonts w:eastAsia="Calibri"/>
                <w:i/>
                <w:sz w:val="23"/>
                <w:szCs w:val="23"/>
              </w:rPr>
              <w:t>Agrostis stolonifera</w:t>
            </w:r>
            <w:r w:rsidR="00D2554A" w:rsidRPr="00051556">
              <w:rPr>
                <w:rFonts w:eastAsia="Calibri"/>
                <w:sz w:val="23"/>
                <w:szCs w:val="23"/>
              </w:rPr>
              <w:t xml:space="preserve"> L.) putting green located in Knoxville,TN, </w:t>
            </w:r>
            <w:r w:rsidR="002962EB" w:rsidRPr="00051556">
              <w:rPr>
                <w:rFonts w:eastAsia="Calibri"/>
                <w:sz w:val="23"/>
                <w:szCs w:val="23"/>
              </w:rPr>
              <w:t>under untreated (UNT) or oversprayed (OS) whole plots with various strobilurin fungicides  in 2011 and 2012.</w:t>
            </w:r>
            <w:bookmarkEnd w:id="126"/>
            <w:bookmarkEnd w:id="127"/>
          </w:p>
        </w:tc>
      </w:tr>
      <w:tr w:rsidR="00F94637" w:rsidRPr="00473083" w:rsidTr="00B72406">
        <w:trPr>
          <w:trHeight w:val="363"/>
        </w:trPr>
        <w:tc>
          <w:tcPr>
            <w:tcW w:w="3026" w:type="dxa"/>
            <w:gridSpan w:val="2"/>
            <w:tcBorders>
              <w:left w:val="nil"/>
              <w:bottom w:val="nil"/>
              <w:right w:val="nil"/>
            </w:tcBorders>
            <w:shd w:val="clear" w:color="auto" w:fill="auto"/>
            <w:vAlign w:val="center"/>
          </w:tcPr>
          <w:p w:rsidR="00F94637" w:rsidRPr="00A771D3" w:rsidRDefault="00F94637" w:rsidP="0096622C">
            <w:pPr>
              <w:rPr>
                <w:rFonts w:eastAsia="Cambria"/>
                <w:b/>
                <w:sz w:val="22"/>
                <w:szCs w:val="22"/>
              </w:rPr>
            </w:pPr>
          </w:p>
        </w:tc>
        <w:tc>
          <w:tcPr>
            <w:tcW w:w="1001" w:type="dxa"/>
            <w:gridSpan w:val="3"/>
            <w:tcBorders>
              <w:left w:val="nil"/>
              <w:bottom w:val="nil"/>
              <w:right w:val="nil"/>
            </w:tcBorders>
            <w:shd w:val="clear" w:color="auto" w:fill="auto"/>
          </w:tcPr>
          <w:p w:rsidR="00F94637" w:rsidRPr="00A771D3" w:rsidRDefault="00F94637" w:rsidP="0096622C">
            <w:pPr>
              <w:jc w:val="center"/>
              <w:rPr>
                <w:rFonts w:eastAsia="Cambria"/>
                <w:b/>
                <w:sz w:val="22"/>
                <w:szCs w:val="22"/>
              </w:rPr>
            </w:pPr>
          </w:p>
        </w:tc>
        <w:tc>
          <w:tcPr>
            <w:tcW w:w="4402" w:type="dxa"/>
            <w:gridSpan w:val="6"/>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Normalized Difference Vegetation Index</w:t>
            </w:r>
          </w:p>
        </w:tc>
      </w:tr>
      <w:tr w:rsidR="00F94637" w:rsidRPr="00473083" w:rsidTr="00B72406">
        <w:trPr>
          <w:trHeight w:val="335"/>
        </w:trPr>
        <w:tc>
          <w:tcPr>
            <w:tcW w:w="1008" w:type="dxa"/>
            <w:vMerge w:val="restart"/>
            <w:tcBorders>
              <w:top w:val="nil"/>
              <w:left w:val="nil"/>
              <w:bottom w:val="single" w:sz="4" w:space="0" w:color="000000"/>
              <w:right w:val="nil"/>
            </w:tcBorders>
            <w:shd w:val="clear" w:color="auto" w:fill="auto"/>
            <w:vAlign w:val="center"/>
          </w:tcPr>
          <w:p w:rsidR="00F94637" w:rsidRPr="00A771D3" w:rsidRDefault="00B72406" w:rsidP="00B72406">
            <w:pPr>
              <w:rPr>
                <w:rFonts w:eastAsia="Cambria"/>
                <w:b/>
                <w:sz w:val="22"/>
                <w:szCs w:val="22"/>
              </w:rPr>
            </w:pPr>
            <w:r>
              <w:rPr>
                <w:rFonts w:eastAsia="Cambria"/>
                <w:b/>
                <w:sz w:val="22"/>
                <w:szCs w:val="22"/>
              </w:rPr>
              <w:t>Whole plot</w:t>
            </w:r>
            <w:r w:rsidR="00F94637" w:rsidRPr="00A771D3">
              <w:rPr>
                <w:rFonts w:eastAsia="Cambria"/>
                <w:b/>
                <w:color w:val="000000"/>
                <w:sz w:val="22"/>
                <w:szCs w:val="22"/>
              </w:rPr>
              <w:t>†</w:t>
            </w:r>
          </w:p>
        </w:tc>
        <w:tc>
          <w:tcPr>
            <w:tcW w:w="2018" w:type="dxa"/>
            <w:vMerge w:val="restart"/>
            <w:tcBorders>
              <w:top w:val="nil"/>
              <w:left w:val="nil"/>
              <w:bottom w:val="single" w:sz="4" w:space="0" w:color="000000"/>
              <w:right w:val="nil"/>
            </w:tcBorders>
            <w:shd w:val="clear" w:color="auto" w:fill="auto"/>
            <w:vAlign w:val="center"/>
          </w:tcPr>
          <w:p w:rsidR="00F94637" w:rsidRPr="00A771D3" w:rsidRDefault="00F94637" w:rsidP="0096622C">
            <w:pPr>
              <w:tabs>
                <w:tab w:val="left" w:pos="1780"/>
              </w:tabs>
              <w:ind w:left="-50"/>
              <w:jc w:val="center"/>
              <w:rPr>
                <w:rFonts w:eastAsia="Cambria"/>
                <w:b/>
                <w:sz w:val="22"/>
                <w:szCs w:val="22"/>
              </w:rPr>
            </w:pPr>
            <w:r w:rsidRPr="00A771D3">
              <w:rPr>
                <w:rFonts w:eastAsia="Cambria"/>
                <w:b/>
                <w:sz w:val="22"/>
                <w:szCs w:val="22"/>
              </w:rPr>
              <w:t>Fungicide</w:t>
            </w:r>
          </w:p>
          <w:p w:rsidR="00F94637" w:rsidRPr="00A771D3" w:rsidRDefault="00F94637" w:rsidP="0096622C">
            <w:pPr>
              <w:tabs>
                <w:tab w:val="left" w:pos="1780"/>
              </w:tabs>
              <w:ind w:left="-50"/>
              <w:jc w:val="center"/>
              <w:rPr>
                <w:rFonts w:eastAsia="Cambria"/>
                <w:b/>
                <w:sz w:val="22"/>
                <w:szCs w:val="22"/>
              </w:rPr>
            </w:pPr>
            <w:r w:rsidRPr="00A771D3">
              <w:rPr>
                <w:rFonts w:eastAsia="Cambria"/>
                <w:b/>
                <w:sz w:val="22"/>
                <w:szCs w:val="22"/>
              </w:rPr>
              <w:t xml:space="preserve"> treatment</w:t>
            </w:r>
          </w:p>
        </w:tc>
        <w:tc>
          <w:tcPr>
            <w:tcW w:w="1001" w:type="dxa"/>
            <w:gridSpan w:val="3"/>
            <w:vMerge w:val="restart"/>
            <w:tcBorders>
              <w:top w:val="nil"/>
              <w:left w:val="nil"/>
              <w:bottom w:val="single" w:sz="4" w:space="0" w:color="000000"/>
              <w:right w:val="nil"/>
            </w:tcBorders>
            <w:shd w:val="clear" w:color="auto" w:fill="auto"/>
            <w:vAlign w:val="center"/>
          </w:tcPr>
          <w:p w:rsidR="00F94637" w:rsidRPr="00A771D3" w:rsidRDefault="00F94637" w:rsidP="0096622C">
            <w:pPr>
              <w:ind w:left="-44" w:right="-24"/>
              <w:jc w:val="center"/>
              <w:rPr>
                <w:rFonts w:eastAsia="Cambria"/>
                <w:b/>
                <w:sz w:val="22"/>
                <w:szCs w:val="22"/>
              </w:rPr>
            </w:pPr>
            <w:r w:rsidRPr="00A771D3">
              <w:rPr>
                <w:rFonts w:eastAsia="Cambria"/>
                <w:b/>
                <w:sz w:val="22"/>
                <w:szCs w:val="22"/>
              </w:rPr>
              <w:t>Rate</w:t>
            </w:r>
          </w:p>
          <w:p w:rsidR="00F94637" w:rsidRPr="00A771D3" w:rsidRDefault="00F94637" w:rsidP="0096622C">
            <w:pPr>
              <w:ind w:left="-44" w:right="-24"/>
              <w:jc w:val="center"/>
              <w:rPr>
                <w:rFonts w:eastAsia="Cambria"/>
                <w:b/>
                <w:sz w:val="22"/>
                <w:szCs w:val="22"/>
              </w:rPr>
            </w:pPr>
            <w:r w:rsidRPr="00A771D3">
              <w:rPr>
                <w:rFonts w:eastAsia="Cambria"/>
                <w:b/>
                <w:sz w:val="22"/>
                <w:szCs w:val="22"/>
              </w:rPr>
              <w:t>kg ai ha</w:t>
            </w:r>
            <w:r w:rsidRPr="00A771D3">
              <w:rPr>
                <w:rFonts w:eastAsia="Cambria"/>
                <w:b/>
                <w:sz w:val="22"/>
                <w:szCs w:val="22"/>
                <w:vertAlign w:val="superscript"/>
              </w:rPr>
              <w:t>-1</w:t>
            </w:r>
          </w:p>
        </w:tc>
        <w:tc>
          <w:tcPr>
            <w:tcW w:w="4402" w:type="dxa"/>
            <w:gridSpan w:val="6"/>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Days after initial treatment</w:t>
            </w:r>
          </w:p>
        </w:tc>
      </w:tr>
      <w:tr w:rsidR="00F94637" w:rsidRPr="00473083" w:rsidTr="00B72406">
        <w:trPr>
          <w:trHeight w:val="435"/>
        </w:trPr>
        <w:tc>
          <w:tcPr>
            <w:tcW w:w="1008" w:type="dxa"/>
            <w:vMerge/>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p>
        </w:tc>
        <w:tc>
          <w:tcPr>
            <w:tcW w:w="2018" w:type="dxa"/>
            <w:vMerge/>
            <w:tcBorders>
              <w:top w:val="nil"/>
              <w:left w:val="nil"/>
              <w:bottom w:val="single" w:sz="4" w:space="0" w:color="000000"/>
              <w:right w:val="nil"/>
            </w:tcBorders>
            <w:shd w:val="clear" w:color="auto" w:fill="auto"/>
            <w:vAlign w:val="center"/>
          </w:tcPr>
          <w:p w:rsidR="00F94637" w:rsidRPr="00A771D3" w:rsidRDefault="00F94637" w:rsidP="0096622C">
            <w:pPr>
              <w:tabs>
                <w:tab w:val="left" w:pos="1780"/>
              </w:tabs>
              <w:ind w:left="-50"/>
              <w:jc w:val="center"/>
              <w:rPr>
                <w:rFonts w:eastAsia="Cambria"/>
                <w:b/>
                <w:sz w:val="22"/>
                <w:szCs w:val="22"/>
              </w:rPr>
            </w:pPr>
          </w:p>
        </w:tc>
        <w:tc>
          <w:tcPr>
            <w:tcW w:w="1001" w:type="dxa"/>
            <w:gridSpan w:val="3"/>
            <w:vMerge/>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p>
        </w:tc>
        <w:tc>
          <w:tcPr>
            <w:tcW w:w="634" w:type="dxa"/>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14</w:t>
            </w:r>
          </w:p>
        </w:tc>
        <w:tc>
          <w:tcPr>
            <w:tcW w:w="754" w:type="dxa"/>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28</w:t>
            </w:r>
          </w:p>
        </w:tc>
        <w:tc>
          <w:tcPr>
            <w:tcW w:w="754" w:type="dxa"/>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42</w:t>
            </w:r>
          </w:p>
        </w:tc>
        <w:tc>
          <w:tcPr>
            <w:tcW w:w="754" w:type="dxa"/>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56</w:t>
            </w:r>
          </w:p>
        </w:tc>
        <w:tc>
          <w:tcPr>
            <w:tcW w:w="754" w:type="dxa"/>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70</w:t>
            </w:r>
          </w:p>
        </w:tc>
        <w:tc>
          <w:tcPr>
            <w:tcW w:w="752" w:type="dxa"/>
            <w:tcBorders>
              <w:left w:val="nil"/>
              <w:bottom w:val="single" w:sz="4" w:space="0" w:color="000000"/>
              <w:right w:val="nil"/>
            </w:tcBorders>
            <w:shd w:val="clear" w:color="auto" w:fill="auto"/>
            <w:vAlign w:val="center"/>
          </w:tcPr>
          <w:p w:rsidR="00F94637" w:rsidRPr="00A771D3" w:rsidRDefault="00F94637" w:rsidP="0096622C">
            <w:pPr>
              <w:jc w:val="center"/>
              <w:rPr>
                <w:rFonts w:eastAsia="Cambria"/>
                <w:b/>
                <w:sz w:val="22"/>
                <w:szCs w:val="22"/>
              </w:rPr>
            </w:pPr>
            <w:r w:rsidRPr="00A771D3">
              <w:rPr>
                <w:rFonts w:eastAsia="Cambria"/>
                <w:b/>
                <w:sz w:val="22"/>
                <w:szCs w:val="22"/>
              </w:rPr>
              <w:t>84</w:t>
            </w:r>
          </w:p>
        </w:tc>
      </w:tr>
      <w:tr w:rsidR="00F94637" w:rsidRPr="00473083" w:rsidTr="00B72406">
        <w:trPr>
          <w:trHeight w:val="437"/>
        </w:trPr>
        <w:tc>
          <w:tcPr>
            <w:tcW w:w="1008" w:type="dxa"/>
            <w:tcBorders>
              <w:top w:val="single" w:sz="4" w:space="0" w:color="000000"/>
              <w:left w:val="nil"/>
              <w:bottom w:val="nil"/>
              <w:right w:val="nil"/>
            </w:tcBorders>
            <w:shd w:val="clear" w:color="auto" w:fill="auto"/>
            <w:vAlign w:val="center"/>
          </w:tcPr>
          <w:p w:rsidR="00F94637" w:rsidRPr="00A771D3" w:rsidRDefault="00F94637" w:rsidP="0096622C">
            <w:pPr>
              <w:rPr>
                <w:rFonts w:eastAsia="Cambria"/>
                <w:sz w:val="22"/>
                <w:szCs w:val="22"/>
              </w:rPr>
            </w:pPr>
            <w:r w:rsidRPr="00A771D3">
              <w:rPr>
                <w:rFonts w:eastAsia="Cambria"/>
                <w:sz w:val="22"/>
                <w:szCs w:val="22"/>
              </w:rPr>
              <w:t>UNT</w:t>
            </w:r>
          </w:p>
        </w:tc>
        <w:tc>
          <w:tcPr>
            <w:tcW w:w="2075" w:type="dxa"/>
            <w:gridSpan w:val="2"/>
            <w:tcBorders>
              <w:top w:val="single" w:sz="4" w:space="0" w:color="000000"/>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Trifloxystrobin</w:t>
            </w:r>
          </w:p>
        </w:tc>
        <w:tc>
          <w:tcPr>
            <w:tcW w:w="805" w:type="dxa"/>
            <w:tcBorders>
              <w:top w:val="single" w:sz="4" w:space="0" w:color="000000"/>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0.38</w:t>
            </w:r>
          </w:p>
        </w:tc>
        <w:tc>
          <w:tcPr>
            <w:tcW w:w="773" w:type="dxa"/>
            <w:gridSpan w:val="2"/>
            <w:tcBorders>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0.722</w:t>
            </w:r>
          </w:p>
        </w:tc>
        <w:tc>
          <w:tcPr>
            <w:tcW w:w="754" w:type="dxa"/>
            <w:tcBorders>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0.679</w:t>
            </w:r>
          </w:p>
        </w:tc>
        <w:tc>
          <w:tcPr>
            <w:tcW w:w="754" w:type="dxa"/>
            <w:tcBorders>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0.676</w:t>
            </w:r>
          </w:p>
        </w:tc>
        <w:tc>
          <w:tcPr>
            <w:tcW w:w="754" w:type="dxa"/>
            <w:tcBorders>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0.655</w:t>
            </w:r>
          </w:p>
        </w:tc>
        <w:tc>
          <w:tcPr>
            <w:tcW w:w="754" w:type="dxa"/>
            <w:tcBorders>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0.661</w:t>
            </w:r>
          </w:p>
        </w:tc>
        <w:tc>
          <w:tcPr>
            <w:tcW w:w="752" w:type="dxa"/>
            <w:tcBorders>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0.651</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Fluoxastrobin</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0.55</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0.729</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0.691</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0.697</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0.675</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0.686</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0.669</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Pyraclostrobin (SC)</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0.55</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0.730</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0.692</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0.699</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0.678</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0.688</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0.669</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Azoxystrobin (TL)</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0.61</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0.726</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0.686</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0.685</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0.662</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0.675</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0.654</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Azoxystrobin (WDG)</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0.61</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0.723</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0.683</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0.685</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0.653</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0.668</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0.653</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Pyraclostrobin (WG)</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0.55</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0.724</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0.685</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0.686</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0.665</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0.675</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0.669</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12D4D" w:rsidP="0096622C">
            <w:pPr>
              <w:tabs>
                <w:tab w:val="left" w:pos="1780"/>
              </w:tabs>
              <w:ind w:left="-50" w:right="-45"/>
              <w:jc w:val="center"/>
              <w:rPr>
                <w:rFonts w:eastAsia="Cambria"/>
                <w:color w:val="000000"/>
                <w:sz w:val="22"/>
                <w:szCs w:val="22"/>
              </w:rPr>
            </w:pPr>
            <w:r>
              <w:rPr>
                <w:rFonts w:eastAsia="Cambria"/>
                <w:color w:val="000000"/>
                <w:sz w:val="22"/>
                <w:szCs w:val="22"/>
              </w:rPr>
              <w:t>Non-treated control</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0.720</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0.683</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0.684</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0.652</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0.662</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0.648</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r w:rsidRPr="00A771D3">
              <w:rPr>
                <w:rFonts w:eastAsia="Cambria"/>
                <w:sz w:val="22"/>
                <w:szCs w:val="22"/>
              </w:rPr>
              <w:t>OS</w:t>
            </w: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Trifloxystrobin</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0.38</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0.726</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0.686</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0.687</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0.654</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0.660</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0.654</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Fluoxastrobin</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0.55</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0.734</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0.693</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0.694</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0.658</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0.663</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0.654</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Pyraclostrobin (SC)</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0.55</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0.731</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0.692</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0.690</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0.649</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0.650</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0.642</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Azoxystrobin (TL)</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0.61</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0.728</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0.686</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0.688</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0.647</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0.660</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0.644</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Azoxystrobin (WDG)</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0.61</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0.730</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0.692</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0.689</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0.656</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0.668</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0.650</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color w:val="000000"/>
                <w:sz w:val="22"/>
                <w:szCs w:val="22"/>
              </w:rPr>
              <w:t>Pyraclostrobin (WG)</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0.55</w:t>
            </w: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0.732</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0.695</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0.690</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0.647</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0.654</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0.648</w:t>
            </w:r>
          </w:p>
        </w:tc>
      </w:tr>
      <w:tr w:rsidR="00F94637" w:rsidRPr="00473083" w:rsidTr="00B72406">
        <w:trPr>
          <w:trHeight w:val="437"/>
        </w:trPr>
        <w:tc>
          <w:tcPr>
            <w:tcW w:w="1008" w:type="dxa"/>
            <w:tcBorders>
              <w:top w:val="nil"/>
              <w:left w:val="nil"/>
              <w:bottom w:val="nil"/>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nil"/>
              <w:right w:val="nil"/>
            </w:tcBorders>
            <w:shd w:val="clear" w:color="auto" w:fill="auto"/>
            <w:vAlign w:val="center"/>
          </w:tcPr>
          <w:p w:rsidR="00F94637" w:rsidRPr="00A771D3" w:rsidRDefault="00F12D4D" w:rsidP="0096622C">
            <w:pPr>
              <w:tabs>
                <w:tab w:val="left" w:pos="1780"/>
              </w:tabs>
              <w:ind w:left="-50" w:right="-45"/>
              <w:jc w:val="center"/>
              <w:rPr>
                <w:rFonts w:eastAsia="Cambria"/>
                <w:color w:val="000000"/>
                <w:sz w:val="22"/>
                <w:szCs w:val="22"/>
              </w:rPr>
            </w:pPr>
            <w:r>
              <w:rPr>
                <w:rFonts w:eastAsia="Cambria"/>
                <w:color w:val="000000"/>
                <w:sz w:val="22"/>
                <w:szCs w:val="22"/>
              </w:rPr>
              <w:t>Non-treated control</w:t>
            </w:r>
          </w:p>
        </w:tc>
        <w:tc>
          <w:tcPr>
            <w:tcW w:w="805"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p>
        </w:tc>
        <w:tc>
          <w:tcPr>
            <w:tcW w:w="773" w:type="dxa"/>
            <w:gridSpan w:val="2"/>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0.733</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0.692</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0.694</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0.657</w:t>
            </w:r>
          </w:p>
        </w:tc>
        <w:tc>
          <w:tcPr>
            <w:tcW w:w="754"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0.664</w:t>
            </w:r>
          </w:p>
        </w:tc>
        <w:tc>
          <w:tcPr>
            <w:tcW w:w="752" w:type="dxa"/>
            <w:tcBorders>
              <w:top w:val="nil"/>
              <w:left w:val="nil"/>
              <w:bottom w:val="nil"/>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0.657</w:t>
            </w:r>
          </w:p>
        </w:tc>
      </w:tr>
      <w:tr w:rsidR="00F94637" w:rsidRPr="00473083" w:rsidTr="00230D9F">
        <w:trPr>
          <w:trHeight w:val="437"/>
        </w:trPr>
        <w:tc>
          <w:tcPr>
            <w:tcW w:w="1008" w:type="dxa"/>
            <w:tcBorders>
              <w:top w:val="nil"/>
              <w:left w:val="nil"/>
              <w:bottom w:val="single" w:sz="4" w:space="0" w:color="000000"/>
              <w:right w:val="nil"/>
            </w:tcBorders>
            <w:shd w:val="clear" w:color="auto" w:fill="auto"/>
            <w:vAlign w:val="center"/>
          </w:tcPr>
          <w:p w:rsidR="00F94637" w:rsidRPr="00A771D3" w:rsidRDefault="00F94637" w:rsidP="0096622C">
            <w:pPr>
              <w:rPr>
                <w:rFonts w:eastAsia="Cambria"/>
                <w:sz w:val="22"/>
                <w:szCs w:val="22"/>
              </w:rPr>
            </w:pPr>
          </w:p>
        </w:tc>
        <w:tc>
          <w:tcPr>
            <w:tcW w:w="2075" w:type="dxa"/>
            <w:gridSpan w:val="2"/>
            <w:tcBorders>
              <w:top w:val="nil"/>
              <w:left w:val="nil"/>
              <w:bottom w:val="single" w:sz="4" w:space="0" w:color="000000"/>
              <w:right w:val="nil"/>
            </w:tcBorders>
            <w:shd w:val="clear" w:color="auto" w:fill="auto"/>
            <w:vAlign w:val="center"/>
          </w:tcPr>
          <w:p w:rsidR="00F94637" w:rsidRPr="00A771D3" w:rsidRDefault="00F94637" w:rsidP="0096622C">
            <w:pPr>
              <w:tabs>
                <w:tab w:val="left" w:pos="1780"/>
              </w:tabs>
              <w:ind w:left="-50" w:right="-45"/>
              <w:jc w:val="center"/>
              <w:rPr>
                <w:rFonts w:eastAsia="Cambria"/>
                <w:color w:val="000000"/>
                <w:sz w:val="22"/>
                <w:szCs w:val="22"/>
              </w:rPr>
            </w:pPr>
            <w:r w:rsidRPr="00A771D3">
              <w:rPr>
                <w:rFonts w:eastAsia="Cambria"/>
                <w:sz w:val="22"/>
                <w:szCs w:val="22"/>
              </w:rPr>
              <w:t>LSD</w:t>
            </w:r>
            <w:r w:rsidRPr="00A771D3">
              <w:rPr>
                <w:rFonts w:eastAsia="Cambria"/>
                <w:sz w:val="22"/>
                <w:szCs w:val="22"/>
                <w:vertAlign w:val="subscript"/>
              </w:rPr>
              <w:t>0.05</w:t>
            </w:r>
          </w:p>
        </w:tc>
        <w:tc>
          <w:tcPr>
            <w:tcW w:w="944" w:type="dxa"/>
            <w:gridSpan w:val="2"/>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color w:val="000000"/>
                <w:sz w:val="22"/>
                <w:szCs w:val="22"/>
              </w:rPr>
            </w:pPr>
          </w:p>
        </w:tc>
        <w:tc>
          <w:tcPr>
            <w:tcW w:w="634" w:type="dxa"/>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sz w:val="22"/>
                <w:szCs w:val="22"/>
              </w:rPr>
              <w:t>NS</w:t>
            </w:r>
            <w:r w:rsidR="00EE4039" w:rsidRPr="00473083">
              <w:rPr>
                <w:rFonts w:eastAsia="Cambria"/>
                <w:color w:val="000000"/>
                <w:sz w:val="20"/>
                <w:szCs w:val="20"/>
              </w:rPr>
              <w:t>†</w:t>
            </w:r>
          </w:p>
        </w:tc>
        <w:tc>
          <w:tcPr>
            <w:tcW w:w="754" w:type="dxa"/>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NS</w:t>
            </w:r>
          </w:p>
        </w:tc>
        <w:tc>
          <w:tcPr>
            <w:tcW w:w="754" w:type="dxa"/>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NS</w:t>
            </w:r>
          </w:p>
        </w:tc>
        <w:tc>
          <w:tcPr>
            <w:tcW w:w="754" w:type="dxa"/>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NS</w:t>
            </w:r>
          </w:p>
        </w:tc>
        <w:tc>
          <w:tcPr>
            <w:tcW w:w="754" w:type="dxa"/>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NS</w:t>
            </w:r>
          </w:p>
        </w:tc>
        <w:tc>
          <w:tcPr>
            <w:tcW w:w="752" w:type="dxa"/>
            <w:tcBorders>
              <w:top w:val="nil"/>
              <w:left w:val="nil"/>
              <w:bottom w:val="single" w:sz="4" w:space="0" w:color="000000"/>
              <w:right w:val="nil"/>
            </w:tcBorders>
            <w:shd w:val="clear" w:color="auto" w:fill="auto"/>
            <w:vAlign w:val="center"/>
          </w:tcPr>
          <w:p w:rsidR="00F94637" w:rsidRPr="00A771D3" w:rsidRDefault="00F94637" w:rsidP="0096622C">
            <w:pPr>
              <w:jc w:val="center"/>
              <w:rPr>
                <w:rFonts w:eastAsia="Cambria"/>
                <w:color w:val="000000"/>
                <w:sz w:val="22"/>
                <w:szCs w:val="22"/>
              </w:rPr>
            </w:pPr>
            <w:r w:rsidRPr="00A771D3">
              <w:rPr>
                <w:rFonts w:eastAsia="Cambria"/>
                <w:color w:val="000000"/>
                <w:sz w:val="22"/>
                <w:szCs w:val="22"/>
              </w:rPr>
              <w:t>NS</w:t>
            </w:r>
          </w:p>
        </w:tc>
      </w:tr>
      <w:tr w:rsidR="00F94637" w:rsidRPr="00473083" w:rsidTr="00230D9F">
        <w:trPr>
          <w:trHeight w:val="256"/>
        </w:trPr>
        <w:tc>
          <w:tcPr>
            <w:tcW w:w="8429" w:type="dxa"/>
            <w:gridSpan w:val="11"/>
            <w:tcBorders>
              <w:top w:val="single" w:sz="4" w:space="0" w:color="000000"/>
              <w:left w:val="nil"/>
              <w:bottom w:val="nil"/>
              <w:right w:val="nil"/>
            </w:tcBorders>
            <w:shd w:val="clear" w:color="auto" w:fill="auto"/>
            <w:vAlign w:val="center"/>
          </w:tcPr>
          <w:p w:rsidR="00F94637" w:rsidRPr="00473083" w:rsidRDefault="00F94637" w:rsidP="0096622C">
            <w:pPr>
              <w:rPr>
                <w:rFonts w:eastAsia="Cambria"/>
                <w:color w:val="000000"/>
                <w:sz w:val="20"/>
                <w:szCs w:val="20"/>
              </w:rPr>
            </w:pPr>
            <w:r w:rsidRPr="00473083">
              <w:rPr>
                <w:rFonts w:eastAsia="Cambria"/>
                <w:sz w:val="20"/>
                <w:szCs w:val="20"/>
              </w:rPr>
              <w:t>†</w:t>
            </w:r>
            <w:r w:rsidRPr="00473083">
              <w:rPr>
                <w:sz w:val="20"/>
                <w:szCs w:val="20"/>
              </w:rPr>
              <w:t xml:space="preserve"> </w:t>
            </w:r>
            <w:r w:rsidRPr="00473083">
              <w:rPr>
                <w:rFonts w:eastAsia="Cambria"/>
                <w:sz w:val="20"/>
                <w:szCs w:val="20"/>
              </w:rPr>
              <w:t xml:space="preserve">Whole plots included an overspray (OS) of a fungicide mixture containing chlorothalonil and iprodione applied every 14 days to control foliar disease at </w:t>
            </w:r>
            <w:r w:rsidR="007D4682">
              <w:rPr>
                <w:rFonts w:eastAsia="Cambria"/>
                <w:sz w:val="20"/>
                <w:szCs w:val="20"/>
              </w:rPr>
              <w:t>8.05</w:t>
            </w:r>
            <w:r w:rsidRPr="00473083">
              <w:rPr>
                <w:rFonts w:eastAsia="Cambria"/>
                <w:sz w:val="20"/>
                <w:szCs w:val="20"/>
              </w:rPr>
              <w:t xml:space="preserve"> and </w:t>
            </w:r>
            <w:r w:rsidR="007D4682">
              <w:rPr>
                <w:rFonts w:eastAsia="Cambria"/>
                <w:sz w:val="20"/>
                <w:szCs w:val="20"/>
              </w:rPr>
              <w:t>3.05</w:t>
            </w:r>
            <w:r w:rsidRPr="00473083">
              <w:rPr>
                <w:rFonts w:eastAsia="Cambria"/>
                <w:sz w:val="20"/>
                <w:szCs w:val="20"/>
              </w:rPr>
              <w:t xml:space="preserve"> kg ai</w:t>
            </w:r>
            <w:r w:rsidR="003734A3">
              <w:rPr>
                <w:rFonts w:eastAsia="Cambria"/>
                <w:sz w:val="20"/>
                <w:szCs w:val="20"/>
              </w:rPr>
              <w:t xml:space="preserve"> </w:t>
            </w:r>
            <w:r w:rsidRPr="00473083">
              <w:rPr>
                <w:rFonts w:eastAsia="Cambria"/>
                <w:sz w:val="20"/>
                <w:szCs w:val="20"/>
              </w:rPr>
              <w:t>ha</w:t>
            </w:r>
            <w:r w:rsidR="006B3F29" w:rsidRPr="006B3F29">
              <w:rPr>
                <w:rFonts w:eastAsia="Cambria"/>
                <w:sz w:val="20"/>
                <w:szCs w:val="20"/>
                <w:vertAlign w:val="superscript"/>
              </w:rPr>
              <w:t>-1</w:t>
            </w:r>
            <w:r w:rsidRPr="00473083">
              <w:rPr>
                <w:rFonts w:eastAsia="Cambria"/>
                <w:sz w:val="20"/>
                <w:szCs w:val="20"/>
              </w:rPr>
              <w:t>, respectively, and an untreated treatment (UNT).</w:t>
            </w:r>
          </w:p>
        </w:tc>
      </w:tr>
      <w:tr w:rsidR="00EE4039" w:rsidRPr="00473083" w:rsidTr="00B72406">
        <w:trPr>
          <w:trHeight w:val="256"/>
        </w:trPr>
        <w:tc>
          <w:tcPr>
            <w:tcW w:w="8429" w:type="dxa"/>
            <w:gridSpan w:val="11"/>
            <w:tcBorders>
              <w:top w:val="nil"/>
              <w:left w:val="nil"/>
              <w:bottom w:val="nil"/>
              <w:right w:val="nil"/>
            </w:tcBorders>
            <w:shd w:val="clear" w:color="auto" w:fill="auto"/>
            <w:vAlign w:val="center"/>
          </w:tcPr>
          <w:p w:rsidR="00EE4039" w:rsidRPr="00473083" w:rsidRDefault="00EE4039" w:rsidP="0096622C">
            <w:pPr>
              <w:rPr>
                <w:rFonts w:eastAsia="Cambria"/>
                <w:sz w:val="20"/>
                <w:szCs w:val="20"/>
              </w:rPr>
            </w:pPr>
            <w:r w:rsidRPr="00473083">
              <w:rPr>
                <w:rFonts w:eastAsia="Cambria"/>
                <w:color w:val="000000"/>
                <w:sz w:val="20"/>
                <w:szCs w:val="20"/>
              </w:rPr>
              <w:t>†</w:t>
            </w:r>
            <w:r>
              <w:rPr>
                <w:rFonts w:eastAsia="Cambria"/>
                <w:color w:val="000000"/>
                <w:sz w:val="20"/>
                <w:szCs w:val="20"/>
              </w:rPr>
              <w:t xml:space="preserve"> </w:t>
            </w:r>
            <w:r w:rsidRPr="00473083">
              <w:rPr>
                <w:rFonts w:eastAsia="Cambria"/>
                <w:color w:val="000000"/>
                <w:sz w:val="20"/>
                <w:szCs w:val="20"/>
              </w:rPr>
              <w:t>NS</w:t>
            </w:r>
            <w:r>
              <w:rPr>
                <w:rFonts w:eastAsia="Cambria"/>
                <w:color w:val="000000"/>
                <w:sz w:val="20"/>
                <w:szCs w:val="20"/>
              </w:rPr>
              <w:t>, not significant</w:t>
            </w:r>
            <w:r w:rsidRPr="00473083">
              <w:rPr>
                <w:rFonts w:eastAsia="Cambria"/>
                <w:color w:val="000000"/>
                <w:sz w:val="20"/>
                <w:szCs w:val="20"/>
              </w:rPr>
              <w:t>.</w:t>
            </w:r>
          </w:p>
        </w:tc>
      </w:tr>
    </w:tbl>
    <w:p w:rsidR="00F94637" w:rsidRDefault="00F94637" w:rsidP="00F94637">
      <w:pPr>
        <w:pStyle w:val="Caption"/>
        <w:rPr>
          <w:rFonts w:ascii="Arial" w:hAnsi="Arial" w:cs="Arial"/>
          <w:sz w:val="24"/>
        </w:rPr>
      </w:pPr>
    </w:p>
    <w:p w:rsidR="00F12D4D" w:rsidRDefault="00F12D4D" w:rsidP="00F12D4D"/>
    <w:p w:rsidR="00F12D4D" w:rsidRDefault="00F12D4D" w:rsidP="00F12D4D"/>
    <w:p w:rsidR="00F12D4D" w:rsidRDefault="00F12D4D" w:rsidP="00F12D4D"/>
    <w:p w:rsidR="00506182" w:rsidRDefault="00506182" w:rsidP="00F12D4D"/>
    <w:tbl>
      <w:tblPr>
        <w:tblpPr w:leftFromText="180" w:rightFromText="180" w:vertAnchor="text" w:horzAnchor="margin" w:tblpY="374"/>
        <w:tblW w:w="8411" w:type="dxa"/>
        <w:tblBorders>
          <w:right w:val="single" w:sz="4" w:space="0" w:color="000000"/>
        </w:tblBorders>
        <w:tblLook w:val="04A0"/>
      </w:tblPr>
      <w:tblGrid>
        <w:gridCol w:w="1067"/>
        <w:gridCol w:w="1663"/>
        <w:gridCol w:w="524"/>
        <w:gridCol w:w="893"/>
        <w:gridCol w:w="891"/>
        <w:gridCol w:w="812"/>
        <w:gridCol w:w="813"/>
        <w:gridCol w:w="851"/>
        <w:gridCol w:w="897"/>
      </w:tblGrid>
      <w:tr w:rsidR="00F12D4D" w:rsidRPr="000A0A8D" w:rsidTr="00F12D4D">
        <w:trPr>
          <w:trHeight w:val="586"/>
        </w:trPr>
        <w:tc>
          <w:tcPr>
            <w:tcW w:w="8410" w:type="dxa"/>
            <w:gridSpan w:val="9"/>
            <w:tcBorders>
              <w:bottom w:val="single" w:sz="4" w:space="0" w:color="000000"/>
              <w:right w:val="nil"/>
            </w:tcBorders>
            <w:shd w:val="clear" w:color="auto" w:fill="auto"/>
            <w:vAlign w:val="center"/>
          </w:tcPr>
          <w:p w:rsidR="00D2554A" w:rsidRPr="00051556" w:rsidRDefault="00F12D4D" w:rsidP="00051556">
            <w:pPr>
              <w:pStyle w:val="Heading2"/>
              <w:jc w:val="left"/>
              <w:rPr>
                <w:rFonts w:eastAsia="Cambria"/>
                <w:sz w:val="23"/>
                <w:szCs w:val="23"/>
              </w:rPr>
            </w:pPr>
            <w:bookmarkStart w:id="128" w:name="_Toc353890920"/>
            <w:bookmarkStart w:id="129" w:name="_Toc353892661"/>
            <w:r w:rsidRPr="00051556">
              <w:rPr>
                <w:rFonts w:eastAsia="Cambria"/>
                <w:sz w:val="23"/>
                <w:szCs w:val="23"/>
              </w:rPr>
              <w:lastRenderedPageBreak/>
              <w:t>Table 3.6. Analysis of variance (Pooled acr</w:t>
            </w:r>
            <w:r w:rsidR="006B2A18" w:rsidRPr="00051556">
              <w:rPr>
                <w:rFonts w:eastAsia="Cambria"/>
                <w:sz w:val="23"/>
                <w:szCs w:val="23"/>
              </w:rPr>
              <w:t>oss two experimental runs) for n</w:t>
            </w:r>
            <w:r w:rsidRPr="00051556">
              <w:rPr>
                <w:rFonts w:eastAsia="Cambria"/>
                <w:sz w:val="23"/>
                <w:szCs w:val="23"/>
              </w:rPr>
              <w:t xml:space="preserve">ormalized </w:t>
            </w:r>
            <w:r w:rsidR="006B2A18" w:rsidRPr="00051556">
              <w:rPr>
                <w:rFonts w:eastAsia="Cambria"/>
                <w:sz w:val="23"/>
                <w:szCs w:val="23"/>
              </w:rPr>
              <w:t>d</w:t>
            </w:r>
            <w:r w:rsidRPr="00051556">
              <w:rPr>
                <w:rFonts w:eastAsia="Cambria"/>
                <w:sz w:val="23"/>
                <w:szCs w:val="23"/>
              </w:rPr>
              <w:t xml:space="preserve">ifference </w:t>
            </w:r>
            <w:r w:rsidR="006B2A18" w:rsidRPr="00051556">
              <w:rPr>
                <w:rFonts w:eastAsia="Cambria"/>
                <w:sz w:val="23"/>
                <w:szCs w:val="23"/>
              </w:rPr>
              <w:t>v</w:t>
            </w:r>
            <w:r w:rsidRPr="00051556">
              <w:rPr>
                <w:rFonts w:eastAsia="Cambria"/>
                <w:sz w:val="23"/>
                <w:szCs w:val="23"/>
              </w:rPr>
              <w:t xml:space="preserve">egetation </w:t>
            </w:r>
            <w:r w:rsidR="006B2A18" w:rsidRPr="00051556">
              <w:rPr>
                <w:rFonts w:eastAsia="Cambria"/>
                <w:sz w:val="23"/>
                <w:szCs w:val="23"/>
              </w:rPr>
              <w:t>i</w:t>
            </w:r>
            <w:r w:rsidRPr="00051556">
              <w:rPr>
                <w:rFonts w:eastAsia="Cambria"/>
                <w:sz w:val="23"/>
                <w:szCs w:val="23"/>
              </w:rPr>
              <w:t xml:space="preserve">ndex (NDVI) and </w:t>
            </w:r>
            <w:r w:rsidR="006B2A18" w:rsidRPr="00051556">
              <w:rPr>
                <w:rFonts w:eastAsia="Cambria"/>
                <w:sz w:val="23"/>
                <w:szCs w:val="23"/>
              </w:rPr>
              <w:t>r</w:t>
            </w:r>
            <w:r w:rsidRPr="00051556">
              <w:rPr>
                <w:rFonts w:eastAsia="Cambria"/>
                <w:sz w:val="23"/>
                <w:szCs w:val="23"/>
              </w:rPr>
              <w:t xml:space="preserve">atio </w:t>
            </w:r>
            <w:r w:rsidR="006B2A18" w:rsidRPr="00051556">
              <w:rPr>
                <w:rFonts w:eastAsia="Cambria"/>
                <w:sz w:val="23"/>
                <w:szCs w:val="23"/>
              </w:rPr>
              <w:t>v</w:t>
            </w:r>
            <w:r w:rsidRPr="00051556">
              <w:rPr>
                <w:rFonts w:eastAsia="Cambria"/>
                <w:sz w:val="23"/>
                <w:szCs w:val="23"/>
              </w:rPr>
              <w:t xml:space="preserve">egetation </w:t>
            </w:r>
            <w:r w:rsidR="006B2A18" w:rsidRPr="00051556">
              <w:rPr>
                <w:rFonts w:eastAsia="Cambria"/>
                <w:sz w:val="23"/>
                <w:szCs w:val="23"/>
              </w:rPr>
              <w:t>i</w:t>
            </w:r>
            <w:r w:rsidRPr="00051556">
              <w:rPr>
                <w:rFonts w:eastAsia="Cambria"/>
                <w:sz w:val="23"/>
                <w:szCs w:val="23"/>
              </w:rPr>
              <w:t>ndex (RVI) on</w:t>
            </w:r>
            <w:r w:rsidR="006B2A18" w:rsidRPr="00051556">
              <w:rPr>
                <w:rFonts w:eastAsia="Cambria"/>
                <w:sz w:val="23"/>
                <w:szCs w:val="23"/>
              </w:rPr>
              <w:t xml:space="preserve"> a</w:t>
            </w:r>
            <w:r w:rsidRPr="00051556">
              <w:rPr>
                <w:rFonts w:eastAsia="Cambria"/>
                <w:sz w:val="23"/>
                <w:szCs w:val="23"/>
              </w:rPr>
              <w:t xml:space="preserve"> ‘Dominant Southern’ creeping bentgrass</w:t>
            </w:r>
            <w:r w:rsidR="006B2A18" w:rsidRPr="00051556">
              <w:rPr>
                <w:rFonts w:eastAsia="Cambria"/>
                <w:sz w:val="23"/>
                <w:szCs w:val="23"/>
              </w:rPr>
              <w:t xml:space="preserve"> (</w:t>
            </w:r>
            <w:r w:rsidR="006B2A18" w:rsidRPr="00051556">
              <w:rPr>
                <w:rFonts w:eastAsia="Cambria"/>
                <w:i/>
                <w:sz w:val="23"/>
                <w:szCs w:val="23"/>
              </w:rPr>
              <w:t>Agrostis stolonifera L.</w:t>
            </w:r>
            <w:r w:rsidR="006B2A18" w:rsidRPr="00051556">
              <w:rPr>
                <w:rFonts w:eastAsia="Cambria"/>
                <w:sz w:val="23"/>
                <w:szCs w:val="23"/>
              </w:rPr>
              <w:t>) putting green</w:t>
            </w:r>
            <w:r w:rsidRPr="00051556">
              <w:rPr>
                <w:rFonts w:eastAsia="Cambria"/>
                <w:sz w:val="23"/>
                <w:szCs w:val="23"/>
              </w:rPr>
              <w:t xml:space="preserve"> subjected to various strobilurin fungicide treatments and overspray combinations in </w:t>
            </w:r>
            <w:r w:rsidR="006B2A18" w:rsidRPr="00051556">
              <w:rPr>
                <w:rFonts w:eastAsia="Cambria"/>
                <w:sz w:val="23"/>
                <w:szCs w:val="23"/>
              </w:rPr>
              <w:t>2011 and 2012</w:t>
            </w:r>
            <w:r w:rsidRPr="00051556">
              <w:rPr>
                <w:rFonts w:eastAsia="Cambria"/>
                <w:sz w:val="23"/>
                <w:szCs w:val="23"/>
              </w:rPr>
              <w:t>.</w:t>
            </w:r>
            <w:bookmarkEnd w:id="128"/>
            <w:bookmarkEnd w:id="129"/>
          </w:p>
        </w:tc>
      </w:tr>
      <w:tr w:rsidR="00F12D4D" w:rsidRPr="000A0A8D" w:rsidTr="00F12D4D">
        <w:trPr>
          <w:trHeight w:val="364"/>
        </w:trPr>
        <w:tc>
          <w:tcPr>
            <w:tcW w:w="3253" w:type="dxa"/>
            <w:gridSpan w:val="3"/>
            <w:tcBorders>
              <w:top w:val="single" w:sz="4" w:space="0" w:color="000000"/>
              <w:bottom w:val="nil"/>
              <w:right w:val="nil"/>
            </w:tcBorders>
            <w:shd w:val="clear" w:color="auto" w:fill="auto"/>
            <w:vAlign w:val="center"/>
          </w:tcPr>
          <w:p w:rsidR="00F12D4D" w:rsidRPr="000A0A8D" w:rsidRDefault="00F12D4D" w:rsidP="00BD403B">
            <w:pPr>
              <w:rPr>
                <w:rFonts w:eastAsia="Cambria"/>
                <w:b/>
                <w:sz w:val="20"/>
                <w:szCs w:val="20"/>
              </w:rPr>
            </w:pPr>
          </w:p>
        </w:tc>
        <w:tc>
          <w:tcPr>
            <w:tcW w:w="5157" w:type="dxa"/>
            <w:gridSpan w:val="6"/>
            <w:tcBorders>
              <w:top w:val="single" w:sz="4" w:space="0" w:color="000000"/>
              <w:left w:val="nil"/>
              <w:bottom w:val="single" w:sz="4" w:space="0" w:color="000000"/>
              <w:right w:val="nil"/>
            </w:tcBorders>
            <w:shd w:val="clear" w:color="auto" w:fill="auto"/>
            <w:vAlign w:val="center"/>
          </w:tcPr>
          <w:p w:rsidR="00F12D4D" w:rsidRPr="000A0A8D" w:rsidRDefault="00F12D4D" w:rsidP="00BD403B">
            <w:pPr>
              <w:jc w:val="center"/>
              <w:rPr>
                <w:rFonts w:eastAsia="Cambria"/>
                <w:b/>
              </w:rPr>
            </w:pPr>
            <w:r w:rsidRPr="000A0A8D">
              <w:rPr>
                <w:rFonts w:eastAsia="Cambria"/>
                <w:b/>
              </w:rPr>
              <w:t>Days after initial treatment</w:t>
            </w:r>
          </w:p>
        </w:tc>
      </w:tr>
      <w:tr w:rsidR="00F12D4D" w:rsidRPr="000A0A8D" w:rsidTr="00F12D4D">
        <w:trPr>
          <w:trHeight w:val="364"/>
        </w:trPr>
        <w:tc>
          <w:tcPr>
            <w:tcW w:w="1067" w:type="dxa"/>
            <w:tcBorders>
              <w:top w:val="nil"/>
              <w:bottom w:val="single" w:sz="4" w:space="0" w:color="000000"/>
              <w:right w:val="nil"/>
            </w:tcBorders>
            <w:shd w:val="clear" w:color="auto" w:fill="auto"/>
            <w:vAlign w:val="center"/>
          </w:tcPr>
          <w:p w:rsidR="00F12D4D" w:rsidRPr="000A0A8D" w:rsidRDefault="00F12D4D" w:rsidP="00BD403B">
            <w:pPr>
              <w:rPr>
                <w:rFonts w:eastAsia="Cambria"/>
                <w:b/>
              </w:rPr>
            </w:pPr>
          </w:p>
        </w:tc>
        <w:tc>
          <w:tcPr>
            <w:tcW w:w="1663" w:type="dxa"/>
            <w:tcBorders>
              <w:top w:val="nil"/>
              <w:left w:val="nil"/>
              <w:bottom w:val="single" w:sz="4" w:space="0" w:color="000000"/>
              <w:right w:val="nil"/>
            </w:tcBorders>
            <w:shd w:val="clear" w:color="auto" w:fill="auto"/>
            <w:vAlign w:val="center"/>
          </w:tcPr>
          <w:p w:rsidR="00F12D4D" w:rsidRPr="000A0A8D" w:rsidRDefault="00F12D4D" w:rsidP="00BD403B">
            <w:pPr>
              <w:rPr>
                <w:rFonts w:eastAsia="Cambria"/>
                <w:b/>
              </w:rPr>
            </w:pPr>
          </w:p>
        </w:tc>
        <w:tc>
          <w:tcPr>
            <w:tcW w:w="524" w:type="dxa"/>
            <w:tcBorders>
              <w:top w:val="nil"/>
              <w:left w:val="nil"/>
              <w:bottom w:val="single" w:sz="4" w:space="0" w:color="000000"/>
              <w:right w:val="nil"/>
            </w:tcBorders>
            <w:shd w:val="clear" w:color="auto" w:fill="auto"/>
            <w:vAlign w:val="center"/>
          </w:tcPr>
          <w:p w:rsidR="00F12D4D" w:rsidRPr="000A0A8D" w:rsidRDefault="00F12D4D" w:rsidP="00BD403B">
            <w:pPr>
              <w:jc w:val="center"/>
              <w:rPr>
                <w:rFonts w:eastAsia="Cambria"/>
                <w:b/>
                <w:sz w:val="20"/>
                <w:szCs w:val="20"/>
              </w:rPr>
            </w:pPr>
            <w:r w:rsidRPr="000A0A8D">
              <w:rPr>
                <w:rFonts w:eastAsia="Cambria"/>
                <w:b/>
                <w:sz w:val="20"/>
                <w:szCs w:val="20"/>
              </w:rPr>
              <w:t>df</w:t>
            </w:r>
          </w:p>
        </w:tc>
        <w:tc>
          <w:tcPr>
            <w:tcW w:w="893" w:type="dxa"/>
            <w:tcBorders>
              <w:top w:val="single" w:sz="4" w:space="0" w:color="000000"/>
              <w:left w:val="nil"/>
              <w:bottom w:val="single" w:sz="4" w:space="0" w:color="000000"/>
              <w:right w:val="nil"/>
            </w:tcBorders>
            <w:shd w:val="clear" w:color="auto" w:fill="auto"/>
            <w:vAlign w:val="center"/>
          </w:tcPr>
          <w:p w:rsidR="00F12D4D" w:rsidRPr="000A0A8D" w:rsidRDefault="00F12D4D" w:rsidP="00BD403B">
            <w:pPr>
              <w:jc w:val="center"/>
              <w:rPr>
                <w:rFonts w:eastAsia="Cambria"/>
                <w:b/>
                <w:sz w:val="20"/>
                <w:szCs w:val="20"/>
              </w:rPr>
            </w:pPr>
            <w:r w:rsidRPr="000A0A8D">
              <w:rPr>
                <w:rFonts w:eastAsia="Cambria"/>
                <w:b/>
                <w:sz w:val="20"/>
                <w:szCs w:val="20"/>
              </w:rPr>
              <w:t>14</w:t>
            </w:r>
          </w:p>
        </w:tc>
        <w:tc>
          <w:tcPr>
            <w:tcW w:w="891" w:type="dxa"/>
            <w:tcBorders>
              <w:top w:val="single" w:sz="4" w:space="0" w:color="000000"/>
              <w:left w:val="nil"/>
              <w:bottom w:val="single" w:sz="4" w:space="0" w:color="000000"/>
              <w:right w:val="nil"/>
            </w:tcBorders>
            <w:shd w:val="clear" w:color="auto" w:fill="auto"/>
            <w:vAlign w:val="center"/>
          </w:tcPr>
          <w:p w:rsidR="00F12D4D" w:rsidRPr="000A0A8D" w:rsidRDefault="00F12D4D" w:rsidP="00BD403B">
            <w:pPr>
              <w:jc w:val="center"/>
              <w:rPr>
                <w:rFonts w:eastAsia="Cambria"/>
                <w:b/>
                <w:sz w:val="20"/>
                <w:szCs w:val="20"/>
              </w:rPr>
            </w:pPr>
            <w:r w:rsidRPr="000A0A8D">
              <w:rPr>
                <w:rFonts w:eastAsia="Cambria"/>
                <w:b/>
                <w:sz w:val="20"/>
                <w:szCs w:val="20"/>
              </w:rPr>
              <w:t>28</w:t>
            </w:r>
          </w:p>
        </w:tc>
        <w:tc>
          <w:tcPr>
            <w:tcW w:w="812" w:type="dxa"/>
            <w:tcBorders>
              <w:top w:val="single" w:sz="4" w:space="0" w:color="000000"/>
              <w:left w:val="nil"/>
              <w:bottom w:val="single" w:sz="4" w:space="0" w:color="000000"/>
              <w:right w:val="nil"/>
            </w:tcBorders>
            <w:shd w:val="clear" w:color="auto" w:fill="auto"/>
            <w:vAlign w:val="center"/>
          </w:tcPr>
          <w:p w:rsidR="00F12D4D" w:rsidRPr="000A0A8D" w:rsidRDefault="00F12D4D" w:rsidP="00BD403B">
            <w:pPr>
              <w:jc w:val="center"/>
              <w:rPr>
                <w:rFonts w:eastAsia="Cambria"/>
                <w:b/>
                <w:sz w:val="20"/>
                <w:szCs w:val="20"/>
              </w:rPr>
            </w:pPr>
            <w:r w:rsidRPr="000A0A8D">
              <w:rPr>
                <w:rFonts w:eastAsia="Cambria"/>
                <w:b/>
                <w:sz w:val="20"/>
                <w:szCs w:val="20"/>
              </w:rPr>
              <w:t>42</w:t>
            </w:r>
          </w:p>
        </w:tc>
        <w:tc>
          <w:tcPr>
            <w:tcW w:w="813" w:type="dxa"/>
            <w:tcBorders>
              <w:top w:val="single" w:sz="4" w:space="0" w:color="000000"/>
              <w:left w:val="nil"/>
              <w:bottom w:val="single" w:sz="4" w:space="0" w:color="000000"/>
              <w:right w:val="nil"/>
            </w:tcBorders>
            <w:shd w:val="clear" w:color="auto" w:fill="auto"/>
            <w:vAlign w:val="center"/>
          </w:tcPr>
          <w:p w:rsidR="00F12D4D" w:rsidRPr="000A0A8D" w:rsidRDefault="00F12D4D" w:rsidP="00BD403B">
            <w:pPr>
              <w:jc w:val="center"/>
              <w:rPr>
                <w:rFonts w:eastAsia="Cambria"/>
                <w:b/>
                <w:sz w:val="20"/>
                <w:szCs w:val="20"/>
              </w:rPr>
            </w:pPr>
            <w:r w:rsidRPr="000A0A8D">
              <w:rPr>
                <w:rFonts w:eastAsia="Cambria"/>
                <w:b/>
                <w:sz w:val="20"/>
                <w:szCs w:val="20"/>
              </w:rPr>
              <w:t>56</w:t>
            </w:r>
          </w:p>
        </w:tc>
        <w:tc>
          <w:tcPr>
            <w:tcW w:w="851" w:type="dxa"/>
            <w:tcBorders>
              <w:top w:val="single" w:sz="4" w:space="0" w:color="000000"/>
              <w:left w:val="nil"/>
              <w:bottom w:val="single" w:sz="4" w:space="0" w:color="000000"/>
              <w:right w:val="nil"/>
            </w:tcBorders>
            <w:shd w:val="clear" w:color="auto" w:fill="auto"/>
            <w:vAlign w:val="center"/>
          </w:tcPr>
          <w:p w:rsidR="00F12D4D" w:rsidRPr="000A0A8D" w:rsidRDefault="00F12D4D" w:rsidP="00BD403B">
            <w:pPr>
              <w:jc w:val="center"/>
              <w:rPr>
                <w:rFonts w:eastAsia="Cambria"/>
                <w:b/>
                <w:sz w:val="20"/>
                <w:szCs w:val="20"/>
              </w:rPr>
            </w:pPr>
            <w:r w:rsidRPr="000A0A8D">
              <w:rPr>
                <w:rFonts w:eastAsia="Cambria"/>
                <w:b/>
                <w:sz w:val="20"/>
                <w:szCs w:val="20"/>
              </w:rPr>
              <w:t>70</w:t>
            </w:r>
          </w:p>
        </w:tc>
        <w:tc>
          <w:tcPr>
            <w:tcW w:w="897" w:type="dxa"/>
            <w:tcBorders>
              <w:top w:val="single" w:sz="4" w:space="0" w:color="000000"/>
              <w:left w:val="nil"/>
              <w:bottom w:val="single" w:sz="4" w:space="0" w:color="000000"/>
              <w:right w:val="nil"/>
            </w:tcBorders>
            <w:shd w:val="clear" w:color="auto" w:fill="auto"/>
            <w:vAlign w:val="center"/>
          </w:tcPr>
          <w:p w:rsidR="00F12D4D" w:rsidRPr="000A0A8D" w:rsidRDefault="00F12D4D" w:rsidP="00BD403B">
            <w:pPr>
              <w:jc w:val="center"/>
              <w:rPr>
                <w:rFonts w:eastAsia="Cambria"/>
                <w:b/>
                <w:sz w:val="20"/>
                <w:szCs w:val="20"/>
              </w:rPr>
            </w:pPr>
            <w:r w:rsidRPr="000A0A8D">
              <w:rPr>
                <w:rFonts w:eastAsia="Cambria"/>
                <w:b/>
                <w:sz w:val="20"/>
                <w:szCs w:val="20"/>
              </w:rPr>
              <w:t>84</w:t>
            </w:r>
          </w:p>
        </w:tc>
      </w:tr>
      <w:tr w:rsidR="00F12D4D" w:rsidRPr="000A0A8D" w:rsidTr="00F12D4D">
        <w:trPr>
          <w:trHeight w:val="364"/>
        </w:trPr>
        <w:tc>
          <w:tcPr>
            <w:tcW w:w="1067" w:type="dxa"/>
            <w:tcBorders>
              <w:top w:val="single" w:sz="4" w:space="0" w:color="000000"/>
              <w:bottom w:val="nil"/>
            </w:tcBorders>
            <w:shd w:val="clear" w:color="auto" w:fill="auto"/>
            <w:vAlign w:val="center"/>
          </w:tcPr>
          <w:p w:rsidR="00F12D4D" w:rsidRPr="000A0A8D" w:rsidRDefault="00F12D4D" w:rsidP="00BD403B">
            <w:pPr>
              <w:rPr>
                <w:rFonts w:eastAsia="Cambria"/>
                <w:color w:val="000000"/>
                <w:sz w:val="20"/>
                <w:szCs w:val="20"/>
              </w:rPr>
            </w:pPr>
          </w:p>
        </w:tc>
        <w:tc>
          <w:tcPr>
            <w:tcW w:w="1663" w:type="dxa"/>
            <w:tcBorders>
              <w:top w:val="single" w:sz="4" w:space="0" w:color="000000"/>
              <w:bottom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Replication</w:t>
            </w:r>
          </w:p>
        </w:tc>
        <w:tc>
          <w:tcPr>
            <w:tcW w:w="524" w:type="dxa"/>
            <w:tcBorders>
              <w:top w:val="single" w:sz="4" w:space="0" w:color="000000"/>
              <w:bottom w:val="nil"/>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3</w:t>
            </w:r>
          </w:p>
        </w:tc>
        <w:tc>
          <w:tcPr>
            <w:tcW w:w="893" w:type="dxa"/>
            <w:tcBorders>
              <w:top w:val="single" w:sz="4" w:space="0" w:color="000000"/>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NS</w:t>
            </w:r>
            <w:r w:rsidRPr="006B2A18">
              <w:rPr>
                <w:rFonts w:eastAsia="Cambria"/>
                <w:color w:val="000000"/>
                <w:sz w:val="20"/>
                <w:szCs w:val="20"/>
                <w:vertAlign w:val="superscript"/>
              </w:rPr>
              <w:t>†</w:t>
            </w:r>
          </w:p>
        </w:tc>
        <w:tc>
          <w:tcPr>
            <w:tcW w:w="891" w:type="dxa"/>
            <w:tcBorders>
              <w:top w:val="single" w:sz="4" w:space="0" w:color="000000"/>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2" w:type="dxa"/>
            <w:tcBorders>
              <w:top w:val="single" w:sz="4" w:space="0" w:color="000000"/>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3" w:type="dxa"/>
            <w:tcBorders>
              <w:top w:val="single" w:sz="4" w:space="0" w:color="000000"/>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51" w:type="dxa"/>
            <w:tcBorders>
              <w:top w:val="single" w:sz="4" w:space="0" w:color="000000"/>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7" w:type="dxa"/>
            <w:tcBorders>
              <w:top w:val="single" w:sz="4" w:space="0" w:color="000000"/>
              <w:bottom w:val="nil"/>
              <w:right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r>
      <w:tr w:rsidR="00F12D4D" w:rsidRPr="000A0A8D" w:rsidTr="00F12D4D">
        <w:trPr>
          <w:trHeight w:val="364"/>
        </w:trPr>
        <w:tc>
          <w:tcPr>
            <w:tcW w:w="1067" w:type="dxa"/>
            <w:vMerge w:val="restart"/>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NDVI</w:t>
            </w:r>
          </w:p>
        </w:tc>
        <w:tc>
          <w:tcPr>
            <w:tcW w:w="1663" w:type="dxa"/>
            <w:tcBorders>
              <w:top w:val="nil"/>
              <w:bottom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Overspray (O)</w:t>
            </w:r>
          </w:p>
        </w:tc>
        <w:tc>
          <w:tcPr>
            <w:tcW w:w="524" w:type="dxa"/>
            <w:tcBorders>
              <w:top w:val="nil"/>
              <w:bottom w:val="nil"/>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1</w:t>
            </w:r>
          </w:p>
        </w:tc>
        <w:tc>
          <w:tcPr>
            <w:tcW w:w="893"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w:t>
            </w:r>
          </w:p>
        </w:tc>
        <w:tc>
          <w:tcPr>
            <w:tcW w:w="891"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w:t>
            </w:r>
          </w:p>
        </w:tc>
        <w:tc>
          <w:tcPr>
            <w:tcW w:w="812" w:type="dxa"/>
            <w:tcBorders>
              <w:top w:val="nil"/>
              <w:bottom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c>
          <w:tcPr>
            <w:tcW w:w="813" w:type="dxa"/>
            <w:tcBorders>
              <w:top w:val="nil"/>
              <w:bottom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c>
          <w:tcPr>
            <w:tcW w:w="851" w:type="dxa"/>
            <w:tcBorders>
              <w:top w:val="nil"/>
              <w:bottom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c>
          <w:tcPr>
            <w:tcW w:w="897" w:type="dxa"/>
            <w:tcBorders>
              <w:top w:val="nil"/>
              <w:bottom w:val="nil"/>
              <w:right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r>
      <w:tr w:rsidR="00F12D4D" w:rsidRPr="000A0A8D" w:rsidTr="00F12D4D">
        <w:trPr>
          <w:trHeight w:val="364"/>
        </w:trPr>
        <w:tc>
          <w:tcPr>
            <w:tcW w:w="1067" w:type="dxa"/>
            <w:vMerge/>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p>
        </w:tc>
        <w:tc>
          <w:tcPr>
            <w:tcW w:w="1663" w:type="dxa"/>
            <w:tcBorders>
              <w:top w:val="nil"/>
              <w:bottom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Fungicide (F)</w:t>
            </w:r>
          </w:p>
        </w:tc>
        <w:tc>
          <w:tcPr>
            <w:tcW w:w="524" w:type="dxa"/>
            <w:tcBorders>
              <w:top w:val="nil"/>
              <w:bottom w:val="nil"/>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6</w:t>
            </w:r>
          </w:p>
        </w:tc>
        <w:tc>
          <w:tcPr>
            <w:tcW w:w="893"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2"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3"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NS</w:t>
            </w:r>
          </w:p>
        </w:tc>
        <w:tc>
          <w:tcPr>
            <w:tcW w:w="85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7" w:type="dxa"/>
            <w:tcBorders>
              <w:top w:val="nil"/>
              <w:bottom w:val="nil"/>
              <w:right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r>
      <w:tr w:rsidR="00F12D4D" w:rsidRPr="000A0A8D" w:rsidTr="00F12D4D">
        <w:trPr>
          <w:trHeight w:val="364"/>
        </w:trPr>
        <w:tc>
          <w:tcPr>
            <w:tcW w:w="1067"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p>
        </w:tc>
        <w:tc>
          <w:tcPr>
            <w:tcW w:w="1663" w:type="dxa"/>
            <w:tcBorders>
              <w:top w:val="nil"/>
              <w:bottom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O x F</w:t>
            </w:r>
          </w:p>
        </w:tc>
        <w:tc>
          <w:tcPr>
            <w:tcW w:w="524" w:type="dxa"/>
            <w:tcBorders>
              <w:top w:val="nil"/>
              <w:bottom w:val="nil"/>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6</w:t>
            </w:r>
          </w:p>
        </w:tc>
        <w:tc>
          <w:tcPr>
            <w:tcW w:w="893"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2"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3"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5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7" w:type="dxa"/>
            <w:tcBorders>
              <w:top w:val="nil"/>
              <w:bottom w:val="nil"/>
              <w:right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r>
      <w:tr w:rsidR="00F12D4D" w:rsidRPr="000A0A8D" w:rsidTr="00F12D4D">
        <w:trPr>
          <w:trHeight w:val="291"/>
        </w:trPr>
        <w:tc>
          <w:tcPr>
            <w:tcW w:w="8410" w:type="dxa"/>
            <w:gridSpan w:val="9"/>
            <w:tcBorders>
              <w:top w:val="nil"/>
              <w:bottom w:val="nil"/>
              <w:right w:val="nil"/>
            </w:tcBorders>
            <w:shd w:val="clear" w:color="auto" w:fill="auto"/>
            <w:vAlign w:val="center"/>
          </w:tcPr>
          <w:p w:rsidR="00F12D4D" w:rsidRPr="000A0A8D" w:rsidRDefault="00F12D4D" w:rsidP="00BD403B">
            <w:pPr>
              <w:jc w:val="center"/>
              <w:rPr>
                <w:rFonts w:eastAsia="Cambria"/>
                <w:color w:val="000000"/>
                <w:sz w:val="20"/>
                <w:szCs w:val="20"/>
              </w:rPr>
            </w:pPr>
          </w:p>
        </w:tc>
      </w:tr>
      <w:tr w:rsidR="00F12D4D" w:rsidRPr="000A0A8D" w:rsidTr="00F12D4D">
        <w:trPr>
          <w:trHeight w:val="364"/>
        </w:trPr>
        <w:tc>
          <w:tcPr>
            <w:tcW w:w="1067"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p>
        </w:tc>
        <w:tc>
          <w:tcPr>
            <w:tcW w:w="1663" w:type="dxa"/>
            <w:tcBorders>
              <w:top w:val="nil"/>
              <w:bottom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Replication</w:t>
            </w:r>
          </w:p>
        </w:tc>
        <w:tc>
          <w:tcPr>
            <w:tcW w:w="524" w:type="dxa"/>
            <w:tcBorders>
              <w:top w:val="nil"/>
              <w:bottom w:val="nil"/>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3</w:t>
            </w:r>
          </w:p>
        </w:tc>
        <w:tc>
          <w:tcPr>
            <w:tcW w:w="893"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NS</w:t>
            </w:r>
          </w:p>
        </w:tc>
        <w:tc>
          <w:tcPr>
            <w:tcW w:w="89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2"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3"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5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7" w:type="dxa"/>
            <w:tcBorders>
              <w:top w:val="nil"/>
              <w:bottom w:val="nil"/>
              <w:right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r>
      <w:tr w:rsidR="00F12D4D" w:rsidRPr="000A0A8D" w:rsidTr="00F12D4D">
        <w:trPr>
          <w:trHeight w:val="364"/>
        </w:trPr>
        <w:tc>
          <w:tcPr>
            <w:tcW w:w="1067" w:type="dxa"/>
            <w:vMerge w:val="restart"/>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RVI</w:t>
            </w:r>
          </w:p>
        </w:tc>
        <w:tc>
          <w:tcPr>
            <w:tcW w:w="1663" w:type="dxa"/>
            <w:tcBorders>
              <w:top w:val="nil"/>
              <w:bottom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Overspray (O)</w:t>
            </w:r>
          </w:p>
        </w:tc>
        <w:tc>
          <w:tcPr>
            <w:tcW w:w="524" w:type="dxa"/>
            <w:tcBorders>
              <w:top w:val="nil"/>
              <w:bottom w:val="nil"/>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1</w:t>
            </w:r>
          </w:p>
        </w:tc>
        <w:tc>
          <w:tcPr>
            <w:tcW w:w="893"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w:t>
            </w:r>
          </w:p>
        </w:tc>
        <w:tc>
          <w:tcPr>
            <w:tcW w:w="891"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NS</w:t>
            </w:r>
          </w:p>
        </w:tc>
        <w:tc>
          <w:tcPr>
            <w:tcW w:w="812" w:type="dxa"/>
            <w:tcBorders>
              <w:top w:val="nil"/>
              <w:bottom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c>
          <w:tcPr>
            <w:tcW w:w="813" w:type="dxa"/>
            <w:tcBorders>
              <w:top w:val="nil"/>
              <w:bottom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c>
          <w:tcPr>
            <w:tcW w:w="851" w:type="dxa"/>
            <w:tcBorders>
              <w:top w:val="nil"/>
              <w:bottom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c>
          <w:tcPr>
            <w:tcW w:w="897" w:type="dxa"/>
            <w:tcBorders>
              <w:top w:val="nil"/>
              <w:bottom w:val="nil"/>
              <w:right w:val="nil"/>
            </w:tcBorders>
            <w:shd w:val="clear" w:color="auto" w:fill="auto"/>
            <w:vAlign w:val="center"/>
          </w:tcPr>
          <w:p w:rsidR="00F12D4D" w:rsidRPr="000A0A8D" w:rsidRDefault="00F12D4D" w:rsidP="00BD403B">
            <w:pPr>
              <w:jc w:val="center"/>
              <w:rPr>
                <w:rFonts w:ascii="Cambria" w:eastAsia="Cambria" w:hAnsi="Cambria"/>
              </w:rPr>
            </w:pPr>
            <w:r w:rsidRPr="000A0A8D">
              <w:rPr>
                <w:rFonts w:eastAsia="Cambria"/>
                <w:color w:val="000000"/>
                <w:sz w:val="20"/>
                <w:szCs w:val="20"/>
              </w:rPr>
              <w:t>NS</w:t>
            </w:r>
          </w:p>
        </w:tc>
      </w:tr>
      <w:tr w:rsidR="00F12D4D" w:rsidRPr="000A0A8D" w:rsidTr="00F12D4D">
        <w:trPr>
          <w:trHeight w:val="364"/>
        </w:trPr>
        <w:tc>
          <w:tcPr>
            <w:tcW w:w="1067" w:type="dxa"/>
            <w:vMerge/>
            <w:tcBorders>
              <w:top w:val="nil"/>
              <w:bottom w:val="nil"/>
            </w:tcBorders>
            <w:shd w:val="clear" w:color="auto" w:fill="auto"/>
            <w:vAlign w:val="center"/>
          </w:tcPr>
          <w:p w:rsidR="00F12D4D" w:rsidRPr="000A0A8D" w:rsidRDefault="00F12D4D" w:rsidP="00BD403B">
            <w:pPr>
              <w:rPr>
                <w:rFonts w:eastAsia="Cambria"/>
                <w:color w:val="000000"/>
                <w:sz w:val="20"/>
                <w:szCs w:val="20"/>
              </w:rPr>
            </w:pPr>
          </w:p>
        </w:tc>
        <w:tc>
          <w:tcPr>
            <w:tcW w:w="1663" w:type="dxa"/>
            <w:tcBorders>
              <w:top w:val="nil"/>
              <w:bottom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Fungicide (F)</w:t>
            </w:r>
          </w:p>
        </w:tc>
        <w:tc>
          <w:tcPr>
            <w:tcW w:w="524" w:type="dxa"/>
            <w:tcBorders>
              <w:top w:val="nil"/>
              <w:bottom w:val="nil"/>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6</w:t>
            </w:r>
          </w:p>
        </w:tc>
        <w:tc>
          <w:tcPr>
            <w:tcW w:w="893"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2"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3" w:type="dxa"/>
            <w:tcBorders>
              <w:top w:val="nil"/>
              <w:bottom w:val="nil"/>
            </w:tcBorders>
            <w:shd w:val="clear" w:color="auto" w:fill="auto"/>
            <w:vAlign w:val="center"/>
          </w:tcPr>
          <w:p w:rsidR="00F12D4D" w:rsidRPr="000A0A8D" w:rsidRDefault="00F12D4D" w:rsidP="00BD403B">
            <w:pPr>
              <w:jc w:val="center"/>
              <w:rPr>
                <w:rFonts w:eastAsia="Cambria"/>
                <w:color w:val="000000"/>
                <w:sz w:val="20"/>
                <w:szCs w:val="20"/>
              </w:rPr>
            </w:pPr>
            <w:r w:rsidRPr="000A0A8D">
              <w:rPr>
                <w:rFonts w:eastAsia="Cambria"/>
                <w:color w:val="000000"/>
                <w:sz w:val="20"/>
                <w:szCs w:val="20"/>
              </w:rPr>
              <w:t>NS</w:t>
            </w:r>
          </w:p>
        </w:tc>
        <w:tc>
          <w:tcPr>
            <w:tcW w:w="851" w:type="dxa"/>
            <w:tcBorders>
              <w:top w:val="nil"/>
              <w:bottom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7" w:type="dxa"/>
            <w:tcBorders>
              <w:top w:val="nil"/>
              <w:bottom w:val="nil"/>
              <w:right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r>
      <w:tr w:rsidR="00F12D4D" w:rsidRPr="000A0A8D" w:rsidTr="00F12D4D">
        <w:trPr>
          <w:trHeight w:val="364"/>
        </w:trPr>
        <w:tc>
          <w:tcPr>
            <w:tcW w:w="1067" w:type="dxa"/>
            <w:tcBorders>
              <w:top w:val="nil"/>
              <w:bottom w:val="single" w:sz="4" w:space="0" w:color="000000"/>
            </w:tcBorders>
            <w:shd w:val="clear" w:color="auto" w:fill="auto"/>
            <w:vAlign w:val="center"/>
          </w:tcPr>
          <w:p w:rsidR="00F12D4D" w:rsidRPr="000A0A8D" w:rsidRDefault="00F12D4D" w:rsidP="00BD403B">
            <w:pPr>
              <w:rPr>
                <w:rFonts w:eastAsia="Cambria"/>
                <w:color w:val="000000"/>
                <w:sz w:val="20"/>
                <w:szCs w:val="20"/>
              </w:rPr>
            </w:pPr>
          </w:p>
        </w:tc>
        <w:tc>
          <w:tcPr>
            <w:tcW w:w="1663" w:type="dxa"/>
            <w:tcBorders>
              <w:top w:val="nil"/>
              <w:bottom w:val="single" w:sz="4" w:space="0" w:color="000000"/>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O x F</w:t>
            </w:r>
          </w:p>
        </w:tc>
        <w:tc>
          <w:tcPr>
            <w:tcW w:w="524" w:type="dxa"/>
            <w:tcBorders>
              <w:top w:val="nil"/>
              <w:bottom w:val="single" w:sz="4" w:space="0" w:color="000000"/>
            </w:tcBorders>
            <w:shd w:val="clear" w:color="auto" w:fill="auto"/>
            <w:vAlign w:val="center"/>
          </w:tcPr>
          <w:p w:rsidR="00F12D4D" w:rsidRPr="000A0A8D" w:rsidRDefault="00F12D4D" w:rsidP="00BD403B">
            <w:pPr>
              <w:jc w:val="center"/>
              <w:rPr>
                <w:rFonts w:eastAsia="Cambria"/>
                <w:sz w:val="20"/>
                <w:szCs w:val="20"/>
              </w:rPr>
            </w:pPr>
            <w:r w:rsidRPr="000A0A8D">
              <w:rPr>
                <w:rFonts w:eastAsia="Cambria"/>
                <w:color w:val="000000"/>
                <w:sz w:val="20"/>
                <w:szCs w:val="20"/>
              </w:rPr>
              <w:t>6</w:t>
            </w:r>
          </w:p>
        </w:tc>
        <w:tc>
          <w:tcPr>
            <w:tcW w:w="893" w:type="dxa"/>
            <w:tcBorders>
              <w:top w:val="nil"/>
              <w:bottom w:val="single" w:sz="4" w:space="0" w:color="000000"/>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1" w:type="dxa"/>
            <w:tcBorders>
              <w:top w:val="nil"/>
              <w:bottom w:val="single" w:sz="4" w:space="0" w:color="000000"/>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2" w:type="dxa"/>
            <w:tcBorders>
              <w:top w:val="nil"/>
              <w:bottom w:val="single" w:sz="4" w:space="0" w:color="000000"/>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13" w:type="dxa"/>
            <w:tcBorders>
              <w:top w:val="nil"/>
              <w:bottom w:val="single" w:sz="4" w:space="0" w:color="000000"/>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51" w:type="dxa"/>
            <w:tcBorders>
              <w:top w:val="nil"/>
              <w:bottom w:val="single" w:sz="4" w:space="0" w:color="000000"/>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c>
          <w:tcPr>
            <w:tcW w:w="897" w:type="dxa"/>
            <w:tcBorders>
              <w:top w:val="nil"/>
              <w:bottom w:val="single" w:sz="4" w:space="0" w:color="000000"/>
              <w:right w:val="nil"/>
            </w:tcBorders>
            <w:shd w:val="clear" w:color="auto" w:fill="auto"/>
            <w:vAlign w:val="center"/>
          </w:tcPr>
          <w:p w:rsidR="00F12D4D" w:rsidRPr="000A0A8D" w:rsidRDefault="00F12D4D" w:rsidP="00BD403B">
            <w:pPr>
              <w:jc w:val="center"/>
              <w:rPr>
                <w:rFonts w:eastAsia="Cambria"/>
              </w:rPr>
            </w:pPr>
            <w:r w:rsidRPr="000A0A8D">
              <w:rPr>
                <w:rFonts w:eastAsia="Cambria"/>
                <w:color w:val="000000"/>
                <w:sz w:val="20"/>
                <w:szCs w:val="20"/>
              </w:rPr>
              <w:t>NS</w:t>
            </w:r>
          </w:p>
        </w:tc>
      </w:tr>
      <w:tr w:rsidR="00F12D4D" w:rsidRPr="000A0A8D" w:rsidTr="00F12D4D">
        <w:trPr>
          <w:trHeight w:val="438"/>
        </w:trPr>
        <w:tc>
          <w:tcPr>
            <w:tcW w:w="8410" w:type="dxa"/>
            <w:gridSpan w:val="9"/>
            <w:tcBorders>
              <w:top w:val="single" w:sz="4" w:space="0" w:color="000000"/>
              <w:right w:val="nil"/>
            </w:tcBorders>
            <w:shd w:val="clear" w:color="auto" w:fill="auto"/>
            <w:vAlign w:val="center"/>
          </w:tcPr>
          <w:p w:rsidR="00F12D4D" w:rsidRPr="000A0A8D" w:rsidRDefault="00F12D4D" w:rsidP="00BD403B">
            <w:pPr>
              <w:rPr>
                <w:rFonts w:eastAsia="Cambria"/>
                <w:color w:val="000000"/>
                <w:sz w:val="20"/>
                <w:szCs w:val="20"/>
              </w:rPr>
            </w:pPr>
            <w:r w:rsidRPr="000A0A8D">
              <w:rPr>
                <w:rFonts w:eastAsia="Cambria"/>
                <w:color w:val="000000"/>
                <w:sz w:val="20"/>
                <w:szCs w:val="20"/>
              </w:rPr>
              <w:t>*Significant at the p ≤ 0.05 level.</w:t>
            </w:r>
          </w:p>
          <w:p w:rsidR="00F12D4D" w:rsidRPr="000A0A8D" w:rsidRDefault="00F12D4D" w:rsidP="00BD403B">
            <w:pPr>
              <w:rPr>
                <w:rFonts w:eastAsia="Cambria"/>
                <w:color w:val="000000"/>
                <w:sz w:val="20"/>
                <w:szCs w:val="20"/>
              </w:rPr>
            </w:pPr>
            <w:r w:rsidRPr="000A0A8D">
              <w:rPr>
                <w:rFonts w:eastAsia="Cambria"/>
                <w:color w:val="000000"/>
                <w:sz w:val="20"/>
                <w:szCs w:val="20"/>
              </w:rPr>
              <w:t>†NS = not significant.</w:t>
            </w:r>
          </w:p>
        </w:tc>
      </w:tr>
    </w:tbl>
    <w:p w:rsidR="00F12D4D" w:rsidRDefault="00F12D4D" w:rsidP="00F12D4D"/>
    <w:p w:rsidR="00F12D4D" w:rsidRDefault="00F12D4D" w:rsidP="00F12D4D"/>
    <w:p w:rsidR="00F12D4D" w:rsidRDefault="00F12D4D" w:rsidP="00F12D4D"/>
    <w:p w:rsidR="00051556" w:rsidRDefault="00051556" w:rsidP="00F12D4D"/>
    <w:p w:rsidR="00F12D4D" w:rsidRPr="00F12D4D" w:rsidRDefault="00F12D4D" w:rsidP="00F12D4D"/>
    <w:tbl>
      <w:tblPr>
        <w:tblpPr w:leftFromText="180" w:rightFromText="180" w:vertAnchor="text" w:horzAnchor="margin" w:tblpY="-50"/>
        <w:tblW w:w="8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18"/>
        <w:gridCol w:w="2560"/>
        <w:gridCol w:w="1419"/>
        <w:gridCol w:w="2111"/>
      </w:tblGrid>
      <w:tr w:rsidR="00F94637" w:rsidRPr="00473083" w:rsidTr="007F37CF">
        <w:trPr>
          <w:trHeight w:val="333"/>
        </w:trPr>
        <w:tc>
          <w:tcPr>
            <w:tcW w:w="8408" w:type="dxa"/>
            <w:gridSpan w:val="4"/>
            <w:tcBorders>
              <w:top w:val="nil"/>
              <w:left w:val="nil"/>
              <w:bottom w:val="single" w:sz="4" w:space="0" w:color="000000"/>
              <w:right w:val="nil"/>
            </w:tcBorders>
            <w:shd w:val="clear" w:color="auto" w:fill="auto"/>
            <w:vAlign w:val="center"/>
          </w:tcPr>
          <w:p w:rsidR="006B2A18" w:rsidRPr="00051556" w:rsidRDefault="00F94637" w:rsidP="00051556">
            <w:pPr>
              <w:pStyle w:val="Heading2"/>
              <w:jc w:val="left"/>
              <w:rPr>
                <w:rFonts w:eastAsia="Calibri"/>
                <w:sz w:val="23"/>
                <w:szCs w:val="23"/>
              </w:rPr>
            </w:pPr>
            <w:bookmarkStart w:id="130" w:name="_Toc353890921"/>
            <w:bookmarkStart w:id="131" w:name="_Toc353892662"/>
            <w:r w:rsidRPr="00051556">
              <w:rPr>
                <w:rFonts w:eastAsia="Calibri"/>
                <w:sz w:val="23"/>
                <w:szCs w:val="23"/>
              </w:rPr>
              <w:lastRenderedPageBreak/>
              <w:t xml:space="preserve">Table </w:t>
            </w:r>
            <w:r w:rsidR="0096622C" w:rsidRPr="00051556">
              <w:rPr>
                <w:rFonts w:eastAsia="Calibri"/>
                <w:sz w:val="23"/>
                <w:szCs w:val="23"/>
              </w:rPr>
              <w:t>3</w:t>
            </w:r>
            <w:r w:rsidRPr="00051556">
              <w:rPr>
                <w:rFonts w:eastAsia="Calibri"/>
                <w:sz w:val="23"/>
                <w:szCs w:val="23"/>
              </w:rPr>
              <w:t>.</w:t>
            </w:r>
            <w:r w:rsidR="00F12D4D" w:rsidRPr="00051556">
              <w:rPr>
                <w:rFonts w:eastAsia="Calibri"/>
                <w:sz w:val="23"/>
                <w:szCs w:val="23"/>
              </w:rPr>
              <w:t>7</w:t>
            </w:r>
            <w:r w:rsidRPr="00051556">
              <w:rPr>
                <w:rFonts w:eastAsia="Calibri"/>
                <w:sz w:val="23"/>
                <w:szCs w:val="23"/>
              </w:rPr>
              <w:t>. Analysis of visual root lengt</w:t>
            </w:r>
            <w:r w:rsidR="00C43761" w:rsidRPr="00051556">
              <w:rPr>
                <w:rFonts w:eastAsia="Calibri"/>
                <w:sz w:val="23"/>
                <w:szCs w:val="23"/>
              </w:rPr>
              <w:t>h</w:t>
            </w:r>
            <w:r w:rsidR="006B2A18" w:rsidRPr="00051556">
              <w:rPr>
                <w:rFonts w:eastAsia="Calibri"/>
                <w:sz w:val="23"/>
                <w:szCs w:val="23"/>
              </w:rPr>
              <w:t xml:space="preserve"> </w:t>
            </w:r>
            <w:r w:rsidR="006B2A18" w:rsidRPr="00051556">
              <w:rPr>
                <w:rFonts w:eastAsia="Cambria"/>
                <w:sz w:val="23"/>
                <w:szCs w:val="23"/>
              </w:rPr>
              <w:t>(Pooled across two experimental runs) on a “Dominant Southern’ creeping bentgrass (</w:t>
            </w:r>
            <w:r w:rsidR="006B2A18" w:rsidRPr="00051556">
              <w:rPr>
                <w:rFonts w:eastAsia="Cambria"/>
                <w:i/>
                <w:sz w:val="23"/>
                <w:szCs w:val="23"/>
              </w:rPr>
              <w:t>Agrostis stolonifera</w:t>
            </w:r>
            <w:r w:rsidR="006B2A18" w:rsidRPr="00051556">
              <w:rPr>
                <w:rFonts w:eastAsia="Cambria"/>
                <w:sz w:val="23"/>
                <w:szCs w:val="23"/>
              </w:rPr>
              <w:t xml:space="preserve"> L.) putting green located in Knoxville, TN,</w:t>
            </w:r>
            <w:r w:rsidR="00C43761" w:rsidRPr="00051556">
              <w:rPr>
                <w:rFonts w:eastAsia="Calibri"/>
                <w:sz w:val="23"/>
                <w:szCs w:val="23"/>
              </w:rPr>
              <w:t xml:space="preserve"> under untreated (UNT) or over</w:t>
            </w:r>
            <w:r w:rsidRPr="00051556">
              <w:rPr>
                <w:rFonts w:eastAsia="Calibri"/>
                <w:sz w:val="23"/>
                <w:szCs w:val="23"/>
              </w:rPr>
              <w:t xml:space="preserve">sprayed (OS) </w:t>
            </w:r>
            <w:r w:rsidR="00C43761" w:rsidRPr="00051556">
              <w:rPr>
                <w:rFonts w:eastAsia="Calibri"/>
                <w:sz w:val="23"/>
                <w:szCs w:val="23"/>
              </w:rPr>
              <w:t>whole plots</w:t>
            </w:r>
            <w:r w:rsidRPr="00051556">
              <w:rPr>
                <w:rFonts w:eastAsia="Calibri"/>
                <w:sz w:val="23"/>
                <w:szCs w:val="23"/>
              </w:rPr>
              <w:t xml:space="preserve"> with various strobilurin fungicides</w:t>
            </w:r>
            <w:r w:rsidR="006B2A18" w:rsidRPr="00051556">
              <w:rPr>
                <w:rFonts w:eastAsia="Calibri"/>
                <w:sz w:val="23"/>
                <w:szCs w:val="23"/>
              </w:rPr>
              <w:t xml:space="preserve"> in 2011 and 2012.</w:t>
            </w:r>
            <w:bookmarkEnd w:id="130"/>
            <w:bookmarkEnd w:id="131"/>
            <w:r w:rsidR="006B2A18" w:rsidRPr="00051556">
              <w:rPr>
                <w:rFonts w:eastAsia="Calibri"/>
                <w:sz w:val="23"/>
                <w:szCs w:val="23"/>
              </w:rPr>
              <w:t xml:space="preserve"> </w:t>
            </w:r>
          </w:p>
        </w:tc>
      </w:tr>
      <w:tr w:rsidR="00F94637" w:rsidRPr="00473083" w:rsidTr="007F37CF">
        <w:trPr>
          <w:trHeight w:val="400"/>
        </w:trPr>
        <w:tc>
          <w:tcPr>
            <w:tcW w:w="2318" w:type="dxa"/>
            <w:tcBorders>
              <w:top w:val="single" w:sz="4" w:space="0" w:color="000000"/>
              <w:left w:val="nil"/>
              <w:bottom w:val="nil"/>
              <w:right w:val="nil"/>
            </w:tcBorders>
            <w:shd w:val="clear" w:color="auto" w:fill="auto"/>
            <w:vAlign w:val="center"/>
          </w:tcPr>
          <w:p w:rsidR="00F94637" w:rsidRPr="0096622C" w:rsidRDefault="00B72406" w:rsidP="00B72406">
            <w:pPr>
              <w:rPr>
                <w:rFonts w:eastAsia="Cambria"/>
                <w:b/>
                <w:sz w:val="22"/>
                <w:szCs w:val="22"/>
              </w:rPr>
            </w:pPr>
            <w:r>
              <w:rPr>
                <w:rFonts w:eastAsia="Cambria"/>
                <w:b/>
                <w:sz w:val="22"/>
                <w:szCs w:val="22"/>
              </w:rPr>
              <w:t>Whole plot</w:t>
            </w:r>
            <w:r w:rsidR="00F94637" w:rsidRPr="0096622C">
              <w:rPr>
                <w:rFonts w:eastAsia="Cambria"/>
                <w:b/>
                <w:sz w:val="22"/>
                <w:szCs w:val="22"/>
              </w:rPr>
              <w:t>†</w:t>
            </w:r>
          </w:p>
        </w:tc>
        <w:tc>
          <w:tcPr>
            <w:tcW w:w="2560" w:type="dxa"/>
            <w:tcBorders>
              <w:top w:val="single" w:sz="4" w:space="0" w:color="000000"/>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b/>
                <w:color w:val="000000"/>
                <w:sz w:val="22"/>
                <w:szCs w:val="22"/>
              </w:rPr>
            </w:pPr>
            <w:r w:rsidRPr="0096622C">
              <w:rPr>
                <w:rFonts w:eastAsia="Cambria"/>
                <w:b/>
                <w:color w:val="000000"/>
                <w:sz w:val="22"/>
                <w:szCs w:val="22"/>
              </w:rPr>
              <w:t>Fungicide treatment</w:t>
            </w:r>
          </w:p>
        </w:tc>
        <w:tc>
          <w:tcPr>
            <w:tcW w:w="1419" w:type="dxa"/>
            <w:tcBorders>
              <w:top w:val="single" w:sz="4" w:space="0" w:color="000000"/>
              <w:left w:val="nil"/>
              <w:bottom w:val="nil"/>
              <w:right w:val="nil"/>
            </w:tcBorders>
            <w:shd w:val="clear" w:color="auto" w:fill="auto"/>
            <w:vAlign w:val="center"/>
          </w:tcPr>
          <w:p w:rsidR="00F94637" w:rsidRPr="0096622C" w:rsidRDefault="00F94637" w:rsidP="0096622C">
            <w:pPr>
              <w:jc w:val="center"/>
              <w:rPr>
                <w:rFonts w:eastAsia="Cambria"/>
                <w:b/>
                <w:color w:val="000000"/>
                <w:sz w:val="22"/>
                <w:szCs w:val="22"/>
              </w:rPr>
            </w:pPr>
            <w:r w:rsidRPr="0096622C">
              <w:rPr>
                <w:rFonts w:eastAsia="Cambria"/>
                <w:b/>
                <w:color w:val="000000"/>
                <w:sz w:val="22"/>
                <w:szCs w:val="22"/>
              </w:rPr>
              <w:t>Rate kg ai ha</w:t>
            </w:r>
            <w:r w:rsidRPr="0096622C">
              <w:rPr>
                <w:rFonts w:eastAsia="Cambria"/>
                <w:b/>
                <w:color w:val="000000"/>
                <w:sz w:val="22"/>
                <w:szCs w:val="22"/>
                <w:vertAlign w:val="superscript"/>
              </w:rPr>
              <w:t>-1</w:t>
            </w:r>
          </w:p>
        </w:tc>
        <w:tc>
          <w:tcPr>
            <w:tcW w:w="2110" w:type="dxa"/>
            <w:tcBorders>
              <w:left w:val="nil"/>
              <w:bottom w:val="nil"/>
              <w:right w:val="nil"/>
            </w:tcBorders>
            <w:shd w:val="clear" w:color="auto" w:fill="auto"/>
            <w:vAlign w:val="center"/>
          </w:tcPr>
          <w:p w:rsidR="00F94637" w:rsidRPr="0096622C" w:rsidRDefault="00F94637" w:rsidP="0096622C">
            <w:pPr>
              <w:jc w:val="center"/>
              <w:rPr>
                <w:rFonts w:eastAsia="Cambria"/>
                <w:b/>
                <w:color w:val="000000"/>
                <w:sz w:val="22"/>
                <w:szCs w:val="22"/>
              </w:rPr>
            </w:pPr>
            <w:r w:rsidRPr="0096622C">
              <w:rPr>
                <w:rFonts w:eastAsia="Cambria"/>
                <w:b/>
                <w:color w:val="000000"/>
                <w:sz w:val="22"/>
                <w:szCs w:val="22"/>
              </w:rPr>
              <w:t>Visual root length (cm)</w:t>
            </w:r>
          </w:p>
        </w:tc>
      </w:tr>
      <w:tr w:rsidR="00F94637" w:rsidRPr="001848F6" w:rsidTr="007F37CF">
        <w:trPr>
          <w:trHeight w:val="435"/>
        </w:trPr>
        <w:tc>
          <w:tcPr>
            <w:tcW w:w="2318" w:type="dxa"/>
            <w:tcBorders>
              <w:top w:val="single" w:sz="4" w:space="0" w:color="000000"/>
              <w:left w:val="nil"/>
              <w:bottom w:val="nil"/>
              <w:right w:val="nil"/>
            </w:tcBorders>
            <w:shd w:val="clear" w:color="auto" w:fill="auto"/>
            <w:vAlign w:val="center"/>
          </w:tcPr>
          <w:p w:rsidR="00F94637" w:rsidRPr="0096622C" w:rsidRDefault="00F94637" w:rsidP="0096622C">
            <w:pPr>
              <w:rPr>
                <w:rFonts w:eastAsia="Cambria"/>
                <w:sz w:val="22"/>
                <w:szCs w:val="22"/>
              </w:rPr>
            </w:pPr>
            <w:r w:rsidRPr="0096622C">
              <w:rPr>
                <w:rFonts w:eastAsia="Cambria"/>
                <w:sz w:val="22"/>
                <w:szCs w:val="22"/>
              </w:rPr>
              <w:t>UNT</w:t>
            </w:r>
          </w:p>
        </w:tc>
        <w:tc>
          <w:tcPr>
            <w:tcW w:w="2560" w:type="dxa"/>
            <w:tcBorders>
              <w:top w:val="single" w:sz="4" w:space="0" w:color="000000"/>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Trifloxystrobin</w:t>
            </w:r>
          </w:p>
        </w:tc>
        <w:tc>
          <w:tcPr>
            <w:tcW w:w="1419" w:type="dxa"/>
            <w:tcBorders>
              <w:top w:val="single" w:sz="4" w:space="0" w:color="000000"/>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0.38</w:t>
            </w:r>
          </w:p>
        </w:tc>
        <w:tc>
          <w:tcPr>
            <w:tcW w:w="2110" w:type="dxa"/>
            <w:tcBorders>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9.8</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Fluoxastrobin</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0.55</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10.0</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Pyraclostrobin (SC)</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0.55</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9.6</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Azoxystrobin (TL)</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0.61</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9.9</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Azoxystrobin (WDG)</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0.61</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10.2</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Pyraclostrobin (WG)</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0.55</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10.2</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12D4D" w:rsidP="0096622C">
            <w:pPr>
              <w:tabs>
                <w:tab w:val="left" w:pos="1780"/>
              </w:tabs>
              <w:ind w:left="-50" w:right="-45"/>
              <w:jc w:val="center"/>
              <w:rPr>
                <w:rFonts w:eastAsia="Cambria"/>
                <w:color w:val="000000"/>
                <w:sz w:val="22"/>
                <w:szCs w:val="22"/>
              </w:rPr>
            </w:pPr>
            <w:r>
              <w:rPr>
                <w:rFonts w:eastAsia="Cambria"/>
                <w:color w:val="000000"/>
                <w:sz w:val="22"/>
                <w:szCs w:val="22"/>
              </w:rPr>
              <w:t>Non-treated control</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10.1</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r w:rsidRPr="0096622C">
              <w:rPr>
                <w:rFonts w:eastAsia="Cambria"/>
                <w:sz w:val="22"/>
                <w:szCs w:val="22"/>
              </w:rPr>
              <w:t>OS</w:t>
            </w: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Trifloxystrobin</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0.38</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9.6</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Fluoxastrobin</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0.55</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10.1</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Pyraclostrobin (SC)</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0.55</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9.6</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Azoxystrobin (TL)</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0.61</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10.0</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Azoxystrobin (WDG)</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0.61</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10.0</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color w:val="000000"/>
                <w:sz w:val="22"/>
                <w:szCs w:val="22"/>
              </w:rPr>
              <w:t>Pyraclostrobin (WG)</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0.55</w:t>
            </w: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9.5</w:t>
            </w:r>
          </w:p>
        </w:tc>
      </w:tr>
      <w:tr w:rsidR="00F94637" w:rsidRPr="001848F6" w:rsidTr="007F37CF">
        <w:trPr>
          <w:trHeight w:val="435"/>
        </w:trPr>
        <w:tc>
          <w:tcPr>
            <w:tcW w:w="2318" w:type="dxa"/>
            <w:tcBorders>
              <w:top w:val="nil"/>
              <w:left w:val="nil"/>
              <w:bottom w:val="nil"/>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nil"/>
              <w:right w:val="nil"/>
            </w:tcBorders>
            <w:shd w:val="clear" w:color="auto" w:fill="auto"/>
            <w:vAlign w:val="center"/>
          </w:tcPr>
          <w:p w:rsidR="00F94637" w:rsidRPr="0096622C" w:rsidRDefault="00F12D4D" w:rsidP="0096622C">
            <w:pPr>
              <w:tabs>
                <w:tab w:val="left" w:pos="1780"/>
              </w:tabs>
              <w:ind w:left="-50" w:right="-45"/>
              <w:jc w:val="center"/>
              <w:rPr>
                <w:rFonts w:eastAsia="Cambria"/>
                <w:color w:val="000000"/>
                <w:sz w:val="22"/>
                <w:szCs w:val="22"/>
              </w:rPr>
            </w:pPr>
            <w:r>
              <w:rPr>
                <w:rFonts w:eastAsia="Cambria"/>
                <w:color w:val="000000"/>
                <w:sz w:val="22"/>
                <w:szCs w:val="22"/>
              </w:rPr>
              <w:t>Non-treated control</w:t>
            </w:r>
          </w:p>
        </w:tc>
        <w:tc>
          <w:tcPr>
            <w:tcW w:w="1419"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p>
        </w:tc>
        <w:tc>
          <w:tcPr>
            <w:tcW w:w="2110" w:type="dxa"/>
            <w:tcBorders>
              <w:top w:val="nil"/>
              <w:left w:val="nil"/>
              <w:bottom w:val="nil"/>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9.5</w:t>
            </w:r>
          </w:p>
        </w:tc>
      </w:tr>
      <w:tr w:rsidR="00F94637" w:rsidRPr="001848F6" w:rsidTr="007F37CF">
        <w:trPr>
          <w:trHeight w:val="435"/>
        </w:trPr>
        <w:tc>
          <w:tcPr>
            <w:tcW w:w="2318" w:type="dxa"/>
            <w:tcBorders>
              <w:top w:val="nil"/>
              <w:left w:val="nil"/>
              <w:bottom w:val="single" w:sz="4" w:space="0" w:color="000000"/>
              <w:right w:val="nil"/>
            </w:tcBorders>
            <w:shd w:val="clear" w:color="auto" w:fill="auto"/>
            <w:vAlign w:val="center"/>
          </w:tcPr>
          <w:p w:rsidR="00F94637" w:rsidRPr="0096622C" w:rsidRDefault="00F94637" w:rsidP="0096622C">
            <w:pPr>
              <w:rPr>
                <w:rFonts w:eastAsia="Cambria"/>
                <w:sz w:val="22"/>
                <w:szCs w:val="22"/>
              </w:rPr>
            </w:pPr>
          </w:p>
        </w:tc>
        <w:tc>
          <w:tcPr>
            <w:tcW w:w="2560" w:type="dxa"/>
            <w:tcBorders>
              <w:top w:val="nil"/>
              <w:left w:val="nil"/>
              <w:bottom w:val="single" w:sz="4" w:space="0" w:color="000000"/>
              <w:right w:val="nil"/>
            </w:tcBorders>
            <w:shd w:val="clear" w:color="auto" w:fill="auto"/>
            <w:vAlign w:val="center"/>
          </w:tcPr>
          <w:p w:rsidR="00F94637" w:rsidRPr="0096622C" w:rsidRDefault="00F94637" w:rsidP="0096622C">
            <w:pPr>
              <w:tabs>
                <w:tab w:val="left" w:pos="1780"/>
              </w:tabs>
              <w:ind w:left="-50" w:right="-45"/>
              <w:jc w:val="center"/>
              <w:rPr>
                <w:rFonts w:eastAsia="Cambria"/>
                <w:color w:val="000000"/>
                <w:sz w:val="22"/>
                <w:szCs w:val="22"/>
              </w:rPr>
            </w:pPr>
            <w:r w:rsidRPr="0096622C">
              <w:rPr>
                <w:rFonts w:eastAsia="Cambria"/>
                <w:sz w:val="22"/>
                <w:szCs w:val="22"/>
              </w:rPr>
              <w:t>LSD</w:t>
            </w:r>
            <w:r w:rsidRPr="0096622C">
              <w:rPr>
                <w:rFonts w:eastAsia="Cambria"/>
                <w:sz w:val="22"/>
                <w:szCs w:val="22"/>
                <w:vertAlign w:val="subscript"/>
              </w:rPr>
              <w:t>0.05</w:t>
            </w:r>
          </w:p>
        </w:tc>
        <w:tc>
          <w:tcPr>
            <w:tcW w:w="1419" w:type="dxa"/>
            <w:tcBorders>
              <w:top w:val="nil"/>
              <w:left w:val="nil"/>
              <w:bottom w:val="single" w:sz="4" w:space="0" w:color="000000"/>
              <w:right w:val="nil"/>
            </w:tcBorders>
            <w:shd w:val="clear" w:color="auto" w:fill="auto"/>
            <w:vAlign w:val="center"/>
          </w:tcPr>
          <w:p w:rsidR="00F94637" w:rsidRPr="0096622C" w:rsidRDefault="00F94637" w:rsidP="0096622C">
            <w:pPr>
              <w:jc w:val="center"/>
              <w:rPr>
                <w:rFonts w:eastAsia="Cambria"/>
                <w:color w:val="000000"/>
                <w:sz w:val="22"/>
                <w:szCs w:val="22"/>
              </w:rPr>
            </w:pPr>
          </w:p>
        </w:tc>
        <w:tc>
          <w:tcPr>
            <w:tcW w:w="2110" w:type="dxa"/>
            <w:tcBorders>
              <w:top w:val="nil"/>
              <w:left w:val="nil"/>
              <w:bottom w:val="single" w:sz="4" w:space="0" w:color="000000"/>
              <w:right w:val="nil"/>
            </w:tcBorders>
            <w:shd w:val="clear" w:color="auto" w:fill="auto"/>
            <w:vAlign w:val="center"/>
          </w:tcPr>
          <w:p w:rsidR="00F94637" w:rsidRPr="0096622C" w:rsidRDefault="00F94637" w:rsidP="0096622C">
            <w:pPr>
              <w:jc w:val="center"/>
              <w:rPr>
                <w:rFonts w:eastAsia="Cambria"/>
                <w:color w:val="000000"/>
                <w:sz w:val="22"/>
                <w:szCs w:val="22"/>
              </w:rPr>
            </w:pPr>
            <w:r w:rsidRPr="0096622C">
              <w:rPr>
                <w:rFonts w:eastAsia="Cambria"/>
                <w:color w:val="000000"/>
                <w:sz w:val="22"/>
                <w:szCs w:val="22"/>
              </w:rPr>
              <w:t>NS</w:t>
            </w:r>
            <w:r w:rsidR="0096622C" w:rsidRPr="0096622C">
              <w:rPr>
                <w:sz w:val="22"/>
                <w:szCs w:val="22"/>
              </w:rPr>
              <w:t>‡</w:t>
            </w:r>
          </w:p>
        </w:tc>
      </w:tr>
      <w:tr w:rsidR="00F94637" w:rsidRPr="00473083" w:rsidTr="007F37CF">
        <w:trPr>
          <w:trHeight w:val="236"/>
        </w:trPr>
        <w:tc>
          <w:tcPr>
            <w:tcW w:w="8408" w:type="dxa"/>
            <w:gridSpan w:val="4"/>
            <w:tcBorders>
              <w:top w:val="single" w:sz="4" w:space="0" w:color="000000"/>
              <w:left w:val="nil"/>
              <w:bottom w:val="nil"/>
              <w:right w:val="nil"/>
            </w:tcBorders>
            <w:shd w:val="clear" w:color="auto" w:fill="auto"/>
            <w:vAlign w:val="center"/>
          </w:tcPr>
          <w:p w:rsidR="00F94637" w:rsidRPr="0096622C" w:rsidRDefault="00F94637" w:rsidP="0096622C">
            <w:pPr>
              <w:rPr>
                <w:rFonts w:eastAsia="Cambria"/>
                <w:sz w:val="20"/>
                <w:szCs w:val="20"/>
              </w:rPr>
            </w:pPr>
            <w:r w:rsidRPr="00473083">
              <w:rPr>
                <w:rFonts w:eastAsia="Cambria"/>
                <w:sz w:val="20"/>
                <w:szCs w:val="20"/>
              </w:rPr>
              <w:t>†</w:t>
            </w:r>
            <w:r w:rsidRPr="00473083">
              <w:rPr>
                <w:sz w:val="20"/>
                <w:szCs w:val="20"/>
              </w:rPr>
              <w:t xml:space="preserve"> </w:t>
            </w:r>
            <w:r w:rsidRPr="00473083">
              <w:rPr>
                <w:rFonts w:eastAsia="Cambria"/>
                <w:sz w:val="20"/>
                <w:szCs w:val="20"/>
              </w:rPr>
              <w:t xml:space="preserve">Whole plots included an overspray (OS) of a fungicide mixture containing chlorothalonil and iprodione applied every 14 days to control foliar disease at </w:t>
            </w:r>
            <w:r w:rsidR="007D4682">
              <w:rPr>
                <w:rFonts w:eastAsia="Cambria"/>
                <w:sz w:val="20"/>
                <w:szCs w:val="20"/>
              </w:rPr>
              <w:t>8.05</w:t>
            </w:r>
            <w:r w:rsidRPr="00473083">
              <w:rPr>
                <w:rFonts w:eastAsia="Cambria"/>
                <w:sz w:val="20"/>
                <w:szCs w:val="20"/>
              </w:rPr>
              <w:t xml:space="preserve"> and </w:t>
            </w:r>
            <w:r w:rsidR="007D4682">
              <w:rPr>
                <w:rFonts w:eastAsia="Cambria"/>
                <w:sz w:val="20"/>
                <w:szCs w:val="20"/>
              </w:rPr>
              <w:t>3.05</w:t>
            </w:r>
            <w:r w:rsidRPr="00473083">
              <w:rPr>
                <w:rFonts w:eastAsia="Cambria"/>
                <w:sz w:val="20"/>
                <w:szCs w:val="20"/>
              </w:rPr>
              <w:t xml:space="preserve"> kg ai</w:t>
            </w:r>
            <w:r w:rsidR="003734A3">
              <w:rPr>
                <w:rFonts w:eastAsia="Cambria"/>
                <w:sz w:val="20"/>
                <w:szCs w:val="20"/>
              </w:rPr>
              <w:t xml:space="preserve"> </w:t>
            </w:r>
            <w:r w:rsidRPr="00473083">
              <w:rPr>
                <w:rFonts w:eastAsia="Cambria"/>
                <w:sz w:val="20"/>
                <w:szCs w:val="20"/>
              </w:rPr>
              <w:t>ha</w:t>
            </w:r>
            <w:r w:rsidR="006B3F29" w:rsidRPr="006B3F29">
              <w:rPr>
                <w:rFonts w:eastAsia="Cambria"/>
                <w:sz w:val="20"/>
                <w:szCs w:val="20"/>
                <w:vertAlign w:val="superscript"/>
              </w:rPr>
              <w:t>-1</w:t>
            </w:r>
            <w:r w:rsidRPr="00473083">
              <w:rPr>
                <w:rFonts w:eastAsia="Cambria"/>
                <w:sz w:val="20"/>
                <w:szCs w:val="20"/>
              </w:rPr>
              <w:t>, respectively, and an untreated treatment (UNT).</w:t>
            </w:r>
          </w:p>
        </w:tc>
      </w:tr>
      <w:tr w:rsidR="0096622C" w:rsidRPr="00473083" w:rsidTr="007F37CF">
        <w:trPr>
          <w:trHeight w:val="236"/>
        </w:trPr>
        <w:tc>
          <w:tcPr>
            <w:tcW w:w="8408" w:type="dxa"/>
            <w:gridSpan w:val="4"/>
            <w:tcBorders>
              <w:top w:val="nil"/>
              <w:left w:val="nil"/>
              <w:bottom w:val="nil"/>
              <w:right w:val="nil"/>
            </w:tcBorders>
            <w:shd w:val="clear" w:color="auto" w:fill="auto"/>
            <w:vAlign w:val="center"/>
          </w:tcPr>
          <w:p w:rsidR="0096622C" w:rsidRPr="00473083" w:rsidRDefault="0096622C" w:rsidP="0096622C">
            <w:pPr>
              <w:rPr>
                <w:rFonts w:eastAsia="Cambria"/>
                <w:sz w:val="20"/>
                <w:szCs w:val="20"/>
              </w:rPr>
            </w:pPr>
            <w:r w:rsidRPr="00777DF2">
              <w:rPr>
                <w:sz w:val="20"/>
                <w:szCs w:val="20"/>
              </w:rPr>
              <w:t>‡</w:t>
            </w:r>
            <w:r>
              <w:rPr>
                <w:sz w:val="20"/>
                <w:szCs w:val="20"/>
              </w:rPr>
              <w:t xml:space="preserve"> NS, not significant.</w:t>
            </w:r>
          </w:p>
        </w:tc>
      </w:tr>
    </w:tbl>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96622C" w:rsidRPr="0096622C" w:rsidRDefault="0096622C" w:rsidP="0096622C"/>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p w:rsidR="00F94637" w:rsidRDefault="00F94637" w:rsidP="00F94637">
      <w:pPr>
        <w:pStyle w:val="Caption"/>
        <w:rPr>
          <w:rFonts w:ascii="Arial" w:hAnsi="Arial" w:cs="Arial"/>
          <w:sz w:val="24"/>
        </w:rPr>
      </w:pPr>
    </w:p>
    <w:tbl>
      <w:tblPr>
        <w:tblpPr w:leftFromText="180" w:rightFromText="180" w:vertAnchor="text" w:horzAnchor="margin" w:tblpY="359"/>
        <w:tblW w:w="8438" w:type="dxa"/>
        <w:tblBorders>
          <w:left w:val="single" w:sz="4" w:space="0" w:color="auto"/>
          <w:right w:val="single" w:sz="4" w:space="0" w:color="auto"/>
        </w:tblBorders>
        <w:tblLook w:val="04A0"/>
      </w:tblPr>
      <w:tblGrid>
        <w:gridCol w:w="1637"/>
        <w:gridCol w:w="1285"/>
        <w:gridCol w:w="956"/>
        <w:gridCol w:w="924"/>
        <w:gridCol w:w="1181"/>
        <w:gridCol w:w="878"/>
        <w:gridCol w:w="1577"/>
      </w:tblGrid>
      <w:tr w:rsidR="00F94637" w:rsidRPr="00473083" w:rsidTr="007F37CF">
        <w:trPr>
          <w:trHeight w:val="370"/>
        </w:trPr>
        <w:tc>
          <w:tcPr>
            <w:tcW w:w="8438" w:type="dxa"/>
            <w:gridSpan w:val="7"/>
            <w:tcBorders>
              <w:left w:val="nil"/>
              <w:bottom w:val="single" w:sz="4" w:space="0" w:color="auto"/>
              <w:right w:val="nil"/>
            </w:tcBorders>
            <w:shd w:val="clear" w:color="auto" w:fill="auto"/>
            <w:vAlign w:val="center"/>
          </w:tcPr>
          <w:p w:rsidR="006B2A18" w:rsidRPr="00051556" w:rsidRDefault="00F94637" w:rsidP="00051556">
            <w:pPr>
              <w:pStyle w:val="Heading2"/>
              <w:jc w:val="left"/>
              <w:rPr>
                <w:rFonts w:eastAsia="Calibri"/>
                <w:sz w:val="23"/>
                <w:szCs w:val="23"/>
              </w:rPr>
            </w:pPr>
            <w:bookmarkStart w:id="132" w:name="_Toc353890922"/>
            <w:bookmarkStart w:id="133" w:name="_Toc353892663"/>
            <w:r w:rsidRPr="00051556">
              <w:rPr>
                <w:rFonts w:eastAsia="Calibri"/>
                <w:sz w:val="23"/>
                <w:szCs w:val="23"/>
              </w:rPr>
              <w:lastRenderedPageBreak/>
              <w:t xml:space="preserve">Table </w:t>
            </w:r>
            <w:r w:rsidR="0096622C" w:rsidRPr="00051556">
              <w:rPr>
                <w:rFonts w:eastAsia="Calibri"/>
                <w:sz w:val="23"/>
                <w:szCs w:val="23"/>
              </w:rPr>
              <w:t>3</w:t>
            </w:r>
            <w:r w:rsidRPr="00051556">
              <w:rPr>
                <w:rFonts w:eastAsia="Calibri"/>
                <w:sz w:val="23"/>
                <w:szCs w:val="23"/>
              </w:rPr>
              <w:t>.</w:t>
            </w:r>
            <w:r w:rsidR="00F61614" w:rsidRPr="00051556">
              <w:rPr>
                <w:rFonts w:eastAsia="Calibri"/>
                <w:sz w:val="23"/>
                <w:szCs w:val="23"/>
              </w:rPr>
              <w:t>8</w:t>
            </w:r>
            <w:r w:rsidR="00C43761" w:rsidRPr="00051556">
              <w:rPr>
                <w:rFonts w:eastAsia="Calibri"/>
                <w:sz w:val="23"/>
                <w:szCs w:val="23"/>
              </w:rPr>
              <w:t>. Analysis of area under the (x) progress c</w:t>
            </w:r>
            <w:r w:rsidRPr="00051556">
              <w:rPr>
                <w:rFonts w:eastAsia="Calibri"/>
                <w:sz w:val="23"/>
                <w:szCs w:val="23"/>
              </w:rPr>
              <w:t xml:space="preserve">urve </w:t>
            </w:r>
            <w:r w:rsidR="006B2A18" w:rsidRPr="00051556">
              <w:rPr>
                <w:rFonts w:eastAsia="Calibri"/>
                <w:sz w:val="23"/>
                <w:szCs w:val="23"/>
              </w:rPr>
              <w:t xml:space="preserve">(Pooled across two experimental runs) </w:t>
            </w:r>
            <w:r w:rsidRPr="00051556">
              <w:rPr>
                <w:rFonts w:eastAsia="Calibri"/>
                <w:sz w:val="23"/>
                <w:szCs w:val="23"/>
              </w:rPr>
              <w:t xml:space="preserve">for turfgrass quality, </w:t>
            </w:r>
            <w:r w:rsidR="006B2A18" w:rsidRPr="00051556">
              <w:rPr>
                <w:rFonts w:eastAsia="Calibri"/>
                <w:sz w:val="23"/>
                <w:szCs w:val="23"/>
              </w:rPr>
              <w:t>n</w:t>
            </w:r>
            <w:r w:rsidR="0096622C" w:rsidRPr="00051556">
              <w:rPr>
                <w:rFonts w:eastAsia="Calibri"/>
                <w:sz w:val="23"/>
                <w:szCs w:val="23"/>
              </w:rPr>
              <w:t xml:space="preserve">ormalized </w:t>
            </w:r>
            <w:r w:rsidR="006B2A18" w:rsidRPr="00051556">
              <w:rPr>
                <w:rFonts w:eastAsia="Calibri"/>
                <w:sz w:val="23"/>
                <w:szCs w:val="23"/>
              </w:rPr>
              <w:t>d</w:t>
            </w:r>
            <w:r w:rsidR="0096622C" w:rsidRPr="00051556">
              <w:rPr>
                <w:rFonts w:eastAsia="Calibri"/>
                <w:sz w:val="23"/>
                <w:szCs w:val="23"/>
              </w:rPr>
              <w:t xml:space="preserve">ifference </w:t>
            </w:r>
            <w:r w:rsidR="006B2A18" w:rsidRPr="00051556">
              <w:rPr>
                <w:rFonts w:eastAsia="Calibri"/>
                <w:sz w:val="23"/>
                <w:szCs w:val="23"/>
              </w:rPr>
              <w:t>v</w:t>
            </w:r>
            <w:r w:rsidR="0096622C" w:rsidRPr="00051556">
              <w:rPr>
                <w:rFonts w:eastAsia="Calibri"/>
                <w:sz w:val="23"/>
                <w:szCs w:val="23"/>
              </w:rPr>
              <w:t>egetation Index (</w:t>
            </w:r>
            <w:r w:rsidRPr="00051556">
              <w:rPr>
                <w:rFonts w:eastAsia="Calibri"/>
                <w:sz w:val="23"/>
                <w:szCs w:val="23"/>
              </w:rPr>
              <w:t>NDVI</w:t>
            </w:r>
            <w:r w:rsidR="0096622C" w:rsidRPr="00051556">
              <w:rPr>
                <w:rFonts w:eastAsia="Calibri"/>
                <w:sz w:val="23"/>
                <w:szCs w:val="23"/>
              </w:rPr>
              <w:t>)</w:t>
            </w:r>
            <w:r w:rsidRPr="00051556">
              <w:rPr>
                <w:rFonts w:eastAsia="Calibri"/>
                <w:sz w:val="23"/>
                <w:szCs w:val="23"/>
              </w:rPr>
              <w:t>,</w:t>
            </w:r>
            <w:r w:rsidR="0096622C" w:rsidRPr="00051556">
              <w:rPr>
                <w:rFonts w:eastAsia="Calibri"/>
                <w:sz w:val="23"/>
                <w:szCs w:val="23"/>
              </w:rPr>
              <w:t xml:space="preserve"> </w:t>
            </w:r>
            <w:r w:rsidR="006B2A18" w:rsidRPr="00051556">
              <w:rPr>
                <w:rFonts w:eastAsia="Calibri"/>
                <w:sz w:val="23"/>
                <w:szCs w:val="23"/>
              </w:rPr>
              <w:t>r</w:t>
            </w:r>
            <w:r w:rsidR="0096622C" w:rsidRPr="00051556">
              <w:rPr>
                <w:rFonts w:eastAsia="Calibri"/>
                <w:sz w:val="23"/>
                <w:szCs w:val="23"/>
              </w:rPr>
              <w:t xml:space="preserve">atio </w:t>
            </w:r>
            <w:r w:rsidR="006B2A18" w:rsidRPr="00051556">
              <w:rPr>
                <w:rFonts w:eastAsia="Calibri"/>
                <w:sz w:val="23"/>
                <w:szCs w:val="23"/>
              </w:rPr>
              <w:t>v</w:t>
            </w:r>
            <w:r w:rsidR="0096622C" w:rsidRPr="00051556">
              <w:rPr>
                <w:rFonts w:eastAsia="Calibri"/>
                <w:sz w:val="23"/>
                <w:szCs w:val="23"/>
              </w:rPr>
              <w:t xml:space="preserve">egetation </w:t>
            </w:r>
            <w:r w:rsidR="006B2A18" w:rsidRPr="00051556">
              <w:rPr>
                <w:rFonts w:eastAsia="Calibri"/>
                <w:sz w:val="23"/>
                <w:szCs w:val="23"/>
              </w:rPr>
              <w:t>i</w:t>
            </w:r>
            <w:r w:rsidR="0096622C" w:rsidRPr="00051556">
              <w:rPr>
                <w:rFonts w:eastAsia="Calibri"/>
                <w:sz w:val="23"/>
                <w:szCs w:val="23"/>
              </w:rPr>
              <w:t>ndex</w:t>
            </w:r>
            <w:r w:rsidRPr="00051556">
              <w:rPr>
                <w:rFonts w:eastAsia="Calibri"/>
                <w:sz w:val="23"/>
                <w:szCs w:val="23"/>
              </w:rPr>
              <w:t xml:space="preserve"> </w:t>
            </w:r>
            <w:r w:rsidR="0096622C" w:rsidRPr="00051556">
              <w:rPr>
                <w:rFonts w:eastAsia="Calibri"/>
                <w:sz w:val="23"/>
                <w:szCs w:val="23"/>
              </w:rPr>
              <w:t>(</w:t>
            </w:r>
            <w:r w:rsidRPr="00051556">
              <w:rPr>
                <w:rFonts w:eastAsia="Calibri"/>
                <w:sz w:val="23"/>
                <w:szCs w:val="23"/>
              </w:rPr>
              <w:t>RVI</w:t>
            </w:r>
            <w:r w:rsidR="0096622C" w:rsidRPr="00051556">
              <w:rPr>
                <w:rFonts w:eastAsia="Calibri"/>
                <w:sz w:val="23"/>
                <w:szCs w:val="23"/>
              </w:rPr>
              <w:t>)</w:t>
            </w:r>
            <w:r w:rsidRPr="00051556">
              <w:rPr>
                <w:rFonts w:eastAsia="Calibri"/>
                <w:sz w:val="23"/>
                <w:szCs w:val="23"/>
              </w:rPr>
              <w:t xml:space="preserve">, turfgrass cover, dollar spot, and cyanobacteria under untreated or over sprayed </w:t>
            </w:r>
            <w:r w:rsidR="00C43761" w:rsidRPr="00051556">
              <w:rPr>
                <w:rFonts w:eastAsia="Calibri"/>
                <w:sz w:val="23"/>
                <w:szCs w:val="23"/>
              </w:rPr>
              <w:t>whole plots</w:t>
            </w:r>
            <w:r w:rsidR="006B2A18" w:rsidRPr="00051556">
              <w:rPr>
                <w:rFonts w:eastAsia="Calibri"/>
                <w:sz w:val="23"/>
                <w:szCs w:val="23"/>
              </w:rPr>
              <w:t xml:space="preserve"> in 2011 and 2012</w:t>
            </w:r>
            <w:r w:rsidRPr="00051556">
              <w:rPr>
                <w:rFonts w:eastAsia="Calibri"/>
                <w:sz w:val="23"/>
                <w:szCs w:val="23"/>
              </w:rPr>
              <w:t xml:space="preserve">. </w:t>
            </w:r>
            <w:r w:rsidR="00FD7944" w:rsidRPr="00051556">
              <w:rPr>
                <w:rFonts w:eastAsia="Calibri"/>
                <w:sz w:val="23"/>
                <w:szCs w:val="23"/>
              </w:rPr>
              <w:t>Treatments were located in Knoxville, TN, on a ‘Dominant Southern’ creeping bentgrass (</w:t>
            </w:r>
            <w:r w:rsidR="00FD7944" w:rsidRPr="00051556">
              <w:rPr>
                <w:rFonts w:eastAsia="Calibri"/>
                <w:i/>
                <w:sz w:val="23"/>
                <w:szCs w:val="23"/>
              </w:rPr>
              <w:t>Agrostis stolonifera</w:t>
            </w:r>
            <w:r w:rsidR="00FD7944" w:rsidRPr="00051556">
              <w:rPr>
                <w:rFonts w:eastAsia="Calibri"/>
                <w:sz w:val="23"/>
                <w:szCs w:val="23"/>
              </w:rPr>
              <w:t xml:space="preserve"> L.) putting green.</w:t>
            </w:r>
            <w:bookmarkEnd w:id="132"/>
            <w:bookmarkEnd w:id="133"/>
            <w:r w:rsidR="00FD7944" w:rsidRPr="00051556">
              <w:rPr>
                <w:rFonts w:eastAsia="Calibri"/>
                <w:sz w:val="23"/>
                <w:szCs w:val="23"/>
              </w:rPr>
              <w:t xml:space="preserve"> </w:t>
            </w:r>
          </w:p>
        </w:tc>
      </w:tr>
      <w:tr w:rsidR="00F94637" w:rsidRPr="00473083" w:rsidTr="00085561">
        <w:trPr>
          <w:trHeight w:val="341"/>
        </w:trPr>
        <w:tc>
          <w:tcPr>
            <w:tcW w:w="1637" w:type="dxa"/>
            <w:vMerge w:val="restart"/>
            <w:tcBorders>
              <w:top w:val="single" w:sz="4" w:space="0" w:color="auto"/>
              <w:left w:val="nil"/>
              <w:bottom w:val="single" w:sz="4" w:space="0" w:color="auto"/>
              <w:right w:val="nil"/>
            </w:tcBorders>
            <w:shd w:val="clear" w:color="auto" w:fill="auto"/>
            <w:vAlign w:val="center"/>
          </w:tcPr>
          <w:p w:rsidR="00F94637" w:rsidRPr="0096622C" w:rsidRDefault="007F37CF" w:rsidP="00FE5015">
            <w:pPr>
              <w:jc w:val="center"/>
              <w:rPr>
                <w:rFonts w:eastAsia="Cambria"/>
                <w:b/>
                <w:sz w:val="22"/>
                <w:szCs w:val="22"/>
              </w:rPr>
            </w:pPr>
            <w:r>
              <w:rPr>
                <w:rFonts w:eastAsia="Cambria"/>
                <w:b/>
                <w:sz w:val="22"/>
                <w:szCs w:val="22"/>
              </w:rPr>
              <w:t>Whole plot</w:t>
            </w:r>
            <w:r w:rsidR="00F94637" w:rsidRPr="0096622C">
              <w:rPr>
                <w:rFonts w:eastAsia="Cambria"/>
                <w:b/>
                <w:color w:val="000000"/>
                <w:sz w:val="22"/>
                <w:szCs w:val="22"/>
              </w:rPr>
              <w:t>†</w:t>
            </w:r>
          </w:p>
        </w:tc>
        <w:tc>
          <w:tcPr>
            <w:tcW w:w="6801" w:type="dxa"/>
            <w:gridSpan w:val="6"/>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r w:rsidRPr="0096622C">
              <w:rPr>
                <w:rFonts w:eastAsia="Cambria"/>
                <w:b/>
                <w:sz w:val="22"/>
                <w:szCs w:val="22"/>
              </w:rPr>
              <w:t>Area Under the (X) Progress Curve</w:t>
            </w:r>
          </w:p>
        </w:tc>
      </w:tr>
      <w:tr w:rsidR="00F94637" w:rsidRPr="00473083" w:rsidTr="007F37CF">
        <w:trPr>
          <w:trHeight w:val="596"/>
        </w:trPr>
        <w:tc>
          <w:tcPr>
            <w:tcW w:w="1637" w:type="dxa"/>
            <w:vMerge/>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p>
        </w:tc>
        <w:tc>
          <w:tcPr>
            <w:tcW w:w="1285" w:type="dxa"/>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r w:rsidRPr="0096622C">
              <w:rPr>
                <w:rFonts w:eastAsia="Cambria"/>
                <w:b/>
                <w:sz w:val="22"/>
                <w:szCs w:val="22"/>
              </w:rPr>
              <w:t>Turfgrass quality</w:t>
            </w:r>
          </w:p>
        </w:tc>
        <w:tc>
          <w:tcPr>
            <w:tcW w:w="956" w:type="dxa"/>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r w:rsidRPr="0096622C">
              <w:rPr>
                <w:rFonts w:eastAsia="Cambria"/>
                <w:b/>
                <w:sz w:val="22"/>
                <w:szCs w:val="22"/>
              </w:rPr>
              <w:t>NDVI</w:t>
            </w:r>
          </w:p>
        </w:tc>
        <w:tc>
          <w:tcPr>
            <w:tcW w:w="924" w:type="dxa"/>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r w:rsidRPr="0096622C">
              <w:rPr>
                <w:rFonts w:eastAsia="Cambria"/>
                <w:b/>
                <w:sz w:val="22"/>
                <w:szCs w:val="22"/>
              </w:rPr>
              <w:t>RVI</w:t>
            </w:r>
          </w:p>
        </w:tc>
        <w:tc>
          <w:tcPr>
            <w:tcW w:w="1181" w:type="dxa"/>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r w:rsidRPr="0096622C">
              <w:rPr>
                <w:rFonts w:eastAsia="Cambria"/>
                <w:b/>
                <w:sz w:val="22"/>
                <w:szCs w:val="22"/>
              </w:rPr>
              <w:t>Turfgrass cover</w:t>
            </w:r>
          </w:p>
        </w:tc>
        <w:tc>
          <w:tcPr>
            <w:tcW w:w="878" w:type="dxa"/>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r w:rsidRPr="0096622C">
              <w:rPr>
                <w:rFonts w:eastAsia="Cambria"/>
                <w:b/>
                <w:sz w:val="22"/>
                <w:szCs w:val="22"/>
              </w:rPr>
              <w:t>Dollar spot</w:t>
            </w:r>
          </w:p>
        </w:tc>
        <w:tc>
          <w:tcPr>
            <w:tcW w:w="1577" w:type="dxa"/>
            <w:tcBorders>
              <w:top w:val="single" w:sz="4" w:space="0" w:color="auto"/>
              <w:left w:val="nil"/>
              <w:bottom w:val="single" w:sz="4" w:space="0" w:color="auto"/>
              <w:right w:val="nil"/>
            </w:tcBorders>
            <w:shd w:val="clear" w:color="auto" w:fill="auto"/>
            <w:vAlign w:val="center"/>
          </w:tcPr>
          <w:p w:rsidR="00F94637" w:rsidRPr="0096622C" w:rsidRDefault="00F94637" w:rsidP="00FE5015">
            <w:pPr>
              <w:jc w:val="center"/>
              <w:rPr>
                <w:rFonts w:eastAsia="Cambria"/>
                <w:b/>
                <w:sz w:val="22"/>
                <w:szCs w:val="22"/>
              </w:rPr>
            </w:pPr>
            <w:r w:rsidRPr="0096622C">
              <w:rPr>
                <w:rFonts w:eastAsia="Cambria"/>
                <w:b/>
                <w:sz w:val="22"/>
                <w:szCs w:val="22"/>
              </w:rPr>
              <w:t>cyanobacteria</w:t>
            </w:r>
          </w:p>
        </w:tc>
      </w:tr>
      <w:tr w:rsidR="00F94637" w:rsidRPr="00473083" w:rsidTr="007F37CF">
        <w:trPr>
          <w:trHeight w:val="373"/>
        </w:trPr>
        <w:tc>
          <w:tcPr>
            <w:tcW w:w="1637" w:type="dxa"/>
            <w:tcBorders>
              <w:top w:val="single" w:sz="4" w:space="0" w:color="auto"/>
              <w:left w:val="nil"/>
              <w:bottom w:val="nil"/>
              <w:right w:val="nil"/>
            </w:tcBorders>
            <w:shd w:val="clear" w:color="auto" w:fill="auto"/>
            <w:vAlign w:val="center"/>
          </w:tcPr>
          <w:p w:rsidR="00F94637" w:rsidRPr="0096622C" w:rsidRDefault="00F94637" w:rsidP="00FE5015">
            <w:pPr>
              <w:jc w:val="center"/>
              <w:rPr>
                <w:rFonts w:eastAsia="Cambria"/>
                <w:sz w:val="22"/>
                <w:szCs w:val="22"/>
              </w:rPr>
            </w:pPr>
            <w:r w:rsidRPr="0096622C">
              <w:rPr>
                <w:rFonts w:eastAsia="Cambria"/>
                <w:sz w:val="22"/>
                <w:szCs w:val="22"/>
              </w:rPr>
              <w:t>Untreated</w:t>
            </w:r>
          </w:p>
        </w:tc>
        <w:tc>
          <w:tcPr>
            <w:tcW w:w="1285" w:type="dxa"/>
            <w:tcBorders>
              <w:top w:val="single" w:sz="4" w:space="0" w:color="auto"/>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503.1</w:t>
            </w:r>
          </w:p>
        </w:tc>
        <w:tc>
          <w:tcPr>
            <w:tcW w:w="956" w:type="dxa"/>
            <w:tcBorders>
              <w:top w:val="single" w:sz="4" w:space="0" w:color="auto"/>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50.9</w:t>
            </w:r>
          </w:p>
        </w:tc>
        <w:tc>
          <w:tcPr>
            <w:tcW w:w="924" w:type="dxa"/>
            <w:tcBorders>
              <w:top w:val="single" w:sz="4" w:space="0" w:color="auto"/>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416.3</w:t>
            </w:r>
          </w:p>
        </w:tc>
        <w:tc>
          <w:tcPr>
            <w:tcW w:w="1181" w:type="dxa"/>
            <w:tcBorders>
              <w:top w:val="single" w:sz="4" w:space="0" w:color="auto"/>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7082.3</w:t>
            </w:r>
          </w:p>
        </w:tc>
        <w:tc>
          <w:tcPr>
            <w:tcW w:w="878" w:type="dxa"/>
            <w:tcBorders>
              <w:top w:val="single" w:sz="4" w:space="0" w:color="auto"/>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188.3</w:t>
            </w:r>
          </w:p>
        </w:tc>
        <w:tc>
          <w:tcPr>
            <w:tcW w:w="1577" w:type="dxa"/>
            <w:tcBorders>
              <w:top w:val="single" w:sz="4" w:space="0" w:color="auto"/>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59.7</w:t>
            </w:r>
          </w:p>
        </w:tc>
      </w:tr>
      <w:tr w:rsidR="00F94637" w:rsidRPr="00473083" w:rsidTr="007F37CF">
        <w:trPr>
          <w:trHeight w:val="373"/>
        </w:trPr>
        <w:tc>
          <w:tcPr>
            <w:tcW w:w="1637" w:type="dxa"/>
            <w:tcBorders>
              <w:top w:val="nil"/>
              <w:left w:val="nil"/>
              <w:bottom w:val="nil"/>
              <w:right w:val="nil"/>
            </w:tcBorders>
            <w:shd w:val="clear" w:color="auto" w:fill="auto"/>
            <w:vAlign w:val="center"/>
          </w:tcPr>
          <w:p w:rsidR="00F94637" w:rsidRPr="0096622C" w:rsidRDefault="00F94637" w:rsidP="00FE5015">
            <w:pPr>
              <w:jc w:val="center"/>
              <w:rPr>
                <w:rFonts w:eastAsia="Cambria"/>
                <w:sz w:val="22"/>
                <w:szCs w:val="22"/>
              </w:rPr>
            </w:pPr>
            <w:r w:rsidRPr="0096622C">
              <w:rPr>
                <w:rFonts w:eastAsia="Cambria"/>
                <w:sz w:val="22"/>
                <w:szCs w:val="22"/>
              </w:rPr>
              <w:t>Oversprayed</w:t>
            </w:r>
          </w:p>
        </w:tc>
        <w:tc>
          <w:tcPr>
            <w:tcW w:w="1285" w:type="dxa"/>
            <w:tcBorders>
              <w:top w:val="nil"/>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512.5</w:t>
            </w:r>
          </w:p>
        </w:tc>
        <w:tc>
          <w:tcPr>
            <w:tcW w:w="956" w:type="dxa"/>
            <w:tcBorders>
              <w:top w:val="nil"/>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50.6</w:t>
            </w:r>
          </w:p>
        </w:tc>
        <w:tc>
          <w:tcPr>
            <w:tcW w:w="924" w:type="dxa"/>
            <w:tcBorders>
              <w:top w:val="nil"/>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411.4</w:t>
            </w:r>
          </w:p>
        </w:tc>
        <w:tc>
          <w:tcPr>
            <w:tcW w:w="1181" w:type="dxa"/>
            <w:tcBorders>
              <w:top w:val="nil"/>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7045.5</w:t>
            </w:r>
          </w:p>
        </w:tc>
        <w:tc>
          <w:tcPr>
            <w:tcW w:w="878" w:type="dxa"/>
            <w:tcBorders>
              <w:top w:val="nil"/>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19.0</w:t>
            </w:r>
          </w:p>
        </w:tc>
        <w:tc>
          <w:tcPr>
            <w:tcW w:w="1577" w:type="dxa"/>
            <w:tcBorders>
              <w:top w:val="nil"/>
              <w:left w:val="nil"/>
              <w:bottom w:val="nil"/>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7.9</w:t>
            </w:r>
          </w:p>
        </w:tc>
      </w:tr>
      <w:tr w:rsidR="00F94637" w:rsidRPr="00473083" w:rsidTr="00DA716C">
        <w:trPr>
          <w:trHeight w:val="373"/>
        </w:trPr>
        <w:tc>
          <w:tcPr>
            <w:tcW w:w="1637" w:type="dxa"/>
            <w:tcBorders>
              <w:top w:val="nil"/>
              <w:left w:val="nil"/>
              <w:bottom w:val="single" w:sz="4" w:space="0" w:color="000000"/>
              <w:right w:val="nil"/>
            </w:tcBorders>
            <w:shd w:val="clear" w:color="auto" w:fill="auto"/>
            <w:vAlign w:val="center"/>
          </w:tcPr>
          <w:p w:rsidR="00F94637" w:rsidRPr="0096622C" w:rsidRDefault="00F94637" w:rsidP="00FE5015">
            <w:pPr>
              <w:jc w:val="center"/>
              <w:rPr>
                <w:rFonts w:eastAsia="Cambria"/>
                <w:sz w:val="22"/>
                <w:szCs w:val="22"/>
              </w:rPr>
            </w:pPr>
            <w:r w:rsidRPr="0096622C">
              <w:rPr>
                <w:rFonts w:eastAsia="Cambria"/>
                <w:sz w:val="22"/>
                <w:szCs w:val="22"/>
              </w:rPr>
              <w:t>LSD</w:t>
            </w:r>
            <w:r w:rsidRPr="0096622C">
              <w:rPr>
                <w:rFonts w:eastAsia="Cambria"/>
                <w:sz w:val="22"/>
                <w:szCs w:val="22"/>
                <w:vertAlign w:val="subscript"/>
              </w:rPr>
              <w:t>0.05</w:t>
            </w:r>
          </w:p>
        </w:tc>
        <w:tc>
          <w:tcPr>
            <w:tcW w:w="1285" w:type="dxa"/>
            <w:tcBorders>
              <w:top w:val="nil"/>
              <w:left w:val="nil"/>
              <w:bottom w:val="single" w:sz="4" w:space="0" w:color="000000"/>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NS</w:t>
            </w:r>
            <w:r w:rsidR="0096622C" w:rsidRPr="0096622C">
              <w:rPr>
                <w:sz w:val="22"/>
                <w:szCs w:val="22"/>
              </w:rPr>
              <w:t>‡</w:t>
            </w:r>
          </w:p>
        </w:tc>
        <w:tc>
          <w:tcPr>
            <w:tcW w:w="956" w:type="dxa"/>
            <w:tcBorders>
              <w:top w:val="nil"/>
              <w:left w:val="nil"/>
              <w:bottom w:val="single" w:sz="4" w:space="0" w:color="000000"/>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NS</w:t>
            </w:r>
          </w:p>
        </w:tc>
        <w:tc>
          <w:tcPr>
            <w:tcW w:w="924" w:type="dxa"/>
            <w:tcBorders>
              <w:top w:val="nil"/>
              <w:left w:val="nil"/>
              <w:bottom w:val="single" w:sz="4" w:space="0" w:color="000000"/>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NS</w:t>
            </w:r>
          </w:p>
        </w:tc>
        <w:tc>
          <w:tcPr>
            <w:tcW w:w="1181" w:type="dxa"/>
            <w:tcBorders>
              <w:top w:val="nil"/>
              <w:left w:val="nil"/>
              <w:bottom w:val="single" w:sz="4" w:space="0" w:color="000000"/>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NS</w:t>
            </w:r>
          </w:p>
        </w:tc>
        <w:tc>
          <w:tcPr>
            <w:tcW w:w="878" w:type="dxa"/>
            <w:tcBorders>
              <w:top w:val="nil"/>
              <w:left w:val="nil"/>
              <w:bottom w:val="single" w:sz="4" w:space="0" w:color="000000"/>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22.5</w:t>
            </w:r>
          </w:p>
        </w:tc>
        <w:tc>
          <w:tcPr>
            <w:tcW w:w="1577" w:type="dxa"/>
            <w:tcBorders>
              <w:top w:val="nil"/>
              <w:left w:val="nil"/>
              <w:bottom w:val="single" w:sz="4" w:space="0" w:color="000000"/>
              <w:right w:val="nil"/>
            </w:tcBorders>
            <w:shd w:val="clear" w:color="auto" w:fill="auto"/>
            <w:vAlign w:val="center"/>
          </w:tcPr>
          <w:p w:rsidR="00F94637" w:rsidRPr="0096622C" w:rsidRDefault="00F94637" w:rsidP="00FE5015">
            <w:pPr>
              <w:jc w:val="center"/>
              <w:rPr>
                <w:rFonts w:eastAsia="Cambria"/>
                <w:color w:val="000000"/>
                <w:sz w:val="22"/>
                <w:szCs w:val="22"/>
              </w:rPr>
            </w:pPr>
            <w:r w:rsidRPr="0096622C">
              <w:rPr>
                <w:rFonts w:eastAsia="Cambria"/>
                <w:color w:val="000000"/>
                <w:sz w:val="22"/>
                <w:szCs w:val="22"/>
              </w:rPr>
              <w:t>10.4</w:t>
            </w:r>
          </w:p>
        </w:tc>
      </w:tr>
      <w:tr w:rsidR="007F37CF" w:rsidRPr="00473083" w:rsidTr="00DA716C">
        <w:trPr>
          <w:trHeight w:val="261"/>
        </w:trPr>
        <w:tc>
          <w:tcPr>
            <w:tcW w:w="8438" w:type="dxa"/>
            <w:gridSpan w:val="7"/>
            <w:tcBorders>
              <w:top w:val="single" w:sz="4" w:space="0" w:color="000000"/>
              <w:left w:val="nil"/>
              <w:right w:val="nil"/>
            </w:tcBorders>
            <w:shd w:val="clear" w:color="auto" w:fill="auto"/>
            <w:vAlign w:val="center"/>
          </w:tcPr>
          <w:p w:rsidR="007F37CF" w:rsidRPr="00473083" w:rsidRDefault="007F37CF" w:rsidP="007D4682">
            <w:pPr>
              <w:rPr>
                <w:rFonts w:eastAsia="Cambria"/>
                <w:color w:val="000000"/>
                <w:sz w:val="20"/>
                <w:szCs w:val="20"/>
              </w:rPr>
            </w:pPr>
            <w:r w:rsidRPr="00473083">
              <w:rPr>
                <w:rFonts w:eastAsia="Cambria"/>
                <w:sz w:val="20"/>
                <w:szCs w:val="20"/>
              </w:rPr>
              <w:t>†</w:t>
            </w:r>
            <w:r w:rsidRPr="00473083">
              <w:rPr>
                <w:sz w:val="20"/>
                <w:szCs w:val="20"/>
              </w:rPr>
              <w:t xml:space="preserve"> </w:t>
            </w:r>
            <w:r w:rsidRPr="00473083">
              <w:rPr>
                <w:rFonts w:eastAsia="Cambria"/>
                <w:sz w:val="20"/>
                <w:szCs w:val="20"/>
              </w:rPr>
              <w:t>Whole plots included an overspray (OS) of a fu</w:t>
            </w:r>
            <w:r>
              <w:rPr>
                <w:rFonts w:eastAsia="Cambria"/>
                <w:sz w:val="20"/>
                <w:szCs w:val="20"/>
              </w:rPr>
              <w:t>ngicide mixture containing chloro</w:t>
            </w:r>
            <w:r w:rsidRPr="00473083">
              <w:rPr>
                <w:rFonts w:eastAsia="Cambria"/>
                <w:sz w:val="20"/>
                <w:szCs w:val="20"/>
              </w:rPr>
              <w:t xml:space="preserve">thalonil and iprodione applied every 14 days to control foliar disease at 3.05 and </w:t>
            </w:r>
            <w:r>
              <w:rPr>
                <w:rFonts w:eastAsia="Cambria"/>
                <w:sz w:val="20"/>
                <w:szCs w:val="20"/>
              </w:rPr>
              <w:t>8.05</w:t>
            </w:r>
            <w:r w:rsidRPr="00473083">
              <w:rPr>
                <w:rFonts w:eastAsia="Cambria"/>
                <w:sz w:val="20"/>
                <w:szCs w:val="20"/>
              </w:rPr>
              <w:t xml:space="preserve"> kg ai</w:t>
            </w:r>
            <w:r w:rsidR="003734A3">
              <w:rPr>
                <w:rFonts w:eastAsia="Cambria"/>
                <w:sz w:val="20"/>
                <w:szCs w:val="20"/>
              </w:rPr>
              <w:t xml:space="preserve"> </w:t>
            </w:r>
            <w:r w:rsidRPr="00473083">
              <w:rPr>
                <w:rFonts w:eastAsia="Cambria"/>
                <w:sz w:val="20"/>
                <w:szCs w:val="20"/>
              </w:rPr>
              <w:t>ha</w:t>
            </w:r>
            <w:r w:rsidR="006B3F29" w:rsidRPr="006B3F29">
              <w:rPr>
                <w:rFonts w:eastAsia="Cambria"/>
                <w:sz w:val="20"/>
                <w:szCs w:val="20"/>
                <w:vertAlign w:val="superscript"/>
              </w:rPr>
              <w:t>-1</w:t>
            </w:r>
            <w:r w:rsidRPr="00473083">
              <w:rPr>
                <w:rFonts w:eastAsia="Cambria"/>
                <w:sz w:val="20"/>
                <w:szCs w:val="20"/>
              </w:rPr>
              <w:t>, respectively, and an untreated treatment (UNT).</w:t>
            </w:r>
          </w:p>
        </w:tc>
      </w:tr>
      <w:tr w:rsidR="007F37CF" w:rsidRPr="00473083" w:rsidTr="00DA716C">
        <w:trPr>
          <w:trHeight w:val="261"/>
        </w:trPr>
        <w:tc>
          <w:tcPr>
            <w:tcW w:w="8438" w:type="dxa"/>
            <w:gridSpan w:val="7"/>
            <w:tcBorders>
              <w:left w:val="nil"/>
              <w:right w:val="nil"/>
            </w:tcBorders>
            <w:shd w:val="clear" w:color="auto" w:fill="auto"/>
            <w:vAlign w:val="center"/>
          </w:tcPr>
          <w:p w:rsidR="007F37CF" w:rsidRPr="00473083" w:rsidRDefault="007F37CF" w:rsidP="007D4682">
            <w:pPr>
              <w:rPr>
                <w:rFonts w:eastAsia="Cambria"/>
                <w:sz w:val="20"/>
                <w:szCs w:val="20"/>
              </w:rPr>
            </w:pPr>
            <w:r w:rsidRPr="00777DF2">
              <w:rPr>
                <w:sz w:val="20"/>
                <w:szCs w:val="20"/>
              </w:rPr>
              <w:t>‡</w:t>
            </w:r>
            <w:r>
              <w:rPr>
                <w:sz w:val="20"/>
                <w:szCs w:val="20"/>
              </w:rPr>
              <w:t xml:space="preserve"> NS, not significant.</w:t>
            </w:r>
          </w:p>
        </w:tc>
      </w:tr>
    </w:tbl>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3A366F" w:rsidRDefault="003A366F"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3174EC" w:rsidRDefault="003174EC" w:rsidP="00AC4A70">
      <w:pPr>
        <w:numPr>
          <w:ilvl w:val="12"/>
          <w:numId w:val="0"/>
        </w:numPr>
        <w:jc w:val="center"/>
        <w:rPr>
          <w:b/>
          <w:sz w:val="32"/>
          <w:szCs w:val="32"/>
        </w:rPr>
      </w:pPr>
    </w:p>
    <w:p w:rsidR="003174EC" w:rsidRDefault="003174EC" w:rsidP="00AC4A70">
      <w:pPr>
        <w:numPr>
          <w:ilvl w:val="12"/>
          <w:numId w:val="0"/>
        </w:numPr>
        <w:jc w:val="center"/>
        <w:rPr>
          <w:b/>
          <w:sz w:val="32"/>
          <w:szCs w:val="32"/>
        </w:rPr>
      </w:pPr>
    </w:p>
    <w:p w:rsidR="003174EC" w:rsidRDefault="003174EC" w:rsidP="00AC4A70">
      <w:pPr>
        <w:numPr>
          <w:ilvl w:val="12"/>
          <w:numId w:val="0"/>
        </w:numPr>
        <w:jc w:val="center"/>
        <w:rPr>
          <w:b/>
          <w:sz w:val="32"/>
          <w:szCs w:val="32"/>
        </w:rPr>
      </w:pPr>
    </w:p>
    <w:p w:rsidR="003174EC" w:rsidRDefault="003174EC" w:rsidP="00AC4A70">
      <w:pPr>
        <w:numPr>
          <w:ilvl w:val="12"/>
          <w:numId w:val="0"/>
        </w:numPr>
        <w:jc w:val="center"/>
        <w:rPr>
          <w:b/>
          <w:sz w:val="32"/>
          <w:szCs w:val="32"/>
        </w:rPr>
      </w:pPr>
    </w:p>
    <w:p w:rsidR="003174EC" w:rsidRDefault="003174EC" w:rsidP="00AC4A70">
      <w:pPr>
        <w:numPr>
          <w:ilvl w:val="12"/>
          <w:numId w:val="0"/>
        </w:numPr>
        <w:jc w:val="center"/>
        <w:rPr>
          <w:b/>
          <w:sz w:val="32"/>
          <w:szCs w:val="32"/>
        </w:rPr>
      </w:pPr>
    </w:p>
    <w:p w:rsidR="0047272D" w:rsidRDefault="0047272D" w:rsidP="00AC4A70">
      <w:pPr>
        <w:numPr>
          <w:ilvl w:val="12"/>
          <w:numId w:val="0"/>
        </w:numPr>
        <w:jc w:val="center"/>
        <w:rPr>
          <w:b/>
          <w:sz w:val="32"/>
          <w:szCs w:val="32"/>
        </w:rPr>
      </w:pPr>
    </w:p>
    <w:p w:rsidR="00EF5EB6" w:rsidRDefault="00EF5EB6" w:rsidP="00AC4A70">
      <w:pPr>
        <w:numPr>
          <w:ilvl w:val="12"/>
          <w:numId w:val="0"/>
        </w:numPr>
        <w:jc w:val="center"/>
        <w:rPr>
          <w:b/>
          <w:sz w:val="32"/>
          <w:szCs w:val="32"/>
        </w:rPr>
      </w:pPr>
    </w:p>
    <w:p w:rsidR="00EF5EB6" w:rsidRDefault="00EF5EB6" w:rsidP="00AC4A70">
      <w:pPr>
        <w:numPr>
          <w:ilvl w:val="12"/>
          <w:numId w:val="0"/>
        </w:numPr>
        <w:jc w:val="center"/>
        <w:rPr>
          <w:b/>
          <w:sz w:val="32"/>
          <w:szCs w:val="32"/>
        </w:rPr>
      </w:pPr>
    </w:p>
    <w:p w:rsidR="00EF5EB6" w:rsidRDefault="00EF5EB6" w:rsidP="00AC4A70">
      <w:pPr>
        <w:numPr>
          <w:ilvl w:val="12"/>
          <w:numId w:val="0"/>
        </w:numPr>
        <w:jc w:val="center"/>
        <w:rPr>
          <w:b/>
          <w:sz w:val="32"/>
          <w:szCs w:val="32"/>
        </w:rPr>
      </w:pPr>
    </w:p>
    <w:p w:rsidR="00485118" w:rsidRPr="00485118" w:rsidRDefault="00485118" w:rsidP="00EB30A2">
      <w:pPr>
        <w:pStyle w:val="Heading1"/>
      </w:pPr>
      <w:bookmarkStart w:id="134" w:name="_Toc353890923"/>
      <w:bookmarkStart w:id="135" w:name="_Toc353892664"/>
      <w:r w:rsidRPr="00485118">
        <w:t>CONCLUSIONS</w:t>
      </w:r>
      <w:bookmarkEnd w:id="134"/>
      <w:bookmarkEnd w:id="135"/>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6FAE">
      <w:pPr>
        <w:numPr>
          <w:ilvl w:val="12"/>
          <w:numId w:val="0"/>
        </w:numP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485118" w:rsidRDefault="00485118" w:rsidP="00AC4A70">
      <w:pPr>
        <w:numPr>
          <w:ilvl w:val="12"/>
          <w:numId w:val="0"/>
        </w:numPr>
        <w:jc w:val="center"/>
        <w:rPr>
          <w:b/>
          <w:sz w:val="32"/>
          <w:szCs w:val="32"/>
        </w:rPr>
      </w:pPr>
    </w:p>
    <w:p w:rsidR="00FA1F80" w:rsidRDefault="00FA1F80" w:rsidP="00FA1F80">
      <w:pPr>
        <w:numPr>
          <w:ilvl w:val="12"/>
          <w:numId w:val="0"/>
        </w:numPr>
        <w:spacing w:line="480" w:lineRule="auto"/>
      </w:pPr>
    </w:p>
    <w:p w:rsidR="00D16F3D" w:rsidRDefault="00EE6788" w:rsidP="00D16F3D">
      <w:pPr>
        <w:numPr>
          <w:ilvl w:val="12"/>
          <w:numId w:val="0"/>
        </w:numPr>
        <w:spacing w:line="480" w:lineRule="auto"/>
        <w:ind w:firstLine="720"/>
      </w:pPr>
      <w:r>
        <w:lastRenderedPageBreak/>
        <w:t>E</w:t>
      </w:r>
      <w:r w:rsidR="00190AA7">
        <w:t xml:space="preserve">xperiments were conducted </w:t>
      </w:r>
      <w:r>
        <w:t xml:space="preserve">to evaluate </w:t>
      </w:r>
      <w:r w:rsidR="00D16F3D">
        <w:t xml:space="preserve">the performance of </w:t>
      </w:r>
      <w:r>
        <w:t xml:space="preserve">strobilurin fungicides </w:t>
      </w:r>
      <w:r w:rsidR="00176563">
        <w:t xml:space="preserve">for </w:t>
      </w:r>
      <w:r>
        <w:t xml:space="preserve">disease control and their potential </w:t>
      </w:r>
      <w:r w:rsidR="00707CF8">
        <w:t>to promote physiological effects</w:t>
      </w:r>
      <w:r>
        <w:t xml:space="preserve"> on creeping bentgrass</w:t>
      </w:r>
      <w:r w:rsidR="00D16F3D">
        <w:t xml:space="preserve">. </w:t>
      </w:r>
      <w:r w:rsidR="00896C33">
        <w:t>O</w:t>
      </w:r>
      <w:r w:rsidR="00D16F3D">
        <w:t xml:space="preserve">bservable differences in disease control and </w:t>
      </w:r>
      <w:r w:rsidR="00896C33">
        <w:t>physiological</w:t>
      </w:r>
      <w:r w:rsidR="00D16F3D">
        <w:t xml:space="preserve"> effects varied depending on the environment</w:t>
      </w:r>
      <w:r w:rsidR="004C4F90">
        <w:t>al conditions</w:t>
      </w:r>
      <w:r w:rsidR="00896C33">
        <w:t xml:space="preserve"> in the field</w:t>
      </w:r>
      <w:r w:rsidR="00D16F3D">
        <w:t xml:space="preserve">. </w:t>
      </w:r>
    </w:p>
    <w:p w:rsidR="00067052" w:rsidRDefault="00CC6D0B" w:rsidP="00D16F3D">
      <w:pPr>
        <w:numPr>
          <w:ilvl w:val="12"/>
          <w:numId w:val="0"/>
        </w:numPr>
        <w:spacing w:line="480" w:lineRule="auto"/>
        <w:ind w:firstLine="720"/>
      </w:pPr>
      <w:r>
        <w:t xml:space="preserve">Differences in physiological effects </w:t>
      </w:r>
      <w:r w:rsidR="00A754E7">
        <w:t>coincided with differences in</w:t>
      </w:r>
      <w:r>
        <w:t xml:space="preserve"> disease severity in this research. In a pilot study, strobilurin programs </w:t>
      </w:r>
      <w:r w:rsidR="006802E3">
        <w:t>had significantly less disease severity compared to non-treated control</w:t>
      </w:r>
      <w:r w:rsidR="00896C33">
        <w:t>s</w:t>
      </w:r>
      <w:r w:rsidR="006802E3">
        <w:t xml:space="preserve">. Strobilurin programs also had significantly greater physiological effects </w:t>
      </w:r>
      <w:r w:rsidR="00A754E7">
        <w:t xml:space="preserve">as </w:t>
      </w:r>
      <w:r w:rsidR="006802E3">
        <w:t xml:space="preserve">measured by turfgrass quality, NDVI, and RVI.  </w:t>
      </w:r>
      <w:r w:rsidR="00A754E7">
        <w:t xml:space="preserve">In a similar study, disease severity was low across all strobilurin programs and the non-treated control. The non-treated control remained similar in all measured parameters compared to the treated plots until brown patch </w:t>
      </w:r>
      <w:r w:rsidR="00067052">
        <w:t>was observed</w:t>
      </w:r>
      <w:r w:rsidR="00A754E7">
        <w:t xml:space="preserve">. </w:t>
      </w:r>
      <w:r w:rsidR="00067052">
        <w:t xml:space="preserve">At this time, differences in disease severity and physiological effects were reported. Differences among treated plots in disease severity or physiological effects were not observed. </w:t>
      </w:r>
    </w:p>
    <w:p w:rsidR="00304480" w:rsidRPr="00067052" w:rsidRDefault="00A754E7" w:rsidP="00067052">
      <w:pPr>
        <w:numPr>
          <w:ilvl w:val="12"/>
          <w:numId w:val="0"/>
        </w:numPr>
        <w:spacing w:line="480" w:lineRule="auto"/>
        <w:ind w:firstLine="720"/>
      </w:pPr>
      <w:r>
        <w:t xml:space="preserve"> </w:t>
      </w:r>
      <w:r w:rsidR="00DF0088">
        <w:rPr>
          <w:color w:val="000000"/>
        </w:rPr>
        <w:t>Physiological</w:t>
      </w:r>
      <w:r w:rsidR="00D07579">
        <w:rPr>
          <w:color w:val="000000"/>
        </w:rPr>
        <w:t xml:space="preserve"> effects of repeated strobilurin applications in absence of visible foliar disease were investigated on a separate creeping bentgrass putting</w:t>
      </w:r>
      <w:r w:rsidR="00DF0088">
        <w:rPr>
          <w:color w:val="000000"/>
        </w:rPr>
        <w:t xml:space="preserve"> green</w:t>
      </w:r>
      <w:r w:rsidR="00D07579">
        <w:rPr>
          <w:color w:val="000000"/>
        </w:rPr>
        <w:t xml:space="preserve">. Applications of chlorothalonil in combination with iprodione were broadcasted over strobilurin fungicide and non-treated control plots to limit foliar disease activity. </w:t>
      </w:r>
      <w:r w:rsidR="001F1DD4">
        <w:rPr>
          <w:color w:val="000000"/>
        </w:rPr>
        <w:t xml:space="preserve">Neither </w:t>
      </w:r>
      <w:r w:rsidR="00304480">
        <w:rPr>
          <w:color w:val="000000"/>
        </w:rPr>
        <w:t xml:space="preserve">significant </w:t>
      </w:r>
      <w:r w:rsidR="001F1DD4">
        <w:rPr>
          <w:color w:val="000000"/>
        </w:rPr>
        <w:t xml:space="preserve">differences in disease control </w:t>
      </w:r>
      <w:r w:rsidR="00E86AB0">
        <w:rPr>
          <w:color w:val="000000"/>
        </w:rPr>
        <w:t>n</w:t>
      </w:r>
      <w:r w:rsidR="00574402">
        <w:rPr>
          <w:color w:val="000000"/>
        </w:rPr>
        <w:t xml:space="preserve">or any </w:t>
      </w:r>
      <w:r w:rsidR="00DF0088">
        <w:rPr>
          <w:rFonts w:eastAsia="Calibri"/>
        </w:rPr>
        <w:t>measured parameter</w:t>
      </w:r>
      <w:r w:rsidR="00896C33">
        <w:rPr>
          <w:rFonts w:eastAsia="Calibri"/>
        </w:rPr>
        <w:t xml:space="preserve"> of plant health</w:t>
      </w:r>
      <w:r w:rsidR="001F1DD4" w:rsidRPr="00DD21E4">
        <w:rPr>
          <w:rFonts w:eastAsia="Calibri"/>
        </w:rPr>
        <w:t xml:space="preserve"> </w:t>
      </w:r>
      <w:r w:rsidR="001F1DD4">
        <w:rPr>
          <w:rFonts w:eastAsia="Calibri"/>
        </w:rPr>
        <w:t>w</w:t>
      </w:r>
      <w:r w:rsidR="00991466">
        <w:rPr>
          <w:rFonts w:eastAsia="Calibri"/>
        </w:rPr>
        <w:t>ere</w:t>
      </w:r>
      <w:r w:rsidR="001F1DD4">
        <w:rPr>
          <w:rFonts w:eastAsia="Calibri"/>
        </w:rPr>
        <w:t xml:space="preserve"> observed </w:t>
      </w:r>
      <w:r w:rsidR="00D07579">
        <w:rPr>
          <w:rFonts w:eastAsia="Calibri"/>
        </w:rPr>
        <w:t xml:space="preserve">between </w:t>
      </w:r>
      <w:r w:rsidR="00DF0088">
        <w:rPr>
          <w:rFonts w:eastAsia="Calibri"/>
        </w:rPr>
        <w:t xml:space="preserve">strobilurin </w:t>
      </w:r>
      <w:r w:rsidR="00D07579">
        <w:rPr>
          <w:rFonts w:eastAsia="Calibri"/>
        </w:rPr>
        <w:t xml:space="preserve">treatments </w:t>
      </w:r>
      <w:r w:rsidR="001F1DD4">
        <w:rPr>
          <w:rFonts w:eastAsia="Calibri"/>
        </w:rPr>
        <w:t xml:space="preserve">on </w:t>
      </w:r>
      <w:r w:rsidR="001F1DD4" w:rsidRPr="00DD21E4">
        <w:rPr>
          <w:rFonts w:eastAsia="Calibri"/>
        </w:rPr>
        <w:t>any assessment date</w:t>
      </w:r>
      <w:r w:rsidR="001F1DD4">
        <w:rPr>
          <w:rFonts w:eastAsia="Calibri"/>
        </w:rPr>
        <w:t xml:space="preserve"> over the course of two years</w:t>
      </w:r>
      <w:r w:rsidR="001F1DD4" w:rsidRPr="00DD21E4">
        <w:rPr>
          <w:rFonts w:eastAsia="Calibri"/>
        </w:rPr>
        <w:t>.</w:t>
      </w:r>
      <w:r w:rsidR="001F1DD4" w:rsidRPr="004C3281">
        <w:rPr>
          <w:color w:val="000000"/>
        </w:rPr>
        <w:t xml:space="preserve"> </w:t>
      </w:r>
    </w:p>
    <w:p w:rsidR="00D20005" w:rsidRPr="0057258F" w:rsidRDefault="001F1DD4" w:rsidP="00D20005">
      <w:pPr>
        <w:spacing w:line="480" w:lineRule="auto"/>
        <w:ind w:firstLine="720"/>
      </w:pPr>
      <w:r>
        <w:rPr>
          <w:color w:val="000000"/>
        </w:rPr>
        <w:t xml:space="preserve">This </w:t>
      </w:r>
      <w:r w:rsidR="00736F60">
        <w:rPr>
          <w:color w:val="000000"/>
        </w:rPr>
        <w:t xml:space="preserve">research suggests that applications of strobilurin </w:t>
      </w:r>
      <w:r w:rsidR="007A7917">
        <w:rPr>
          <w:color w:val="000000"/>
        </w:rPr>
        <w:t>fungicides have</w:t>
      </w:r>
      <w:r w:rsidR="00736F60">
        <w:rPr>
          <w:color w:val="000000"/>
        </w:rPr>
        <w:t xml:space="preserve"> a more pronounced effect at improving field observable creeping bentgrass health during times of disease activity. This research is beneficial to turfgrass managers maintain</w:t>
      </w:r>
      <w:r w:rsidR="007A7917">
        <w:rPr>
          <w:color w:val="000000"/>
        </w:rPr>
        <w:t>ing</w:t>
      </w:r>
      <w:r w:rsidR="00736F60">
        <w:rPr>
          <w:color w:val="000000"/>
        </w:rPr>
        <w:t xml:space="preserve"> creeping </w:t>
      </w:r>
      <w:r w:rsidR="00736F60">
        <w:rPr>
          <w:color w:val="000000"/>
        </w:rPr>
        <w:lastRenderedPageBreak/>
        <w:t xml:space="preserve">bentgrass putting greens in the transition zone. </w:t>
      </w:r>
      <w:r w:rsidR="00D20005">
        <w:rPr>
          <w:color w:val="000000"/>
        </w:rPr>
        <w:t xml:space="preserve">Strobilurin fungicides can be </w:t>
      </w:r>
      <w:r w:rsidR="007A7917">
        <w:rPr>
          <w:color w:val="000000"/>
        </w:rPr>
        <w:t>an excellent disease control option during summer months. However,</w:t>
      </w:r>
      <w:r w:rsidR="00D20005">
        <w:rPr>
          <w:color w:val="000000"/>
        </w:rPr>
        <w:t xml:space="preserve"> </w:t>
      </w:r>
      <w:r w:rsidR="00DF0088">
        <w:rPr>
          <w:color w:val="000000"/>
        </w:rPr>
        <w:t xml:space="preserve">this research suggests that applications of strobilurin fungicides are not </w:t>
      </w:r>
      <w:r w:rsidR="00D20005">
        <w:rPr>
          <w:color w:val="000000"/>
        </w:rPr>
        <w:t xml:space="preserve">a prerequisite for summer stress management. Rather, </w:t>
      </w:r>
      <w:r w:rsidR="00D20005">
        <w:t>turfgrass managers should administer</w:t>
      </w:r>
      <w:r w:rsidR="00D20005" w:rsidRPr="0057258F">
        <w:t xml:space="preserve"> cultural practices including routine mowing, sand topdressing, aerification, and nutrient and water management. These management practices </w:t>
      </w:r>
      <w:r w:rsidR="00DA716C">
        <w:t>remain</w:t>
      </w:r>
      <w:r w:rsidR="007A7917">
        <w:t xml:space="preserve"> central</w:t>
      </w:r>
      <w:r w:rsidR="00D20005">
        <w:t xml:space="preserve"> in sustaining creeping bentgrass through prolonged summer stress environments. </w:t>
      </w:r>
    </w:p>
    <w:p w:rsidR="001F1DD4" w:rsidRDefault="001F1DD4"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067052" w:rsidRDefault="00067052" w:rsidP="001F1DD4">
      <w:pPr>
        <w:numPr>
          <w:ilvl w:val="12"/>
          <w:numId w:val="0"/>
        </w:numPr>
        <w:spacing w:line="480" w:lineRule="auto"/>
        <w:ind w:firstLine="720"/>
        <w:rPr>
          <w:color w:val="000000"/>
        </w:rPr>
      </w:pPr>
    </w:p>
    <w:p w:rsidR="00574402" w:rsidRDefault="00574402" w:rsidP="007D3D12">
      <w:pPr>
        <w:pStyle w:val="Caption"/>
        <w:rPr>
          <w:sz w:val="32"/>
          <w:szCs w:val="32"/>
        </w:rPr>
      </w:pPr>
    </w:p>
    <w:p w:rsidR="00D00D8F" w:rsidRDefault="004822B0" w:rsidP="00EB30A2">
      <w:pPr>
        <w:pStyle w:val="Heading1"/>
      </w:pPr>
      <w:bookmarkStart w:id="136" w:name="_Toc353890924"/>
      <w:bookmarkStart w:id="137" w:name="_Toc353892665"/>
      <w:r w:rsidRPr="00EF5EB6">
        <w:lastRenderedPageBreak/>
        <w:t>VITA</w:t>
      </w:r>
      <w:bookmarkEnd w:id="136"/>
      <w:bookmarkEnd w:id="137"/>
    </w:p>
    <w:p w:rsidR="00EB30A2" w:rsidRPr="00EB30A2" w:rsidRDefault="00EB30A2" w:rsidP="00EB30A2"/>
    <w:p w:rsidR="003D63DF" w:rsidRPr="003D63DF" w:rsidRDefault="00D00D8F" w:rsidP="0099753F">
      <w:pPr>
        <w:pStyle w:val="Caption"/>
        <w:spacing w:line="480" w:lineRule="auto"/>
        <w:ind w:firstLine="720"/>
        <w:rPr>
          <w:rFonts w:ascii="Arial" w:hAnsi="Arial" w:cs="Arial"/>
        </w:rPr>
      </w:pPr>
      <w:r>
        <w:rPr>
          <w:b w:val="0"/>
          <w:sz w:val="24"/>
        </w:rPr>
        <w:t>Jesse J Benelli was born on February 11</w:t>
      </w:r>
      <w:r w:rsidRPr="00D00D8F">
        <w:rPr>
          <w:b w:val="0"/>
          <w:sz w:val="24"/>
          <w:vertAlign w:val="superscript"/>
        </w:rPr>
        <w:t>th</w:t>
      </w:r>
      <w:r w:rsidR="000836E7">
        <w:rPr>
          <w:b w:val="0"/>
          <w:sz w:val="24"/>
        </w:rPr>
        <w:t>, 1984 in Bath NY</w:t>
      </w:r>
      <w:r>
        <w:rPr>
          <w:b w:val="0"/>
          <w:sz w:val="24"/>
        </w:rPr>
        <w:t xml:space="preserve"> to Donald and Carol </w:t>
      </w:r>
      <w:r w:rsidR="000836E7">
        <w:rPr>
          <w:b w:val="0"/>
          <w:sz w:val="24"/>
        </w:rPr>
        <w:t>Benelli. Raised in Wellsboro, PA</w:t>
      </w:r>
      <w:r w:rsidR="00361BFF">
        <w:rPr>
          <w:b w:val="0"/>
          <w:sz w:val="24"/>
        </w:rPr>
        <w:t xml:space="preserve">, </w:t>
      </w:r>
      <w:r w:rsidR="000836E7">
        <w:rPr>
          <w:b w:val="0"/>
          <w:sz w:val="24"/>
        </w:rPr>
        <w:t xml:space="preserve"> he</w:t>
      </w:r>
      <w:r>
        <w:rPr>
          <w:b w:val="0"/>
          <w:sz w:val="24"/>
        </w:rPr>
        <w:t xml:space="preserve"> attended Wellsboro Area High School and graduated in 2002. </w:t>
      </w:r>
      <w:r w:rsidR="00730CC0">
        <w:rPr>
          <w:b w:val="0"/>
          <w:sz w:val="24"/>
        </w:rPr>
        <w:t xml:space="preserve">Jesse attended Mansfield University to pursue a B.A. in psychology. In January of 2004, he transferred to Penn State University to obtain a B.S. in turfgrass science. After graduating in 2007, he </w:t>
      </w:r>
      <w:r w:rsidR="00361BFF">
        <w:rPr>
          <w:b w:val="0"/>
          <w:sz w:val="24"/>
        </w:rPr>
        <w:t>was</w:t>
      </w:r>
      <w:r w:rsidR="00730CC0">
        <w:rPr>
          <w:b w:val="0"/>
          <w:sz w:val="24"/>
        </w:rPr>
        <w:t xml:space="preserve"> a research technician for Penn State’s </w:t>
      </w:r>
      <w:r w:rsidR="000836E7">
        <w:rPr>
          <w:b w:val="0"/>
          <w:sz w:val="24"/>
        </w:rPr>
        <w:t>turfgrass pathology program</w:t>
      </w:r>
      <w:r w:rsidR="00730CC0">
        <w:rPr>
          <w:b w:val="0"/>
          <w:sz w:val="24"/>
        </w:rPr>
        <w:t xml:space="preserve">. He began his M.S. degree in 2010 at the University of Tennessee. Jesse plans to enroll as a Ph.D. student at the University of Tennessee after graduation. </w:t>
      </w:r>
    </w:p>
    <w:sectPr w:rsidR="003D63DF" w:rsidRPr="003D63DF" w:rsidSect="00F81533">
      <w:headerReference w:type="even" r:id="rId18"/>
      <w:headerReference w:type="default" r:id="rId19"/>
      <w:footerReference w:type="default" r:id="rId20"/>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916" w:rsidRDefault="00017916">
      <w:r>
        <w:separator/>
      </w:r>
    </w:p>
    <w:p w:rsidR="00017916" w:rsidRDefault="00017916"/>
  </w:endnote>
  <w:endnote w:type="continuationSeparator" w:id="0">
    <w:p w:rsidR="00017916" w:rsidRDefault="00017916">
      <w:r>
        <w:continuationSeparator/>
      </w:r>
    </w:p>
    <w:p w:rsidR="00017916" w:rsidRDefault="0001791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00000000" w:usb2="00000000"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Lucida Grande">
    <w:altName w:val="Arial"/>
    <w:charset w:val="00"/>
    <w:family w:val="auto"/>
    <w:pitch w:val="variable"/>
    <w:sig w:usb0="00000000" w:usb1="5000A1FF" w:usb2="00000000" w:usb3="00000000" w:csb0="000001B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BemboSt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C7" w:rsidRDefault="00E27DC7">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361BFF">
      <w:rPr>
        <w:rFonts w:ascii="Arial" w:hAnsi="Arial" w:cs="Arial"/>
        <w:noProof/>
      </w:rPr>
      <w:t>xv</w:t>
    </w:r>
    <w:r>
      <w:rPr>
        <w:rFonts w:ascii="Arial" w:hAnsi="Arial" w:cs="Arial"/>
        <w:noProof/>
      </w:rPr>
      <w:fldChar w:fldCharType="end"/>
    </w:r>
  </w:p>
  <w:p w:rsidR="00E27DC7" w:rsidRDefault="00E27DC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C7" w:rsidRDefault="00E27DC7">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361BFF">
      <w:rPr>
        <w:rFonts w:ascii="Arial" w:hAnsi="Arial" w:cs="Arial"/>
        <w:noProof/>
      </w:rPr>
      <w:t>90</w:t>
    </w:r>
    <w:r>
      <w:rPr>
        <w:rFonts w:ascii="Arial" w:hAnsi="Arial" w:cs="Arial"/>
        <w:noProof/>
      </w:rPr>
      <w:fldChar w:fldCharType="end"/>
    </w:r>
  </w:p>
  <w:p w:rsidR="00E27DC7" w:rsidRDefault="00E27DC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916" w:rsidRDefault="00017916">
      <w:r>
        <w:separator/>
      </w:r>
    </w:p>
    <w:p w:rsidR="00017916" w:rsidRDefault="00017916"/>
  </w:footnote>
  <w:footnote w:type="continuationSeparator" w:id="0">
    <w:p w:rsidR="00017916" w:rsidRDefault="00017916">
      <w:r>
        <w:continuationSeparator/>
      </w:r>
    </w:p>
    <w:p w:rsidR="00017916" w:rsidRDefault="0001791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C7" w:rsidRDefault="00E27DC7">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C7" w:rsidRDefault="00E27DC7">
    <w:pPr>
      <w:spacing w:line="34" w:lineRule="auto"/>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C7" w:rsidRDefault="00E27DC7">
    <w:pPr>
      <w:spacing w:line="34" w:lineRule="auto"/>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C7" w:rsidRDefault="00E27DC7">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CEE6E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E5047366"/>
    <w:lvl w:ilvl="0">
      <w:numFmt w:val="decimal"/>
      <w:lvlText w:val="*"/>
      <w:lvlJc w:val="left"/>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B29479B"/>
    <w:multiLevelType w:val="hybridMultilevel"/>
    <w:tmpl w:val="FF7852C6"/>
    <w:lvl w:ilvl="0" w:tplc="714AC0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0">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6">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9">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D054BD5"/>
    <w:multiLevelType w:val="hybridMultilevel"/>
    <w:tmpl w:val="B3126E1C"/>
    <w:lvl w:ilvl="0" w:tplc="1FB6E682">
      <w:start w:val="8"/>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3D135072"/>
    <w:multiLevelType w:val="hybridMultilevel"/>
    <w:tmpl w:val="CDCA3F2A"/>
    <w:lvl w:ilvl="0" w:tplc="28B65148">
      <w:start w:val="8"/>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9">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62465C5E"/>
    <w:multiLevelType w:val="hybridMultilevel"/>
    <w:tmpl w:val="F71A3CE4"/>
    <w:lvl w:ilvl="0" w:tplc="4FEED646">
      <w:start w:val="2"/>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0">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8"/>
  </w:num>
  <w:num w:numId="3">
    <w:abstractNumId w:val="18"/>
  </w:num>
  <w:num w:numId="4">
    <w:abstractNumId w:val="39"/>
  </w:num>
  <w:num w:numId="5">
    <w:abstractNumId w:val="1"/>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1"/>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4"/>
  </w:num>
  <w:num w:numId="8">
    <w:abstractNumId w:val="25"/>
  </w:num>
  <w:num w:numId="9">
    <w:abstractNumId w:val="8"/>
  </w:num>
  <w:num w:numId="10">
    <w:abstractNumId w:val="22"/>
  </w:num>
  <w:num w:numId="11">
    <w:abstractNumId w:val="33"/>
  </w:num>
  <w:num w:numId="12">
    <w:abstractNumId w:val="34"/>
  </w:num>
  <w:num w:numId="13">
    <w:abstractNumId w:val="15"/>
  </w:num>
  <w:num w:numId="14">
    <w:abstractNumId w:val="9"/>
  </w:num>
  <w:num w:numId="15">
    <w:abstractNumId w:val="2"/>
  </w:num>
  <w:num w:numId="16">
    <w:abstractNumId w:val="6"/>
  </w:num>
  <w:num w:numId="17">
    <w:abstractNumId w:val="43"/>
  </w:num>
  <w:num w:numId="18">
    <w:abstractNumId w:val="36"/>
  </w:num>
  <w:num w:numId="19">
    <w:abstractNumId w:val="17"/>
  </w:num>
  <w:num w:numId="20">
    <w:abstractNumId w:val="38"/>
  </w:num>
  <w:num w:numId="21">
    <w:abstractNumId w:val="10"/>
  </w:num>
  <w:num w:numId="22">
    <w:abstractNumId w:val="21"/>
  </w:num>
  <w:num w:numId="23">
    <w:abstractNumId w:val="42"/>
  </w:num>
  <w:num w:numId="24">
    <w:abstractNumId w:val="19"/>
  </w:num>
  <w:num w:numId="25">
    <w:abstractNumId w:val="12"/>
  </w:num>
  <w:num w:numId="26">
    <w:abstractNumId w:val="4"/>
  </w:num>
  <w:num w:numId="27">
    <w:abstractNumId w:val="24"/>
  </w:num>
  <w:num w:numId="28">
    <w:abstractNumId w:val="40"/>
  </w:num>
  <w:num w:numId="29">
    <w:abstractNumId w:val="26"/>
  </w:num>
  <w:num w:numId="30">
    <w:abstractNumId w:val="3"/>
  </w:num>
  <w:num w:numId="31">
    <w:abstractNumId w:val="27"/>
  </w:num>
  <w:num w:numId="32">
    <w:abstractNumId w:val="31"/>
  </w:num>
  <w:num w:numId="33">
    <w:abstractNumId w:val="11"/>
  </w:num>
  <w:num w:numId="34">
    <w:abstractNumId w:val="30"/>
  </w:num>
  <w:num w:numId="35">
    <w:abstractNumId w:val="37"/>
  </w:num>
  <w:num w:numId="36">
    <w:abstractNumId w:val="7"/>
  </w:num>
  <w:num w:numId="37">
    <w:abstractNumId w:val="13"/>
  </w:num>
  <w:num w:numId="38">
    <w:abstractNumId w:val="16"/>
  </w:num>
  <w:num w:numId="39">
    <w:abstractNumId w:val="29"/>
  </w:num>
  <w:num w:numId="40">
    <w:abstractNumId w:val="41"/>
  </w:num>
  <w:num w:numId="41">
    <w:abstractNumId w:val="32"/>
  </w:num>
  <w:num w:numId="42">
    <w:abstractNumId w:val="20"/>
  </w:num>
  <w:num w:numId="43">
    <w:abstractNumId w:val="23"/>
  </w:num>
  <w:num w:numId="44">
    <w:abstractNumId w:val="35"/>
  </w:num>
  <w:num w:numId="45">
    <w:abstractNumId w:val="5"/>
  </w:num>
  <w:num w:numId="4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stylePaneFormatFilter w:val="3F01"/>
  <w:defaultTabStop w:val="720"/>
  <w:drawingGridHorizontalSpacing w:val="120"/>
  <w:displayHorizontalDrawingGridEvery w:val="2"/>
  <w:displayVerticalDrawingGridEvery w:val="2"/>
  <w:noPunctuationKerning/>
  <w:characterSpacingControl w:val="doNotCompress"/>
  <w:hdrShapeDefaults>
    <o:shapedefaults v:ext="edit" spidmax="16386"/>
  </w:hdrShapeDefaults>
  <w:footnotePr>
    <w:footnote w:id="-1"/>
    <w:footnote w:id="0"/>
  </w:footnotePr>
  <w:endnotePr>
    <w:endnote w:id="-1"/>
    <w:endnote w:id="0"/>
  </w:endnotePr>
  <w:compat/>
  <w:rsids>
    <w:rsidRoot w:val="00ED7A05"/>
    <w:rsid w:val="00005585"/>
    <w:rsid w:val="00011FF8"/>
    <w:rsid w:val="00014A3E"/>
    <w:rsid w:val="000166A9"/>
    <w:rsid w:val="00017916"/>
    <w:rsid w:val="00022036"/>
    <w:rsid w:val="000231E5"/>
    <w:rsid w:val="00023FD1"/>
    <w:rsid w:val="00031002"/>
    <w:rsid w:val="000312EB"/>
    <w:rsid w:val="00040967"/>
    <w:rsid w:val="00051556"/>
    <w:rsid w:val="00052354"/>
    <w:rsid w:val="000549B1"/>
    <w:rsid w:val="00057004"/>
    <w:rsid w:val="00066163"/>
    <w:rsid w:val="00067052"/>
    <w:rsid w:val="00071FB8"/>
    <w:rsid w:val="000735ED"/>
    <w:rsid w:val="00073BF2"/>
    <w:rsid w:val="00075B5A"/>
    <w:rsid w:val="00076A95"/>
    <w:rsid w:val="00082093"/>
    <w:rsid w:val="0008249E"/>
    <w:rsid w:val="000836E7"/>
    <w:rsid w:val="00083B4C"/>
    <w:rsid w:val="00084DD6"/>
    <w:rsid w:val="00085561"/>
    <w:rsid w:val="000879A0"/>
    <w:rsid w:val="000937F5"/>
    <w:rsid w:val="000957F7"/>
    <w:rsid w:val="00097388"/>
    <w:rsid w:val="000A27D4"/>
    <w:rsid w:val="000A4891"/>
    <w:rsid w:val="000A4A65"/>
    <w:rsid w:val="000A4A85"/>
    <w:rsid w:val="000A6538"/>
    <w:rsid w:val="000A7B20"/>
    <w:rsid w:val="000B290A"/>
    <w:rsid w:val="000B3533"/>
    <w:rsid w:val="000B5C42"/>
    <w:rsid w:val="000B6778"/>
    <w:rsid w:val="000C0034"/>
    <w:rsid w:val="000D041A"/>
    <w:rsid w:val="000D28AF"/>
    <w:rsid w:val="000E3BB6"/>
    <w:rsid w:val="000E470F"/>
    <w:rsid w:val="000E5F66"/>
    <w:rsid w:val="000E6D0F"/>
    <w:rsid w:val="000F5EA7"/>
    <w:rsid w:val="00100660"/>
    <w:rsid w:val="0010217F"/>
    <w:rsid w:val="001038AE"/>
    <w:rsid w:val="001044D1"/>
    <w:rsid w:val="00105E69"/>
    <w:rsid w:val="001128ED"/>
    <w:rsid w:val="00122952"/>
    <w:rsid w:val="00123265"/>
    <w:rsid w:val="00123C19"/>
    <w:rsid w:val="001256D1"/>
    <w:rsid w:val="001303C3"/>
    <w:rsid w:val="001327AF"/>
    <w:rsid w:val="00133068"/>
    <w:rsid w:val="00136C24"/>
    <w:rsid w:val="00141A70"/>
    <w:rsid w:val="00142838"/>
    <w:rsid w:val="001461A2"/>
    <w:rsid w:val="0015056A"/>
    <w:rsid w:val="00154467"/>
    <w:rsid w:val="00156692"/>
    <w:rsid w:val="00160114"/>
    <w:rsid w:val="00161494"/>
    <w:rsid w:val="001678E0"/>
    <w:rsid w:val="00170DE8"/>
    <w:rsid w:val="00171B02"/>
    <w:rsid w:val="00175781"/>
    <w:rsid w:val="00176563"/>
    <w:rsid w:val="00180085"/>
    <w:rsid w:val="0018176A"/>
    <w:rsid w:val="00182291"/>
    <w:rsid w:val="00183A94"/>
    <w:rsid w:val="00184710"/>
    <w:rsid w:val="001848F6"/>
    <w:rsid w:val="001854FB"/>
    <w:rsid w:val="00190AA7"/>
    <w:rsid w:val="001922F4"/>
    <w:rsid w:val="00193642"/>
    <w:rsid w:val="00194105"/>
    <w:rsid w:val="00195C36"/>
    <w:rsid w:val="001975D0"/>
    <w:rsid w:val="001A11DD"/>
    <w:rsid w:val="001A1886"/>
    <w:rsid w:val="001A31E2"/>
    <w:rsid w:val="001A4BBA"/>
    <w:rsid w:val="001A66D1"/>
    <w:rsid w:val="001B1034"/>
    <w:rsid w:val="001B24C1"/>
    <w:rsid w:val="001B3D35"/>
    <w:rsid w:val="001B6DEB"/>
    <w:rsid w:val="001B790D"/>
    <w:rsid w:val="001C39F6"/>
    <w:rsid w:val="001C66FE"/>
    <w:rsid w:val="001D3BCB"/>
    <w:rsid w:val="001D4908"/>
    <w:rsid w:val="001D6904"/>
    <w:rsid w:val="001E2509"/>
    <w:rsid w:val="001E52FE"/>
    <w:rsid w:val="001F1DD4"/>
    <w:rsid w:val="001F2556"/>
    <w:rsid w:val="001F3791"/>
    <w:rsid w:val="001F50D3"/>
    <w:rsid w:val="001F522F"/>
    <w:rsid w:val="00204A50"/>
    <w:rsid w:val="00205DED"/>
    <w:rsid w:val="00211A46"/>
    <w:rsid w:val="00216734"/>
    <w:rsid w:val="0022009C"/>
    <w:rsid w:val="002203D2"/>
    <w:rsid w:val="002229D4"/>
    <w:rsid w:val="00222C4A"/>
    <w:rsid w:val="00223197"/>
    <w:rsid w:val="00225623"/>
    <w:rsid w:val="00230D9F"/>
    <w:rsid w:val="002327F1"/>
    <w:rsid w:val="00232AE6"/>
    <w:rsid w:val="002349E9"/>
    <w:rsid w:val="00234C97"/>
    <w:rsid w:val="00234DD8"/>
    <w:rsid w:val="00235486"/>
    <w:rsid w:val="002368DE"/>
    <w:rsid w:val="00236E6D"/>
    <w:rsid w:val="002407DF"/>
    <w:rsid w:val="002429E5"/>
    <w:rsid w:val="00243B4C"/>
    <w:rsid w:val="00244821"/>
    <w:rsid w:val="00245E42"/>
    <w:rsid w:val="00253516"/>
    <w:rsid w:val="00255100"/>
    <w:rsid w:val="0025718E"/>
    <w:rsid w:val="00264884"/>
    <w:rsid w:val="00270767"/>
    <w:rsid w:val="00274271"/>
    <w:rsid w:val="00275F24"/>
    <w:rsid w:val="00276F75"/>
    <w:rsid w:val="00277250"/>
    <w:rsid w:val="0027767A"/>
    <w:rsid w:val="00280CEF"/>
    <w:rsid w:val="00282635"/>
    <w:rsid w:val="00285FBC"/>
    <w:rsid w:val="0028757A"/>
    <w:rsid w:val="002912DF"/>
    <w:rsid w:val="0029533F"/>
    <w:rsid w:val="002962EB"/>
    <w:rsid w:val="00297B97"/>
    <w:rsid w:val="00297FAE"/>
    <w:rsid w:val="002A122C"/>
    <w:rsid w:val="002A2471"/>
    <w:rsid w:val="002A526C"/>
    <w:rsid w:val="002A53F7"/>
    <w:rsid w:val="002A6202"/>
    <w:rsid w:val="002A7352"/>
    <w:rsid w:val="002B0B59"/>
    <w:rsid w:val="002B4A1E"/>
    <w:rsid w:val="002B62D3"/>
    <w:rsid w:val="002B68E0"/>
    <w:rsid w:val="002C1731"/>
    <w:rsid w:val="002C2CBE"/>
    <w:rsid w:val="002C47ED"/>
    <w:rsid w:val="002C4897"/>
    <w:rsid w:val="002C5094"/>
    <w:rsid w:val="002C6C3B"/>
    <w:rsid w:val="002C7AAA"/>
    <w:rsid w:val="002D2C5E"/>
    <w:rsid w:val="002D584F"/>
    <w:rsid w:val="002D73DD"/>
    <w:rsid w:val="002E2492"/>
    <w:rsid w:val="002E54A2"/>
    <w:rsid w:val="003019B5"/>
    <w:rsid w:val="00301BF8"/>
    <w:rsid w:val="00301C96"/>
    <w:rsid w:val="00304480"/>
    <w:rsid w:val="00304BD0"/>
    <w:rsid w:val="003059A5"/>
    <w:rsid w:val="00306BB4"/>
    <w:rsid w:val="00307D77"/>
    <w:rsid w:val="0031066B"/>
    <w:rsid w:val="0031073C"/>
    <w:rsid w:val="00312BBA"/>
    <w:rsid w:val="00313E9E"/>
    <w:rsid w:val="00314322"/>
    <w:rsid w:val="00314E2D"/>
    <w:rsid w:val="003150D5"/>
    <w:rsid w:val="00315D93"/>
    <w:rsid w:val="003174EC"/>
    <w:rsid w:val="003206F1"/>
    <w:rsid w:val="00320D41"/>
    <w:rsid w:val="00320F78"/>
    <w:rsid w:val="003236A5"/>
    <w:rsid w:val="00324976"/>
    <w:rsid w:val="00326E89"/>
    <w:rsid w:val="00331518"/>
    <w:rsid w:val="00334DE7"/>
    <w:rsid w:val="00340123"/>
    <w:rsid w:val="00340A38"/>
    <w:rsid w:val="00340FD3"/>
    <w:rsid w:val="003450F2"/>
    <w:rsid w:val="00346B5F"/>
    <w:rsid w:val="00346C56"/>
    <w:rsid w:val="003567C3"/>
    <w:rsid w:val="00356CF3"/>
    <w:rsid w:val="0035768F"/>
    <w:rsid w:val="00357EF8"/>
    <w:rsid w:val="00360367"/>
    <w:rsid w:val="00361AB6"/>
    <w:rsid w:val="00361BFF"/>
    <w:rsid w:val="0036251E"/>
    <w:rsid w:val="003642BB"/>
    <w:rsid w:val="00366FB5"/>
    <w:rsid w:val="00367F0B"/>
    <w:rsid w:val="003734A3"/>
    <w:rsid w:val="00380B4B"/>
    <w:rsid w:val="0038177C"/>
    <w:rsid w:val="003836EB"/>
    <w:rsid w:val="00386BB5"/>
    <w:rsid w:val="00387024"/>
    <w:rsid w:val="00387C7D"/>
    <w:rsid w:val="003A201B"/>
    <w:rsid w:val="003A3324"/>
    <w:rsid w:val="003A366F"/>
    <w:rsid w:val="003A5978"/>
    <w:rsid w:val="003A59F2"/>
    <w:rsid w:val="003A5F4B"/>
    <w:rsid w:val="003A610C"/>
    <w:rsid w:val="003B19C1"/>
    <w:rsid w:val="003B6CB6"/>
    <w:rsid w:val="003B7820"/>
    <w:rsid w:val="003C1575"/>
    <w:rsid w:val="003C2814"/>
    <w:rsid w:val="003D0283"/>
    <w:rsid w:val="003D07F7"/>
    <w:rsid w:val="003D5275"/>
    <w:rsid w:val="003D613D"/>
    <w:rsid w:val="003D63DF"/>
    <w:rsid w:val="003D737F"/>
    <w:rsid w:val="003D7C46"/>
    <w:rsid w:val="003E4451"/>
    <w:rsid w:val="003E475F"/>
    <w:rsid w:val="003E6AB2"/>
    <w:rsid w:val="003E7811"/>
    <w:rsid w:val="003F028E"/>
    <w:rsid w:val="003F4A63"/>
    <w:rsid w:val="003F572D"/>
    <w:rsid w:val="003F5A59"/>
    <w:rsid w:val="003F7474"/>
    <w:rsid w:val="0040010D"/>
    <w:rsid w:val="00402E14"/>
    <w:rsid w:val="00403FC6"/>
    <w:rsid w:val="00404616"/>
    <w:rsid w:val="00407B6A"/>
    <w:rsid w:val="00411B77"/>
    <w:rsid w:val="004137AA"/>
    <w:rsid w:val="00414400"/>
    <w:rsid w:val="0041736E"/>
    <w:rsid w:val="00420998"/>
    <w:rsid w:val="00421CD4"/>
    <w:rsid w:val="00422932"/>
    <w:rsid w:val="00426D91"/>
    <w:rsid w:val="00427833"/>
    <w:rsid w:val="00431E21"/>
    <w:rsid w:val="004344FE"/>
    <w:rsid w:val="0043510C"/>
    <w:rsid w:val="00440697"/>
    <w:rsid w:val="004411FF"/>
    <w:rsid w:val="0044196E"/>
    <w:rsid w:val="00444090"/>
    <w:rsid w:val="00444EDB"/>
    <w:rsid w:val="0044672C"/>
    <w:rsid w:val="00447510"/>
    <w:rsid w:val="00451696"/>
    <w:rsid w:val="00451834"/>
    <w:rsid w:val="0045441B"/>
    <w:rsid w:val="00456B78"/>
    <w:rsid w:val="00460C5E"/>
    <w:rsid w:val="00460CEE"/>
    <w:rsid w:val="00465A44"/>
    <w:rsid w:val="00471197"/>
    <w:rsid w:val="00471E47"/>
    <w:rsid w:val="0047272D"/>
    <w:rsid w:val="00473083"/>
    <w:rsid w:val="00474210"/>
    <w:rsid w:val="0047561D"/>
    <w:rsid w:val="00477613"/>
    <w:rsid w:val="00480B96"/>
    <w:rsid w:val="004819CD"/>
    <w:rsid w:val="004822B0"/>
    <w:rsid w:val="0048303E"/>
    <w:rsid w:val="0048309E"/>
    <w:rsid w:val="0048463E"/>
    <w:rsid w:val="00484F6A"/>
    <w:rsid w:val="00485118"/>
    <w:rsid w:val="0048650B"/>
    <w:rsid w:val="00490183"/>
    <w:rsid w:val="004920F6"/>
    <w:rsid w:val="004928A7"/>
    <w:rsid w:val="00494721"/>
    <w:rsid w:val="00495D3A"/>
    <w:rsid w:val="004A2853"/>
    <w:rsid w:val="004A28B7"/>
    <w:rsid w:val="004A4FBF"/>
    <w:rsid w:val="004A5698"/>
    <w:rsid w:val="004A5CE1"/>
    <w:rsid w:val="004A67E8"/>
    <w:rsid w:val="004B1250"/>
    <w:rsid w:val="004B375A"/>
    <w:rsid w:val="004B3AF0"/>
    <w:rsid w:val="004B74DA"/>
    <w:rsid w:val="004B7644"/>
    <w:rsid w:val="004C1274"/>
    <w:rsid w:val="004C34FB"/>
    <w:rsid w:val="004C3764"/>
    <w:rsid w:val="004C3C30"/>
    <w:rsid w:val="004C3D65"/>
    <w:rsid w:val="004C4F90"/>
    <w:rsid w:val="004C6DC8"/>
    <w:rsid w:val="004C7A49"/>
    <w:rsid w:val="004D048D"/>
    <w:rsid w:val="004D6472"/>
    <w:rsid w:val="004D68FB"/>
    <w:rsid w:val="004D78EC"/>
    <w:rsid w:val="004E141B"/>
    <w:rsid w:val="004F1A37"/>
    <w:rsid w:val="004F45F5"/>
    <w:rsid w:val="004F6CEE"/>
    <w:rsid w:val="005000E3"/>
    <w:rsid w:val="00503171"/>
    <w:rsid w:val="00503231"/>
    <w:rsid w:val="00506182"/>
    <w:rsid w:val="00514B57"/>
    <w:rsid w:val="00540190"/>
    <w:rsid w:val="00540730"/>
    <w:rsid w:val="00541DBE"/>
    <w:rsid w:val="00542438"/>
    <w:rsid w:val="005439DF"/>
    <w:rsid w:val="005460BB"/>
    <w:rsid w:val="00547881"/>
    <w:rsid w:val="00551CFB"/>
    <w:rsid w:val="00552208"/>
    <w:rsid w:val="00555D87"/>
    <w:rsid w:val="0055782D"/>
    <w:rsid w:val="005600D1"/>
    <w:rsid w:val="00562BC7"/>
    <w:rsid w:val="0056762F"/>
    <w:rsid w:val="00570960"/>
    <w:rsid w:val="00571409"/>
    <w:rsid w:val="0057258F"/>
    <w:rsid w:val="00573A3D"/>
    <w:rsid w:val="00574402"/>
    <w:rsid w:val="00574CBB"/>
    <w:rsid w:val="00577C44"/>
    <w:rsid w:val="00577C5A"/>
    <w:rsid w:val="005800F5"/>
    <w:rsid w:val="005809F0"/>
    <w:rsid w:val="00583553"/>
    <w:rsid w:val="0058717F"/>
    <w:rsid w:val="00591B91"/>
    <w:rsid w:val="00593113"/>
    <w:rsid w:val="005935C7"/>
    <w:rsid w:val="0059557D"/>
    <w:rsid w:val="005979EE"/>
    <w:rsid w:val="00597D3F"/>
    <w:rsid w:val="005A000D"/>
    <w:rsid w:val="005A14E6"/>
    <w:rsid w:val="005A2D36"/>
    <w:rsid w:val="005A3789"/>
    <w:rsid w:val="005B0288"/>
    <w:rsid w:val="005B41F5"/>
    <w:rsid w:val="005B42BC"/>
    <w:rsid w:val="005B4D6F"/>
    <w:rsid w:val="005B5712"/>
    <w:rsid w:val="005B5E96"/>
    <w:rsid w:val="005B66A1"/>
    <w:rsid w:val="005B6D4C"/>
    <w:rsid w:val="005B79E9"/>
    <w:rsid w:val="005C1987"/>
    <w:rsid w:val="005C2730"/>
    <w:rsid w:val="005C3B4C"/>
    <w:rsid w:val="005D2A25"/>
    <w:rsid w:val="005D3531"/>
    <w:rsid w:val="005D39D6"/>
    <w:rsid w:val="005D6822"/>
    <w:rsid w:val="005D6938"/>
    <w:rsid w:val="005E1230"/>
    <w:rsid w:val="005E1E98"/>
    <w:rsid w:val="005E4912"/>
    <w:rsid w:val="005E6F1F"/>
    <w:rsid w:val="005F00A9"/>
    <w:rsid w:val="005F21E6"/>
    <w:rsid w:val="005F3822"/>
    <w:rsid w:val="005F44D1"/>
    <w:rsid w:val="005F746A"/>
    <w:rsid w:val="006009DD"/>
    <w:rsid w:val="0060478E"/>
    <w:rsid w:val="0060537E"/>
    <w:rsid w:val="00614167"/>
    <w:rsid w:val="00614C59"/>
    <w:rsid w:val="006154EB"/>
    <w:rsid w:val="00620340"/>
    <w:rsid w:val="00621129"/>
    <w:rsid w:val="006222B2"/>
    <w:rsid w:val="00630396"/>
    <w:rsid w:val="00633916"/>
    <w:rsid w:val="00641D2B"/>
    <w:rsid w:val="00646737"/>
    <w:rsid w:val="00651B11"/>
    <w:rsid w:val="00652687"/>
    <w:rsid w:val="00652D4A"/>
    <w:rsid w:val="00655BBE"/>
    <w:rsid w:val="0066289F"/>
    <w:rsid w:val="00662D3E"/>
    <w:rsid w:val="00662E61"/>
    <w:rsid w:val="00665C7E"/>
    <w:rsid w:val="00667568"/>
    <w:rsid w:val="00670D98"/>
    <w:rsid w:val="0067228F"/>
    <w:rsid w:val="00672DDD"/>
    <w:rsid w:val="0067539E"/>
    <w:rsid w:val="00676C91"/>
    <w:rsid w:val="00677D67"/>
    <w:rsid w:val="006802E3"/>
    <w:rsid w:val="006805C7"/>
    <w:rsid w:val="00680E40"/>
    <w:rsid w:val="006906E2"/>
    <w:rsid w:val="00690B77"/>
    <w:rsid w:val="00692D9F"/>
    <w:rsid w:val="006948D6"/>
    <w:rsid w:val="00696385"/>
    <w:rsid w:val="006A0068"/>
    <w:rsid w:val="006A3515"/>
    <w:rsid w:val="006A4068"/>
    <w:rsid w:val="006A54CA"/>
    <w:rsid w:val="006B01AA"/>
    <w:rsid w:val="006B16B3"/>
    <w:rsid w:val="006B2A18"/>
    <w:rsid w:val="006B3388"/>
    <w:rsid w:val="006B3F29"/>
    <w:rsid w:val="006B7833"/>
    <w:rsid w:val="006C4000"/>
    <w:rsid w:val="006D2571"/>
    <w:rsid w:val="006E1E5C"/>
    <w:rsid w:val="006E56E8"/>
    <w:rsid w:val="006E5B01"/>
    <w:rsid w:val="006E6002"/>
    <w:rsid w:val="006E6919"/>
    <w:rsid w:val="006E78BC"/>
    <w:rsid w:val="006F31DC"/>
    <w:rsid w:val="006F35FB"/>
    <w:rsid w:val="006F4760"/>
    <w:rsid w:val="006F4804"/>
    <w:rsid w:val="006F4EE7"/>
    <w:rsid w:val="006F576A"/>
    <w:rsid w:val="006F5AA4"/>
    <w:rsid w:val="006F69F0"/>
    <w:rsid w:val="007009E0"/>
    <w:rsid w:val="007011E5"/>
    <w:rsid w:val="0070159A"/>
    <w:rsid w:val="00707CF8"/>
    <w:rsid w:val="00711200"/>
    <w:rsid w:val="00711EA9"/>
    <w:rsid w:val="00713B73"/>
    <w:rsid w:val="00715597"/>
    <w:rsid w:val="007165DD"/>
    <w:rsid w:val="007209CE"/>
    <w:rsid w:val="0072397F"/>
    <w:rsid w:val="00724980"/>
    <w:rsid w:val="007275F0"/>
    <w:rsid w:val="00730CC0"/>
    <w:rsid w:val="00731922"/>
    <w:rsid w:val="00731ACB"/>
    <w:rsid w:val="00732CBB"/>
    <w:rsid w:val="00732EAE"/>
    <w:rsid w:val="00734714"/>
    <w:rsid w:val="007368AD"/>
    <w:rsid w:val="00736F60"/>
    <w:rsid w:val="0074133D"/>
    <w:rsid w:val="00741388"/>
    <w:rsid w:val="007426E4"/>
    <w:rsid w:val="00743210"/>
    <w:rsid w:val="00743AAB"/>
    <w:rsid w:val="00743EF6"/>
    <w:rsid w:val="00745040"/>
    <w:rsid w:val="0074685A"/>
    <w:rsid w:val="00750BC4"/>
    <w:rsid w:val="0075196D"/>
    <w:rsid w:val="0075558C"/>
    <w:rsid w:val="00757B12"/>
    <w:rsid w:val="007614C9"/>
    <w:rsid w:val="00761EFA"/>
    <w:rsid w:val="00763649"/>
    <w:rsid w:val="00764873"/>
    <w:rsid w:val="00765C5D"/>
    <w:rsid w:val="00765CC1"/>
    <w:rsid w:val="007778DD"/>
    <w:rsid w:val="00777DF2"/>
    <w:rsid w:val="00777EF1"/>
    <w:rsid w:val="007813F5"/>
    <w:rsid w:val="0078365F"/>
    <w:rsid w:val="00783972"/>
    <w:rsid w:val="007846E9"/>
    <w:rsid w:val="00787461"/>
    <w:rsid w:val="00787617"/>
    <w:rsid w:val="00787961"/>
    <w:rsid w:val="00791EDE"/>
    <w:rsid w:val="0079298F"/>
    <w:rsid w:val="00795652"/>
    <w:rsid w:val="00795836"/>
    <w:rsid w:val="00795E0A"/>
    <w:rsid w:val="00796693"/>
    <w:rsid w:val="007A3B54"/>
    <w:rsid w:val="007A5DB0"/>
    <w:rsid w:val="007A66C4"/>
    <w:rsid w:val="007A7917"/>
    <w:rsid w:val="007B14C4"/>
    <w:rsid w:val="007B307C"/>
    <w:rsid w:val="007B650E"/>
    <w:rsid w:val="007C7591"/>
    <w:rsid w:val="007C7D3A"/>
    <w:rsid w:val="007D0917"/>
    <w:rsid w:val="007D3190"/>
    <w:rsid w:val="007D3D12"/>
    <w:rsid w:val="007D454F"/>
    <w:rsid w:val="007D4682"/>
    <w:rsid w:val="007D5CD5"/>
    <w:rsid w:val="007D5D19"/>
    <w:rsid w:val="007E1130"/>
    <w:rsid w:val="007E181F"/>
    <w:rsid w:val="007E2403"/>
    <w:rsid w:val="007E39AA"/>
    <w:rsid w:val="007E65A5"/>
    <w:rsid w:val="007F2E45"/>
    <w:rsid w:val="007F37CF"/>
    <w:rsid w:val="007F38F2"/>
    <w:rsid w:val="007F6AE9"/>
    <w:rsid w:val="007F71D4"/>
    <w:rsid w:val="00811D4B"/>
    <w:rsid w:val="00813F87"/>
    <w:rsid w:val="008145D9"/>
    <w:rsid w:val="008165AE"/>
    <w:rsid w:val="008201DA"/>
    <w:rsid w:val="00821357"/>
    <w:rsid w:val="0082164C"/>
    <w:rsid w:val="008227B6"/>
    <w:rsid w:val="00826D54"/>
    <w:rsid w:val="00827703"/>
    <w:rsid w:val="0083108A"/>
    <w:rsid w:val="00834263"/>
    <w:rsid w:val="00834CBF"/>
    <w:rsid w:val="00835EA6"/>
    <w:rsid w:val="00836F89"/>
    <w:rsid w:val="008420E1"/>
    <w:rsid w:val="00842891"/>
    <w:rsid w:val="00846459"/>
    <w:rsid w:val="0084670D"/>
    <w:rsid w:val="00854CA1"/>
    <w:rsid w:val="00855BE5"/>
    <w:rsid w:val="0085757D"/>
    <w:rsid w:val="00860731"/>
    <w:rsid w:val="00863435"/>
    <w:rsid w:val="0086415C"/>
    <w:rsid w:val="0086441D"/>
    <w:rsid w:val="008649EB"/>
    <w:rsid w:val="00865E21"/>
    <w:rsid w:val="00866A6C"/>
    <w:rsid w:val="00866DB2"/>
    <w:rsid w:val="00870506"/>
    <w:rsid w:val="00870D02"/>
    <w:rsid w:val="00870E44"/>
    <w:rsid w:val="00872827"/>
    <w:rsid w:val="0087349A"/>
    <w:rsid w:val="00873FFF"/>
    <w:rsid w:val="00874347"/>
    <w:rsid w:val="00880780"/>
    <w:rsid w:val="00881A24"/>
    <w:rsid w:val="00881DA6"/>
    <w:rsid w:val="00885EA1"/>
    <w:rsid w:val="008865B6"/>
    <w:rsid w:val="008879B7"/>
    <w:rsid w:val="0089063B"/>
    <w:rsid w:val="00893A50"/>
    <w:rsid w:val="00894BAB"/>
    <w:rsid w:val="008952CB"/>
    <w:rsid w:val="00895DF4"/>
    <w:rsid w:val="00896C33"/>
    <w:rsid w:val="008A104A"/>
    <w:rsid w:val="008A3AA2"/>
    <w:rsid w:val="008A4237"/>
    <w:rsid w:val="008A5498"/>
    <w:rsid w:val="008A55DA"/>
    <w:rsid w:val="008A609C"/>
    <w:rsid w:val="008A7C13"/>
    <w:rsid w:val="008B03CB"/>
    <w:rsid w:val="008B0537"/>
    <w:rsid w:val="008B1A4D"/>
    <w:rsid w:val="008B2D8C"/>
    <w:rsid w:val="008B4018"/>
    <w:rsid w:val="008C2978"/>
    <w:rsid w:val="008C3677"/>
    <w:rsid w:val="008C73BB"/>
    <w:rsid w:val="008C7AF5"/>
    <w:rsid w:val="008D272D"/>
    <w:rsid w:val="008D5462"/>
    <w:rsid w:val="008D589C"/>
    <w:rsid w:val="008D7ECA"/>
    <w:rsid w:val="008E7085"/>
    <w:rsid w:val="008F0087"/>
    <w:rsid w:val="008F23FF"/>
    <w:rsid w:val="008F33E3"/>
    <w:rsid w:val="008F536C"/>
    <w:rsid w:val="008F60C3"/>
    <w:rsid w:val="008F6F12"/>
    <w:rsid w:val="009075D5"/>
    <w:rsid w:val="00912E1E"/>
    <w:rsid w:val="00914F95"/>
    <w:rsid w:val="0091578E"/>
    <w:rsid w:val="00917B93"/>
    <w:rsid w:val="00922540"/>
    <w:rsid w:val="00924611"/>
    <w:rsid w:val="009254D6"/>
    <w:rsid w:val="0092669B"/>
    <w:rsid w:val="0092747B"/>
    <w:rsid w:val="0093163E"/>
    <w:rsid w:val="0093397F"/>
    <w:rsid w:val="00936436"/>
    <w:rsid w:val="00941179"/>
    <w:rsid w:val="00942F9C"/>
    <w:rsid w:val="00944866"/>
    <w:rsid w:val="00944C97"/>
    <w:rsid w:val="009466BA"/>
    <w:rsid w:val="00947594"/>
    <w:rsid w:val="00950B53"/>
    <w:rsid w:val="009538D7"/>
    <w:rsid w:val="00953D2A"/>
    <w:rsid w:val="00953E50"/>
    <w:rsid w:val="00954771"/>
    <w:rsid w:val="009575DC"/>
    <w:rsid w:val="00965202"/>
    <w:rsid w:val="0096622C"/>
    <w:rsid w:val="00966BAC"/>
    <w:rsid w:val="00971022"/>
    <w:rsid w:val="00973198"/>
    <w:rsid w:val="00973F84"/>
    <w:rsid w:val="00974ED3"/>
    <w:rsid w:val="00976C31"/>
    <w:rsid w:val="00977D7E"/>
    <w:rsid w:val="00982670"/>
    <w:rsid w:val="00984FE8"/>
    <w:rsid w:val="00991466"/>
    <w:rsid w:val="00992202"/>
    <w:rsid w:val="009954C4"/>
    <w:rsid w:val="00995571"/>
    <w:rsid w:val="0099753F"/>
    <w:rsid w:val="0099781E"/>
    <w:rsid w:val="00997FF2"/>
    <w:rsid w:val="009A2ABE"/>
    <w:rsid w:val="009A5908"/>
    <w:rsid w:val="009A5B37"/>
    <w:rsid w:val="009A6104"/>
    <w:rsid w:val="009A6A2F"/>
    <w:rsid w:val="009A71A1"/>
    <w:rsid w:val="009B129C"/>
    <w:rsid w:val="009B2EE6"/>
    <w:rsid w:val="009B4BAC"/>
    <w:rsid w:val="009B75E1"/>
    <w:rsid w:val="009B772E"/>
    <w:rsid w:val="009C338D"/>
    <w:rsid w:val="009C39A5"/>
    <w:rsid w:val="009C755C"/>
    <w:rsid w:val="009C780F"/>
    <w:rsid w:val="009D2036"/>
    <w:rsid w:val="009D2CE7"/>
    <w:rsid w:val="009D3E64"/>
    <w:rsid w:val="009D5D13"/>
    <w:rsid w:val="009D794C"/>
    <w:rsid w:val="009E67E7"/>
    <w:rsid w:val="009F7BF7"/>
    <w:rsid w:val="00A0239F"/>
    <w:rsid w:val="00A044C9"/>
    <w:rsid w:val="00A05D92"/>
    <w:rsid w:val="00A06417"/>
    <w:rsid w:val="00A15A8D"/>
    <w:rsid w:val="00A16626"/>
    <w:rsid w:val="00A16BF9"/>
    <w:rsid w:val="00A20E58"/>
    <w:rsid w:val="00A21E4E"/>
    <w:rsid w:val="00A23605"/>
    <w:rsid w:val="00A250AD"/>
    <w:rsid w:val="00A25353"/>
    <w:rsid w:val="00A31B10"/>
    <w:rsid w:val="00A333BA"/>
    <w:rsid w:val="00A33C36"/>
    <w:rsid w:val="00A34F5F"/>
    <w:rsid w:val="00A37E95"/>
    <w:rsid w:val="00A4080E"/>
    <w:rsid w:val="00A46A68"/>
    <w:rsid w:val="00A501BC"/>
    <w:rsid w:val="00A5053B"/>
    <w:rsid w:val="00A50EE9"/>
    <w:rsid w:val="00A55756"/>
    <w:rsid w:val="00A6001C"/>
    <w:rsid w:val="00A63F4E"/>
    <w:rsid w:val="00A64834"/>
    <w:rsid w:val="00A67ADD"/>
    <w:rsid w:val="00A71606"/>
    <w:rsid w:val="00A71650"/>
    <w:rsid w:val="00A731F9"/>
    <w:rsid w:val="00A7357E"/>
    <w:rsid w:val="00A74424"/>
    <w:rsid w:val="00A74E32"/>
    <w:rsid w:val="00A754E7"/>
    <w:rsid w:val="00A768F7"/>
    <w:rsid w:val="00A771D3"/>
    <w:rsid w:val="00A778EE"/>
    <w:rsid w:val="00A814D2"/>
    <w:rsid w:val="00A847CB"/>
    <w:rsid w:val="00A85925"/>
    <w:rsid w:val="00A86F48"/>
    <w:rsid w:val="00A92D4C"/>
    <w:rsid w:val="00A95827"/>
    <w:rsid w:val="00AA5D51"/>
    <w:rsid w:val="00AA73AD"/>
    <w:rsid w:val="00AB0AED"/>
    <w:rsid w:val="00AB1053"/>
    <w:rsid w:val="00AB1C35"/>
    <w:rsid w:val="00AB2BD2"/>
    <w:rsid w:val="00AB41E2"/>
    <w:rsid w:val="00AB4C96"/>
    <w:rsid w:val="00AC2C7F"/>
    <w:rsid w:val="00AC38FC"/>
    <w:rsid w:val="00AC4A70"/>
    <w:rsid w:val="00AC4A85"/>
    <w:rsid w:val="00AC6FAE"/>
    <w:rsid w:val="00AD0A33"/>
    <w:rsid w:val="00AD3C9A"/>
    <w:rsid w:val="00AD49DE"/>
    <w:rsid w:val="00AD6AEB"/>
    <w:rsid w:val="00AE0982"/>
    <w:rsid w:val="00AE22AC"/>
    <w:rsid w:val="00AE29E4"/>
    <w:rsid w:val="00AE3CEF"/>
    <w:rsid w:val="00AF74DD"/>
    <w:rsid w:val="00B01F37"/>
    <w:rsid w:val="00B04AF8"/>
    <w:rsid w:val="00B07524"/>
    <w:rsid w:val="00B105F6"/>
    <w:rsid w:val="00B113E7"/>
    <w:rsid w:val="00B1265A"/>
    <w:rsid w:val="00B13887"/>
    <w:rsid w:val="00B14C94"/>
    <w:rsid w:val="00B16F2A"/>
    <w:rsid w:val="00B2418E"/>
    <w:rsid w:val="00B25573"/>
    <w:rsid w:val="00B3019F"/>
    <w:rsid w:val="00B34DC3"/>
    <w:rsid w:val="00B35B7C"/>
    <w:rsid w:val="00B40FE3"/>
    <w:rsid w:val="00B44A31"/>
    <w:rsid w:val="00B46DA7"/>
    <w:rsid w:val="00B509DD"/>
    <w:rsid w:val="00B50CB6"/>
    <w:rsid w:val="00B53C15"/>
    <w:rsid w:val="00B6187E"/>
    <w:rsid w:val="00B62222"/>
    <w:rsid w:val="00B625C7"/>
    <w:rsid w:val="00B631F2"/>
    <w:rsid w:val="00B65D7B"/>
    <w:rsid w:val="00B70F5D"/>
    <w:rsid w:val="00B7106F"/>
    <w:rsid w:val="00B72406"/>
    <w:rsid w:val="00B73D90"/>
    <w:rsid w:val="00B748F8"/>
    <w:rsid w:val="00B76479"/>
    <w:rsid w:val="00B81DC9"/>
    <w:rsid w:val="00B82D0C"/>
    <w:rsid w:val="00B83C54"/>
    <w:rsid w:val="00B85C7C"/>
    <w:rsid w:val="00B90095"/>
    <w:rsid w:val="00B907F7"/>
    <w:rsid w:val="00B92A04"/>
    <w:rsid w:val="00B936AD"/>
    <w:rsid w:val="00B96BD4"/>
    <w:rsid w:val="00BA0572"/>
    <w:rsid w:val="00BA182C"/>
    <w:rsid w:val="00BA26A0"/>
    <w:rsid w:val="00BA3E06"/>
    <w:rsid w:val="00BA7183"/>
    <w:rsid w:val="00BB133B"/>
    <w:rsid w:val="00BB17AE"/>
    <w:rsid w:val="00BB2025"/>
    <w:rsid w:val="00BB414D"/>
    <w:rsid w:val="00BB642E"/>
    <w:rsid w:val="00BC0556"/>
    <w:rsid w:val="00BC3852"/>
    <w:rsid w:val="00BC5DE0"/>
    <w:rsid w:val="00BC7D3B"/>
    <w:rsid w:val="00BD3522"/>
    <w:rsid w:val="00BD403B"/>
    <w:rsid w:val="00BD43E6"/>
    <w:rsid w:val="00BE1B9F"/>
    <w:rsid w:val="00BE2506"/>
    <w:rsid w:val="00BE4C2D"/>
    <w:rsid w:val="00BE4CF1"/>
    <w:rsid w:val="00BE5250"/>
    <w:rsid w:val="00BE6948"/>
    <w:rsid w:val="00BF5DA0"/>
    <w:rsid w:val="00C0083C"/>
    <w:rsid w:val="00C0260D"/>
    <w:rsid w:val="00C071C1"/>
    <w:rsid w:val="00C0799A"/>
    <w:rsid w:val="00C1047C"/>
    <w:rsid w:val="00C11D0D"/>
    <w:rsid w:val="00C12EB8"/>
    <w:rsid w:val="00C206CD"/>
    <w:rsid w:val="00C2216F"/>
    <w:rsid w:val="00C22BEA"/>
    <w:rsid w:val="00C246B2"/>
    <w:rsid w:val="00C360ED"/>
    <w:rsid w:val="00C43761"/>
    <w:rsid w:val="00C43EA6"/>
    <w:rsid w:val="00C45C5A"/>
    <w:rsid w:val="00C465FC"/>
    <w:rsid w:val="00C509C3"/>
    <w:rsid w:val="00C50A17"/>
    <w:rsid w:val="00C512C3"/>
    <w:rsid w:val="00C52984"/>
    <w:rsid w:val="00C53AED"/>
    <w:rsid w:val="00C55BEE"/>
    <w:rsid w:val="00C60014"/>
    <w:rsid w:val="00C60807"/>
    <w:rsid w:val="00C60E1B"/>
    <w:rsid w:val="00C63C82"/>
    <w:rsid w:val="00C67AB3"/>
    <w:rsid w:val="00C70EAE"/>
    <w:rsid w:val="00C7178D"/>
    <w:rsid w:val="00C72CE7"/>
    <w:rsid w:val="00C820E6"/>
    <w:rsid w:val="00C83007"/>
    <w:rsid w:val="00C83B65"/>
    <w:rsid w:val="00C87058"/>
    <w:rsid w:val="00C9442D"/>
    <w:rsid w:val="00C9672A"/>
    <w:rsid w:val="00C97251"/>
    <w:rsid w:val="00CA2EBA"/>
    <w:rsid w:val="00CA4E23"/>
    <w:rsid w:val="00CB3A59"/>
    <w:rsid w:val="00CB41B5"/>
    <w:rsid w:val="00CC40B9"/>
    <w:rsid w:val="00CC4FD5"/>
    <w:rsid w:val="00CC6A3E"/>
    <w:rsid w:val="00CC6D0B"/>
    <w:rsid w:val="00CC726E"/>
    <w:rsid w:val="00CD4011"/>
    <w:rsid w:val="00CD4400"/>
    <w:rsid w:val="00CD50B5"/>
    <w:rsid w:val="00CD6B43"/>
    <w:rsid w:val="00CD727A"/>
    <w:rsid w:val="00CD73A9"/>
    <w:rsid w:val="00CE4935"/>
    <w:rsid w:val="00CF2E1D"/>
    <w:rsid w:val="00CF6005"/>
    <w:rsid w:val="00D00D8F"/>
    <w:rsid w:val="00D00E0E"/>
    <w:rsid w:val="00D03C73"/>
    <w:rsid w:val="00D04762"/>
    <w:rsid w:val="00D063D1"/>
    <w:rsid w:val="00D06F12"/>
    <w:rsid w:val="00D07579"/>
    <w:rsid w:val="00D11DF4"/>
    <w:rsid w:val="00D16F3D"/>
    <w:rsid w:val="00D17DF3"/>
    <w:rsid w:val="00D20005"/>
    <w:rsid w:val="00D21EF3"/>
    <w:rsid w:val="00D251C3"/>
    <w:rsid w:val="00D25255"/>
    <w:rsid w:val="00D2554A"/>
    <w:rsid w:val="00D26DBE"/>
    <w:rsid w:val="00D27CB4"/>
    <w:rsid w:val="00D346A6"/>
    <w:rsid w:val="00D3668A"/>
    <w:rsid w:val="00D36D30"/>
    <w:rsid w:val="00D41205"/>
    <w:rsid w:val="00D41936"/>
    <w:rsid w:val="00D44328"/>
    <w:rsid w:val="00D46790"/>
    <w:rsid w:val="00D5051C"/>
    <w:rsid w:val="00D5405F"/>
    <w:rsid w:val="00D54FF3"/>
    <w:rsid w:val="00D57FC4"/>
    <w:rsid w:val="00D629D8"/>
    <w:rsid w:val="00D7047C"/>
    <w:rsid w:val="00D73A98"/>
    <w:rsid w:val="00D73F4D"/>
    <w:rsid w:val="00D82E57"/>
    <w:rsid w:val="00D8603C"/>
    <w:rsid w:val="00D90DDF"/>
    <w:rsid w:val="00D91170"/>
    <w:rsid w:val="00D917D9"/>
    <w:rsid w:val="00D91C27"/>
    <w:rsid w:val="00D96114"/>
    <w:rsid w:val="00D97263"/>
    <w:rsid w:val="00DA1966"/>
    <w:rsid w:val="00DA716C"/>
    <w:rsid w:val="00DB0480"/>
    <w:rsid w:val="00DB30AA"/>
    <w:rsid w:val="00DB7CF8"/>
    <w:rsid w:val="00DC1EA7"/>
    <w:rsid w:val="00DC248B"/>
    <w:rsid w:val="00DC5925"/>
    <w:rsid w:val="00DC60FA"/>
    <w:rsid w:val="00DD00DE"/>
    <w:rsid w:val="00DD4B5E"/>
    <w:rsid w:val="00DD55F1"/>
    <w:rsid w:val="00DD70B6"/>
    <w:rsid w:val="00DD74A9"/>
    <w:rsid w:val="00DE0B81"/>
    <w:rsid w:val="00DE132B"/>
    <w:rsid w:val="00DE23AF"/>
    <w:rsid w:val="00DE52E9"/>
    <w:rsid w:val="00DF0088"/>
    <w:rsid w:val="00DF1C10"/>
    <w:rsid w:val="00DF3B9A"/>
    <w:rsid w:val="00DF3FDA"/>
    <w:rsid w:val="00DF4924"/>
    <w:rsid w:val="00DF520E"/>
    <w:rsid w:val="00DF59C2"/>
    <w:rsid w:val="00E01423"/>
    <w:rsid w:val="00E021F5"/>
    <w:rsid w:val="00E0317C"/>
    <w:rsid w:val="00E0373B"/>
    <w:rsid w:val="00E05051"/>
    <w:rsid w:val="00E07E74"/>
    <w:rsid w:val="00E12DC4"/>
    <w:rsid w:val="00E15EDD"/>
    <w:rsid w:val="00E16D7D"/>
    <w:rsid w:val="00E17598"/>
    <w:rsid w:val="00E25DB9"/>
    <w:rsid w:val="00E2741E"/>
    <w:rsid w:val="00E27DC7"/>
    <w:rsid w:val="00E362E6"/>
    <w:rsid w:val="00E3688E"/>
    <w:rsid w:val="00E40505"/>
    <w:rsid w:val="00E459DC"/>
    <w:rsid w:val="00E46547"/>
    <w:rsid w:val="00E47658"/>
    <w:rsid w:val="00E47777"/>
    <w:rsid w:val="00E51DCE"/>
    <w:rsid w:val="00E5234E"/>
    <w:rsid w:val="00E52AB9"/>
    <w:rsid w:val="00E52D61"/>
    <w:rsid w:val="00E53685"/>
    <w:rsid w:val="00E579B9"/>
    <w:rsid w:val="00E600CE"/>
    <w:rsid w:val="00E60390"/>
    <w:rsid w:val="00E60526"/>
    <w:rsid w:val="00E65240"/>
    <w:rsid w:val="00E660C3"/>
    <w:rsid w:val="00E70E76"/>
    <w:rsid w:val="00E73C81"/>
    <w:rsid w:val="00E74242"/>
    <w:rsid w:val="00E760FD"/>
    <w:rsid w:val="00E765DC"/>
    <w:rsid w:val="00E81294"/>
    <w:rsid w:val="00E8160F"/>
    <w:rsid w:val="00E845A2"/>
    <w:rsid w:val="00E86AB0"/>
    <w:rsid w:val="00E87A77"/>
    <w:rsid w:val="00E90DB6"/>
    <w:rsid w:val="00E91696"/>
    <w:rsid w:val="00E92819"/>
    <w:rsid w:val="00E97058"/>
    <w:rsid w:val="00E977B1"/>
    <w:rsid w:val="00EA173C"/>
    <w:rsid w:val="00EA1EDF"/>
    <w:rsid w:val="00EA464C"/>
    <w:rsid w:val="00EA5199"/>
    <w:rsid w:val="00EB0D72"/>
    <w:rsid w:val="00EB30A2"/>
    <w:rsid w:val="00EB51BB"/>
    <w:rsid w:val="00EB5B29"/>
    <w:rsid w:val="00EB624A"/>
    <w:rsid w:val="00EC540A"/>
    <w:rsid w:val="00ED1079"/>
    <w:rsid w:val="00ED2527"/>
    <w:rsid w:val="00ED7A05"/>
    <w:rsid w:val="00EE172D"/>
    <w:rsid w:val="00EE334C"/>
    <w:rsid w:val="00EE4039"/>
    <w:rsid w:val="00EE5032"/>
    <w:rsid w:val="00EE6029"/>
    <w:rsid w:val="00EE6788"/>
    <w:rsid w:val="00EE6DE5"/>
    <w:rsid w:val="00EF3A13"/>
    <w:rsid w:val="00EF4C37"/>
    <w:rsid w:val="00EF5EB6"/>
    <w:rsid w:val="00EF7B61"/>
    <w:rsid w:val="00EF7F51"/>
    <w:rsid w:val="00F01150"/>
    <w:rsid w:val="00F01429"/>
    <w:rsid w:val="00F02153"/>
    <w:rsid w:val="00F04BDC"/>
    <w:rsid w:val="00F058DF"/>
    <w:rsid w:val="00F063AE"/>
    <w:rsid w:val="00F12D4D"/>
    <w:rsid w:val="00F12D4E"/>
    <w:rsid w:val="00F13E91"/>
    <w:rsid w:val="00F13F97"/>
    <w:rsid w:val="00F14EA9"/>
    <w:rsid w:val="00F15675"/>
    <w:rsid w:val="00F174C3"/>
    <w:rsid w:val="00F21250"/>
    <w:rsid w:val="00F2155F"/>
    <w:rsid w:val="00F2197F"/>
    <w:rsid w:val="00F23685"/>
    <w:rsid w:val="00F2398D"/>
    <w:rsid w:val="00F25FA0"/>
    <w:rsid w:val="00F2631E"/>
    <w:rsid w:val="00F26653"/>
    <w:rsid w:val="00F276FE"/>
    <w:rsid w:val="00F345E6"/>
    <w:rsid w:val="00F34927"/>
    <w:rsid w:val="00F3518B"/>
    <w:rsid w:val="00F35D31"/>
    <w:rsid w:val="00F375FF"/>
    <w:rsid w:val="00F37935"/>
    <w:rsid w:val="00F402E6"/>
    <w:rsid w:val="00F41EE3"/>
    <w:rsid w:val="00F55D07"/>
    <w:rsid w:val="00F60812"/>
    <w:rsid w:val="00F61614"/>
    <w:rsid w:val="00F62466"/>
    <w:rsid w:val="00F634A3"/>
    <w:rsid w:val="00F65A64"/>
    <w:rsid w:val="00F65D41"/>
    <w:rsid w:val="00F65EBA"/>
    <w:rsid w:val="00F65EDE"/>
    <w:rsid w:val="00F706E2"/>
    <w:rsid w:val="00F710F9"/>
    <w:rsid w:val="00F73576"/>
    <w:rsid w:val="00F737F6"/>
    <w:rsid w:val="00F7620F"/>
    <w:rsid w:val="00F8034E"/>
    <w:rsid w:val="00F81533"/>
    <w:rsid w:val="00F8224F"/>
    <w:rsid w:val="00F87F40"/>
    <w:rsid w:val="00F906FC"/>
    <w:rsid w:val="00F93F89"/>
    <w:rsid w:val="00F94637"/>
    <w:rsid w:val="00FA0A1B"/>
    <w:rsid w:val="00FA0AE4"/>
    <w:rsid w:val="00FA118C"/>
    <w:rsid w:val="00FA1F80"/>
    <w:rsid w:val="00FA31D1"/>
    <w:rsid w:val="00FA5122"/>
    <w:rsid w:val="00FA5A27"/>
    <w:rsid w:val="00FA75B8"/>
    <w:rsid w:val="00FB030D"/>
    <w:rsid w:val="00FB2723"/>
    <w:rsid w:val="00FB4291"/>
    <w:rsid w:val="00FB4DBA"/>
    <w:rsid w:val="00FB5CB2"/>
    <w:rsid w:val="00FB667E"/>
    <w:rsid w:val="00FC0335"/>
    <w:rsid w:val="00FC0A43"/>
    <w:rsid w:val="00FC19D9"/>
    <w:rsid w:val="00FC2806"/>
    <w:rsid w:val="00FD004B"/>
    <w:rsid w:val="00FD4302"/>
    <w:rsid w:val="00FD4366"/>
    <w:rsid w:val="00FD5764"/>
    <w:rsid w:val="00FD653D"/>
    <w:rsid w:val="00FD67D7"/>
    <w:rsid w:val="00FD6C7B"/>
    <w:rsid w:val="00FD7944"/>
    <w:rsid w:val="00FE053E"/>
    <w:rsid w:val="00FE1DFA"/>
    <w:rsid w:val="00FE27A4"/>
    <w:rsid w:val="00FE3260"/>
    <w:rsid w:val="00FE346A"/>
    <w:rsid w:val="00FE5015"/>
    <w:rsid w:val="00FE50F2"/>
    <w:rsid w:val="00FE552D"/>
    <w:rsid w:val="00FE5FE0"/>
    <w:rsid w:val="00FE6692"/>
    <w:rsid w:val="00FE6D7C"/>
    <w:rsid w:val="00FE718B"/>
    <w:rsid w:val="00FF0399"/>
    <w:rsid w:val="00FF195C"/>
    <w:rsid w:val="00FF37AD"/>
    <w:rsid w:val="00FF63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866DB2"/>
    <w:pPr>
      <w:autoSpaceDE w:val="0"/>
      <w:autoSpaceDN w:val="0"/>
      <w:adjustRightInd w:val="0"/>
      <w:jc w:val="center"/>
      <w:outlineLvl w:val="0"/>
    </w:pPr>
    <w:rPr>
      <w:b/>
      <w:bCs/>
      <w:caps/>
      <w:sz w:val="32"/>
    </w:rPr>
  </w:style>
  <w:style w:type="paragraph" w:styleId="Heading2">
    <w:name w:val="heading 2"/>
    <w:basedOn w:val="Normal"/>
    <w:next w:val="Normal"/>
    <w:qFormat/>
    <w:rsid w:val="006F4EE7"/>
    <w:pPr>
      <w:keepNext/>
      <w:spacing w:before="240" w:after="60"/>
      <w:jc w:val="center"/>
      <w:outlineLvl w:val="1"/>
    </w:pPr>
    <w:rPr>
      <w:rFonts w:cs="Arial"/>
      <w:b/>
      <w:bCs/>
      <w:iCs/>
      <w:sz w:val="28"/>
      <w:szCs w:val="28"/>
    </w:rPr>
  </w:style>
  <w:style w:type="paragraph" w:styleId="Heading3">
    <w:name w:val="heading 3"/>
    <w:basedOn w:val="Normal"/>
    <w:next w:val="Normal"/>
    <w:qFormat/>
    <w:rsid w:val="006F4EE7"/>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99781E"/>
    <w:pPr>
      <w:tabs>
        <w:tab w:val="right" w:leader="dot" w:pos="8630"/>
      </w:tabs>
    </w:pPr>
    <w:rPr>
      <w:b/>
      <w:noProof/>
    </w:rPr>
  </w:style>
  <w:style w:type="paragraph" w:styleId="TOC2">
    <w:name w:val="toc 2"/>
    <w:basedOn w:val="Normal"/>
    <w:next w:val="Normal"/>
    <w:autoRedefine/>
    <w:uiPriority w:val="39"/>
    <w:rsid w:val="00005585"/>
    <w:pPr>
      <w:tabs>
        <w:tab w:val="right" w:leader="dot" w:pos="8630"/>
      </w:tabs>
      <w:spacing w:line="480" w:lineRule="auto"/>
      <w:ind w:left="245"/>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866DB2"/>
    <w:rPr>
      <w:b/>
      <w:bCs/>
      <w:caps/>
      <w:sz w:val="32"/>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Default">
    <w:name w:val="Default"/>
    <w:rsid w:val="00AC4A70"/>
    <w:pPr>
      <w:autoSpaceDE w:val="0"/>
      <w:autoSpaceDN w:val="0"/>
      <w:adjustRightInd w:val="0"/>
    </w:pPr>
    <w:rPr>
      <w:color w:val="000000"/>
      <w:sz w:val="24"/>
      <w:szCs w:val="24"/>
    </w:rPr>
  </w:style>
  <w:style w:type="character" w:customStyle="1" w:styleId="st">
    <w:name w:val="st"/>
    <w:basedOn w:val="DefaultParagraphFont"/>
    <w:rsid w:val="00264884"/>
  </w:style>
  <w:style w:type="table" w:styleId="TableGrid">
    <w:name w:val="Table Grid"/>
    <w:basedOn w:val="TableNormal"/>
    <w:uiPriority w:val="59"/>
    <w:rsid w:val="002E54A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rsid w:val="005F21E6"/>
  </w:style>
  <w:style w:type="character" w:styleId="Emphasis">
    <w:name w:val="Emphasis"/>
    <w:uiPriority w:val="20"/>
    <w:qFormat/>
    <w:rsid w:val="002407DF"/>
    <w:rPr>
      <w:i/>
      <w:iCs/>
    </w:rPr>
  </w:style>
  <w:style w:type="character" w:styleId="CommentReference">
    <w:name w:val="annotation reference"/>
    <w:basedOn w:val="DefaultParagraphFont"/>
    <w:rsid w:val="00184710"/>
    <w:rPr>
      <w:sz w:val="18"/>
      <w:szCs w:val="18"/>
    </w:rPr>
  </w:style>
  <w:style w:type="paragraph" w:styleId="CommentText">
    <w:name w:val="annotation text"/>
    <w:basedOn w:val="Normal"/>
    <w:link w:val="CommentTextChar"/>
    <w:rsid w:val="00184710"/>
  </w:style>
  <w:style w:type="character" w:customStyle="1" w:styleId="CommentTextChar">
    <w:name w:val="Comment Text Char"/>
    <w:basedOn w:val="DefaultParagraphFont"/>
    <w:link w:val="CommentText"/>
    <w:rsid w:val="00184710"/>
    <w:rPr>
      <w:sz w:val="24"/>
      <w:szCs w:val="24"/>
    </w:rPr>
  </w:style>
  <w:style w:type="paragraph" w:styleId="CommentSubject">
    <w:name w:val="annotation subject"/>
    <w:basedOn w:val="CommentText"/>
    <w:next w:val="CommentText"/>
    <w:link w:val="CommentSubjectChar"/>
    <w:rsid w:val="00184710"/>
    <w:rPr>
      <w:b/>
      <w:bCs/>
      <w:sz w:val="20"/>
      <w:szCs w:val="20"/>
    </w:rPr>
  </w:style>
  <w:style w:type="character" w:customStyle="1" w:styleId="CommentSubjectChar">
    <w:name w:val="Comment Subject Char"/>
    <w:basedOn w:val="CommentTextChar"/>
    <w:link w:val="CommentSubject"/>
    <w:rsid w:val="00184710"/>
    <w:rPr>
      <w:b/>
      <w:bCs/>
      <w:sz w:val="24"/>
      <w:szCs w:val="24"/>
    </w:rPr>
  </w:style>
  <w:style w:type="paragraph" w:styleId="BalloonText">
    <w:name w:val="Balloon Text"/>
    <w:basedOn w:val="Normal"/>
    <w:link w:val="BalloonTextChar"/>
    <w:rsid w:val="00184710"/>
    <w:rPr>
      <w:rFonts w:ascii="Lucida Grande" w:hAnsi="Lucida Grande" w:cs="Lucida Grande"/>
      <w:sz w:val="18"/>
      <w:szCs w:val="18"/>
    </w:rPr>
  </w:style>
  <w:style w:type="character" w:customStyle="1" w:styleId="BalloonTextChar">
    <w:name w:val="Balloon Text Char"/>
    <w:basedOn w:val="DefaultParagraphFont"/>
    <w:link w:val="BalloonText"/>
    <w:rsid w:val="00184710"/>
    <w:rPr>
      <w:rFonts w:ascii="Lucida Grande" w:hAnsi="Lucida Grande" w:cs="Lucida Grande"/>
      <w:sz w:val="18"/>
      <w:szCs w:val="18"/>
    </w:rPr>
  </w:style>
  <w:style w:type="paragraph" w:styleId="Revision">
    <w:name w:val="Revision"/>
    <w:hidden/>
    <w:uiPriority w:val="71"/>
    <w:rsid w:val="00067052"/>
    <w:rPr>
      <w:sz w:val="24"/>
      <w:szCs w:val="24"/>
    </w:rPr>
  </w:style>
  <w:style w:type="paragraph" w:styleId="TOCHeading">
    <w:name w:val="TOC Heading"/>
    <w:basedOn w:val="Heading1"/>
    <w:next w:val="Normal"/>
    <w:uiPriority w:val="39"/>
    <w:unhideWhenUsed/>
    <w:qFormat/>
    <w:rsid w:val="00866DB2"/>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lang w:val="x-none" w:eastAsia="x-none"/>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7D3190"/>
    <w:pPr>
      <w:tabs>
        <w:tab w:val="right" w:leader="dot" w:pos="8630"/>
      </w:tabs>
    </w:pPr>
    <w:rPr>
      <w:b/>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lang w:val="en-US" w:eastAsia="en-US"/>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Default">
    <w:name w:val="Default"/>
    <w:rsid w:val="00AC4A70"/>
    <w:pPr>
      <w:autoSpaceDE w:val="0"/>
      <w:autoSpaceDN w:val="0"/>
      <w:adjustRightInd w:val="0"/>
    </w:pPr>
    <w:rPr>
      <w:color w:val="000000"/>
      <w:sz w:val="24"/>
      <w:szCs w:val="24"/>
    </w:rPr>
  </w:style>
  <w:style w:type="character" w:customStyle="1" w:styleId="st">
    <w:name w:val="st"/>
    <w:basedOn w:val="DefaultParagraphFont"/>
    <w:rsid w:val="00264884"/>
  </w:style>
  <w:style w:type="table" w:styleId="TableGrid">
    <w:name w:val="Table Grid"/>
    <w:basedOn w:val="TableNormal"/>
    <w:uiPriority w:val="59"/>
    <w:rsid w:val="002E54A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rsid w:val="005F21E6"/>
  </w:style>
  <w:style w:type="character" w:styleId="Emphasis">
    <w:name w:val="Emphasis"/>
    <w:uiPriority w:val="20"/>
    <w:qFormat/>
    <w:rsid w:val="002407DF"/>
    <w:rPr>
      <w:i/>
      <w:iCs/>
    </w:rPr>
  </w:style>
  <w:style w:type="character" w:styleId="CommentReference">
    <w:name w:val="annotation reference"/>
    <w:basedOn w:val="DefaultParagraphFont"/>
    <w:rsid w:val="00184710"/>
    <w:rPr>
      <w:sz w:val="18"/>
      <w:szCs w:val="18"/>
    </w:rPr>
  </w:style>
  <w:style w:type="paragraph" w:styleId="CommentText">
    <w:name w:val="annotation text"/>
    <w:basedOn w:val="Normal"/>
    <w:link w:val="CommentTextChar"/>
    <w:rsid w:val="00184710"/>
  </w:style>
  <w:style w:type="character" w:customStyle="1" w:styleId="CommentTextChar">
    <w:name w:val="Comment Text Char"/>
    <w:basedOn w:val="DefaultParagraphFont"/>
    <w:link w:val="CommentText"/>
    <w:rsid w:val="00184710"/>
    <w:rPr>
      <w:sz w:val="24"/>
      <w:szCs w:val="24"/>
    </w:rPr>
  </w:style>
  <w:style w:type="paragraph" w:styleId="CommentSubject">
    <w:name w:val="annotation subject"/>
    <w:basedOn w:val="CommentText"/>
    <w:next w:val="CommentText"/>
    <w:link w:val="CommentSubjectChar"/>
    <w:rsid w:val="00184710"/>
    <w:rPr>
      <w:b/>
      <w:bCs/>
      <w:sz w:val="20"/>
      <w:szCs w:val="20"/>
    </w:rPr>
  </w:style>
  <w:style w:type="character" w:customStyle="1" w:styleId="CommentSubjectChar">
    <w:name w:val="Comment Subject Char"/>
    <w:basedOn w:val="CommentTextChar"/>
    <w:link w:val="CommentSubject"/>
    <w:rsid w:val="00184710"/>
    <w:rPr>
      <w:b/>
      <w:bCs/>
      <w:sz w:val="24"/>
      <w:szCs w:val="24"/>
    </w:rPr>
  </w:style>
  <w:style w:type="paragraph" w:styleId="BalloonText">
    <w:name w:val="Balloon Text"/>
    <w:basedOn w:val="Normal"/>
    <w:link w:val="BalloonTextChar"/>
    <w:rsid w:val="00184710"/>
    <w:rPr>
      <w:rFonts w:ascii="Lucida Grande" w:hAnsi="Lucida Grande" w:cs="Lucida Grande"/>
      <w:sz w:val="18"/>
      <w:szCs w:val="18"/>
    </w:rPr>
  </w:style>
  <w:style w:type="character" w:customStyle="1" w:styleId="BalloonTextChar">
    <w:name w:val="Balloon Text Char"/>
    <w:basedOn w:val="DefaultParagraphFont"/>
    <w:link w:val="BalloonText"/>
    <w:rsid w:val="00184710"/>
    <w:rPr>
      <w:rFonts w:ascii="Lucida Grande" w:hAnsi="Lucida Grande" w:cs="Lucida Grande"/>
      <w:sz w:val="18"/>
      <w:szCs w:val="18"/>
    </w:rPr>
  </w:style>
  <w:style w:type="paragraph" w:styleId="Revision">
    <w:name w:val="Revision"/>
    <w:hidden/>
    <w:uiPriority w:val="71"/>
    <w:rsid w:val="00067052"/>
    <w:rPr>
      <w:sz w:val="24"/>
      <w:szCs w:val="24"/>
    </w:rPr>
  </w:style>
</w:styles>
</file>

<file path=word/webSettings.xml><?xml version="1.0" encoding="utf-8"?>
<w:webSettings xmlns:r="http://schemas.openxmlformats.org/officeDocument/2006/relationships" xmlns:w="http://schemas.openxmlformats.org/wordprocessingml/2006/main">
  <w:divs>
    <w:div w:id="316421883">
      <w:bodyDiv w:val="1"/>
      <w:marLeft w:val="0"/>
      <w:marRight w:val="0"/>
      <w:marTop w:val="0"/>
      <w:marBottom w:val="0"/>
      <w:divBdr>
        <w:top w:val="none" w:sz="0" w:space="0" w:color="auto"/>
        <w:left w:val="none" w:sz="0" w:space="0" w:color="auto"/>
        <w:bottom w:val="none" w:sz="0" w:space="0" w:color="auto"/>
        <w:right w:val="none" w:sz="0" w:space="0" w:color="auto"/>
      </w:divBdr>
      <w:divsChild>
        <w:div w:id="418065585">
          <w:marLeft w:val="0"/>
          <w:marRight w:val="0"/>
          <w:marTop w:val="0"/>
          <w:marBottom w:val="0"/>
          <w:divBdr>
            <w:top w:val="none" w:sz="0" w:space="0" w:color="auto"/>
            <w:left w:val="none" w:sz="0" w:space="0" w:color="auto"/>
            <w:bottom w:val="none" w:sz="0" w:space="0" w:color="auto"/>
            <w:right w:val="none" w:sz="0" w:space="0" w:color="auto"/>
          </w:divBdr>
          <w:divsChild>
            <w:div w:id="396250685">
              <w:marLeft w:val="0"/>
              <w:marRight w:val="0"/>
              <w:marTop w:val="0"/>
              <w:marBottom w:val="0"/>
              <w:divBdr>
                <w:top w:val="none" w:sz="0" w:space="0" w:color="auto"/>
                <w:left w:val="none" w:sz="0" w:space="0" w:color="auto"/>
                <w:bottom w:val="none" w:sz="0" w:space="0" w:color="auto"/>
                <w:right w:val="none" w:sz="0" w:space="0" w:color="auto"/>
              </w:divBdr>
              <w:divsChild>
                <w:div w:id="1511409573">
                  <w:marLeft w:val="0"/>
                  <w:marRight w:val="0"/>
                  <w:marTop w:val="0"/>
                  <w:marBottom w:val="0"/>
                  <w:divBdr>
                    <w:top w:val="none" w:sz="0" w:space="0" w:color="auto"/>
                    <w:left w:val="none" w:sz="0" w:space="0" w:color="auto"/>
                    <w:bottom w:val="none" w:sz="0" w:space="0" w:color="auto"/>
                    <w:right w:val="none" w:sz="0" w:space="0" w:color="auto"/>
                  </w:divBdr>
                  <w:divsChild>
                    <w:div w:id="1096440507">
                      <w:marLeft w:val="0"/>
                      <w:marRight w:val="0"/>
                      <w:marTop w:val="0"/>
                      <w:marBottom w:val="0"/>
                      <w:divBdr>
                        <w:top w:val="none" w:sz="0" w:space="0" w:color="auto"/>
                        <w:left w:val="none" w:sz="0" w:space="0" w:color="auto"/>
                        <w:bottom w:val="none" w:sz="0" w:space="0" w:color="auto"/>
                        <w:right w:val="none" w:sz="0" w:space="0" w:color="auto"/>
                      </w:divBdr>
                      <w:divsChild>
                        <w:div w:id="1215970550">
                          <w:marLeft w:val="0"/>
                          <w:marRight w:val="0"/>
                          <w:marTop w:val="0"/>
                          <w:marBottom w:val="0"/>
                          <w:divBdr>
                            <w:top w:val="none" w:sz="0" w:space="0" w:color="auto"/>
                            <w:left w:val="none" w:sz="0" w:space="0" w:color="auto"/>
                            <w:bottom w:val="none" w:sz="0" w:space="0" w:color="auto"/>
                            <w:right w:val="none" w:sz="0" w:space="0" w:color="auto"/>
                          </w:divBdr>
                          <w:divsChild>
                            <w:div w:id="1320888074">
                              <w:marLeft w:val="0"/>
                              <w:marRight w:val="0"/>
                              <w:marTop w:val="0"/>
                              <w:marBottom w:val="0"/>
                              <w:divBdr>
                                <w:top w:val="none" w:sz="0" w:space="0" w:color="auto"/>
                                <w:left w:val="none" w:sz="0" w:space="0" w:color="auto"/>
                                <w:bottom w:val="none" w:sz="0" w:space="0" w:color="auto"/>
                                <w:right w:val="none" w:sz="0" w:space="0" w:color="auto"/>
                              </w:divBdr>
                              <w:divsChild>
                                <w:div w:id="2025551522">
                                  <w:marLeft w:val="0"/>
                                  <w:marRight w:val="0"/>
                                  <w:marTop w:val="0"/>
                                  <w:marBottom w:val="0"/>
                                  <w:divBdr>
                                    <w:top w:val="none" w:sz="0" w:space="0" w:color="auto"/>
                                    <w:left w:val="none" w:sz="0" w:space="0" w:color="auto"/>
                                    <w:bottom w:val="none" w:sz="0" w:space="0" w:color="auto"/>
                                    <w:right w:val="none" w:sz="0" w:space="0" w:color="auto"/>
                                  </w:divBdr>
                                  <w:divsChild>
                                    <w:div w:id="1603338813">
                                      <w:marLeft w:val="0"/>
                                      <w:marRight w:val="0"/>
                                      <w:marTop w:val="0"/>
                                      <w:marBottom w:val="0"/>
                                      <w:divBdr>
                                        <w:top w:val="none" w:sz="0" w:space="0" w:color="auto"/>
                                        <w:left w:val="none" w:sz="0" w:space="0" w:color="auto"/>
                                        <w:bottom w:val="none" w:sz="0" w:space="0" w:color="auto"/>
                                        <w:right w:val="none" w:sz="0" w:space="0" w:color="auto"/>
                                      </w:divBdr>
                                      <w:divsChild>
                                        <w:div w:id="1931619257">
                                          <w:marLeft w:val="0"/>
                                          <w:marRight w:val="0"/>
                                          <w:marTop w:val="0"/>
                                          <w:marBottom w:val="0"/>
                                          <w:divBdr>
                                            <w:top w:val="none" w:sz="0" w:space="0" w:color="auto"/>
                                            <w:left w:val="none" w:sz="0" w:space="0" w:color="auto"/>
                                            <w:bottom w:val="none" w:sz="0" w:space="0" w:color="auto"/>
                                            <w:right w:val="none" w:sz="0" w:space="0" w:color="auto"/>
                                          </w:divBdr>
                                          <w:divsChild>
                                            <w:div w:id="206991991">
                                              <w:marLeft w:val="0"/>
                                              <w:marRight w:val="0"/>
                                              <w:marTop w:val="0"/>
                                              <w:marBottom w:val="0"/>
                                              <w:divBdr>
                                                <w:top w:val="none" w:sz="0" w:space="0" w:color="auto"/>
                                                <w:left w:val="none" w:sz="0" w:space="0" w:color="auto"/>
                                                <w:bottom w:val="none" w:sz="0" w:space="0" w:color="auto"/>
                                                <w:right w:val="none" w:sz="0" w:space="0" w:color="auto"/>
                                              </w:divBdr>
                                              <w:divsChild>
                                                <w:div w:id="1332176703">
                                                  <w:marLeft w:val="0"/>
                                                  <w:marRight w:val="0"/>
                                                  <w:marTop w:val="0"/>
                                                  <w:marBottom w:val="0"/>
                                                  <w:divBdr>
                                                    <w:top w:val="none" w:sz="0" w:space="0" w:color="auto"/>
                                                    <w:left w:val="none" w:sz="0" w:space="0" w:color="auto"/>
                                                    <w:bottom w:val="none" w:sz="0" w:space="0" w:color="auto"/>
                                                    <w:right w:val="none" w:sz="0" w:space="0" w:color="auto"/>
                                                  </w:divBdr>
                                                  <w:divsChild>
                                                    <w:div w:id="326397628">
                                                      <w:marLeft w:val="0"/>
                                                      <w:marRight w:val="0"/>
                                                      <w:marTop w:val="0"/>
                                                      <w:marBottom w:val="0"/>
                                                      <w:divBdr>
                                                        <w:top w:val="none" w:sz="0" w:space="0" w:color="auto"/>
                                                        <w:left w:val="none" w:sz="0" w:space="0" w:color="auto"/>
                                                        <w:bottom w:val="none" w:sz="0" w:space="0" w:color="auto"/>
                                                        <w:right w:val="none" w:sz="0" w:space="0" w:color="auto"/>
                                                      </w:divBdr>
                                                      <w:divsChild>
                                                        <w:div w:id="641352749">
                                                          <w:marLeft w:val="0"/>
                                                          <w:marRight w:val="0"/>
                                                          <w:marTop w:val="0"/>
                                                          <w:marBottom w:val="0"/>
                                                          <w:divBdr>
                                                            <w:top w:val="none" w:sz="0" w:space="0" w:color="auto"/>
                                                            <w:left w:val="none" w:sz="0" w:space="0" w:color="auto"/>
                                                            <w:bottom w:val="none" w:sz="0" w:space="0" w:color="auto"/>
                                                            <w:right w:val="none" w:sz="0" w:space="0" w:color="auto"/>
                                                          </w:divBdr>
                                                          <w:divsChild>
                                                            <w:div w:id="722288655">
                                                              <w:marLeft w:val="0"/>
                                                              <w:marRight w:val="150"/>
                                                              <w:marTop w:val="0"/>
                                                              <w:marBottom w:val="150"/>
                                                              <w:divBdr>
                                                                <w:top w:val="none" w:sz="0" w:space="0" w:color="auto"/>
                                                                <w:left w:val="none" w:sz="0" w:space="0" w:color="auto"/>
                                                                <w:bottom w:val="none" w:sz="0" w:space="0" w:color="auto"/>
                                                                <w:right w:val="none" w:sz="0" w:space="0" w:color="auto"/>
                                                              </w:divBdr>
                                                              <w:divsChild>
                                                                <w:div w:id="1389762549">
                                                                  <w:marLeft w:val="0"/>
                                                                  <w:marRight w:val="0"/>
                                                                  <w:marTop w:val="0"/>
                                                                  <w:marBottom w:val="0"/>
                                                                  <w:divBdr>
                                                                    <w:top w:val="none" w:sz="0" w:space="0" w:color="auto"/>
                                                                    <w:left w:val="none" w:sz="0" w:space="0" w:color="auto"/>
                                                                    <w:bottom w:val="none" w:sz="0" w:space="0" w:color="auto"/>
                                                                    <w:right w:val="none" w:sz="0" w:space="0" w:color="auto"/>
                                                                  </w:divBdr>
                                                                  <w:divsChild>
                                                                    <w:div w:id="755176341">
                                                                      <w:marLeft w:val="0"/>
                                                                      <w:marRight w:val="0"/>
                                                                      <w:marTop w:val="0"/>
                                                                      <w:marBottom w:val="0"/>
                                                                      <w:divBdr>
                                                                        <w:top w:val="none" w:sz="0" w:space="0" w:color="auto"/>
                                                                        <w:left w:val="none" w:sz="0" w:space="0" w:color="auto"/>
                                                                        <w:bottom w:val="none" w:sz="0" w:space="0" w:color="auto"/>
                                                                        <w:right w:val="none" w:sz="0" w:space="0" w:color="auto"/>
                                                                      </w:divBdr>
                                                                      <w:divsChild>
                                                                        <w:div w:id="748619751">
                                                                          <w:marLeft w:val="0"/>
                                                                          <w:marRight w:val="0"/>
                                                                          <w:marTop w:val="0"/>
                                                                          <w:marBottom w:val="0"/>
                                                                          <w:divBdr>
                                                                            <w:top w:val="none" w:sz="0" w:space="0" w:color="auto"/>
                                                                            <w:left w:val="none" w:sz="0" w:space="0" w:color="auto"/>
                                                                            <w:bottom w:val="none" w:sz="0" w:space="0" w:color="auto"/>
                                                                            <w:right w:val="none" w:sz="0" w:space="0" w:color="auto"/>
                                                                          </w:divBdr>
                                                                          <w:divsChild>
                                                                            <w:div w:id="163085428">
                                                                              <w:marLeft w:val="0"/>
                                                                              <w:marRight w:val="0"/>
                                                                              <w:marTop w:val="0"/>
                                                                              <w:marBottom w:val="0"/>
                                                                              <w:divBdr>
                                                                                <w:top w:val="none" w:sz="0" w:space="0" w:color="auto"/>
                                                                                <w:left w:val="none" w:sz="0" w:space="0" w:color="auto"/>
                                                                                <w:bottom w:val="none" w:sz="0" w:space="0" w:color="auto"/>
                                                                                <w:right w:val="none" w:sz="0" w:space="0" w:color="auto"/>
                                                                              </w:divBdr>
                                                                              <w:divsChild>
                                                                                <w:div w:id="35619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795529">
                                                                      <w:marLeft w:val="0"/>
                                                                      <w:marRight w:val="0"/>
                                                                      <w:marTop w:val="0"/>
                                                                      <w:marBottom w:val="0"/>
                                                                      <w:divBdr>
                                                                        <w:top w:val="none" w:sz="0" w:space="0" w:color="auto"/>
                                                                        <w:left w:val="none" w:sz="0" w:space="0" w:color="auto"/>
                                                                        <w:bottom w:val="none" w:sz="0" w:space="0" w:color="auto"/>
                                                                        <w:right w:val="none" w:sz="0" w:space="0" w:color="auto"/>
                                                                      </w:divBdr>
                                                                      <w:divsChild>
                                                                        <w:div w:id="155415015">
                                                                          <w:marLeft w:val="0"/>
                                                                          <w:marRight w:val="0"/>
                                                                          <w:marTop w:val="0"/>
                                                                          <w:marBottom w:val="0"/>
                                                                          <w:divBdr>
                                                                            <w:top w:val="none" w:sz="0" w:space="0" w:color="auto"/>
                                                                            <w:left w:val="none" w:sz="0" w:space="0" w:color="auto"/>
                                                                            <w:bottom w:val="none" w:sz="0" w:space="0" w:color="auto"/>
                                                                            <w:right w:val="none" w:sz="0" w:space="0" w:color="auto"/>
                                                                          </w:divBdr>
                                                                          <w:divsChild>
                                                                            <w:div w:id="1012073222">
                                                                              <w:marLeft w:val="0"/>
                                                                              <w:marRight w:val="0"/>
                                                                              <w:marTop w:val="30"/>
                                                                              <w:marBottom w:val="30"/>
                                                                              <w:divBdr>
                                                                                <w:top w:val="none" w:sz="0" w:space="0" w:color="auto"/>
                                                                                <w:left w:val="none" w:sz="0" w:space="0" w:color="auto"/>
                                                                                <w:bottom w:val="none" w:sz="0" w:space="0" w:color="auto"/>
                                                                                <w:right w:val="none" w:sz="0" w:space="0" w:color="auto"/>
                                                                              </w:divBdr>
                                                                              <w:divsChild>
                                                                                <w:div w:id="900360845">
                                                                                  <w:marLeft w:val="0"/>
                                                                                  <w:marRight w:val="90"/>
                                                                                  <w:marTop w:val="0"/>
                                                                                  <w:marBottom w:val="0"/>
                                                                                  <w:divBdr>
                                                                                    <w:top w:val="none" w:sz="0" w:space="0" w:color="auto"/>
                                                                                    <w:left w:val="none" w:sz="0" w:space="0" w:color="auto"/>
                                                                                    <w:bottom w:val="none" w:sz="0" w:space="0" w:color="auto"/>
                                                                                    <w:right w:val="none" w:sz="0" w:space="0" w:color="auto"/>
                                                                                  </w:divBdr>
                                                                                </w:div>
                                                                                <w:div w:id="1981109369">
                                                                                  <w:marLeft w:val="0"/>
                                                                                  <w:marRight w:val="150"/>
                                                                                  <w:marTop w:val="0"/>
                                                                                  <w:marBottom w:val="0"/>
                                                                                  <w:divBdr>
                                                                                    <w:top w:val="none" w:sz="0" w:space="0" w:color="auto"/>
                                                                                    <w:left w:val="none" w:sz="0" w:space="0" w:color="auto"/>
                                                                                    <w:bottom w:val="none" w:sz="0" w:space="0" w:color="auto"/>
                                                                                    <w:right w:val="none" w:sz="0" w:space="0" w:color="auto"/>
                                                                                  </w:divBdr>
                                                                                  <w:divsChild>
                                                                                    <w:div w:id="130709852">
                                                                                      <w:marLeft w:val="0"/>
                                                                                      <w:marRight w:val="0"/>
                                                                                      <w:marTop w:val="0"/>
                                                                                      <w:marBottom w:val="0"/>
                                                                                      <w:divBdr>
                                                                                        <w:top w:val="none" w:sz="0" w:space="0" w:color="auto"/>
                                                                                        <w:left w:val="none" w:sz="0" w:space="0" w:color="auto"/>
                                                                                        <w:bottom w:val="none" w:sz="0" w:space="0" w:color="auto"/>
                                                                                        <w:right w:val="none" w:sz="0" w:space="0" w:color="auto"/>
                                                                                      </w:divBdr>
                                                                                      <w:divsChild>
                                                                                        <w:div w:id="30571305">
                                                                                          <w:marLeft w:val="0"/>
                                                                                          <w:marRight w:val="0"/>
                                                                                          <w:marTop w:val="0"/>
                                                                                          <w:marBottom w:val="0"/>
                                                                                          <w:divBdr>
                                                                                            <w:top w:val="single" w:sz="6" w:space="3" w:color="D6D6D6"/>
                                                                                            <w:left w:val="single" w:sz="6" w:space="3" w:color="D6D6D6"/>
                                                                                            <w:bottom w:val="single" w:sz="6" w:space="3" w:color="D6D6D6"/>
                                                                                            <w:right w:val="single" w:sz="6" w:space="3" w:color="D6D6D6"/>
                                                                                          </w:divBdr>
                                                                                        </w:div>
                                                                                        <w:div w:id="12247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975382">
                                                                          <w:marLeft w:val="0"/>
                                                                          <w:marRight w:val="0"/>
                                                                          <w:marTop w:val="0"/>
                                                                          <w:marBottom w:val="0"/>
                                                                          <w:divBdr>
                                                                            <w:top w:val="none" w:sz="0" w:space="0" w:color="auto"/>
                                                                            <w:left w:val="none" w:sz="0" w:space="0" w:color="auto"/>
                                                                            <w:bottom w:val="none" w:sz="0" w:space="0" w:color="auto"/>
                                                                            <w:right w:val="none" w:sz="0" w:space="0" w:color="auto"/>
                                                                          </w:divBdr>
                                                                        </w:div>
                                                                        <w:div w:id="1283806972">
                                                                          <w:marLeft w:val="0"/>
                                                                          <w:marRight w:val="0"/>
                                                                          <w:marTop w:val="0"/>
                                                                          <w:marBottom w:val="0"/>
                                                                          <w:divBdr>
                                                                            <w:top w:val="none" w:sz="0" w:space="0" w:color="auto"/>
                                                                            <w:left w:val="none" w:sz="0" w:space="0" w:color="auto"/>
                                                                            <w:bottom w:val="none" w:sz="0" w:space="0" w:color="auto"/>
                                                                            <w:right w:val="none" w:sz="0" w:space="0" w:color="auto"/>
                                                                          </w:divBdr>
                                                                          <w:divsChild>
                                                                            <w:div w:id="469175913">
                                                                              <w:marLeft w:val="0"/>
                                                                              <w:marRight w:val="0"/>
                                                                              <w:marTop w:val="0"/>
                                                                              <w:marBottom w:val="0"/>
                                                                              <w:divBdr>
                                                                                <w:top w:val="none" w:sz="0" w:space="0" w:color="auto"/>
                                                                                <w:left w:val="none" w:sz="0" w:space="0" w:color="auto"/>
                                                                                <w:bottom w:val="none" w:sz="0" w:space="0" w:color="auto"/>
                                                                                <w:right w:val="none" w:sz="0" w:space="0" w:color="auto"/>
                                                                              </w:divBdr>
                                                                              <w:divsChild>
                                                                                <w:div w:id="914167480">
                                                                                  <w:marLeft w:val="0"/>
                                                                                  <w:marRight w:val="0"/>
                                                                                  <w:marTop w:val="0"/>
                                                                                  <w:marBottom w:val="0"/>
                                                                                  <w:divBdr>
                                                                                    <w:top w:val="none" w:sz="0" w:space="0" w:color="auto"/>
                                                                                    <w:left w:val="none" w:sz="0" w:space="0" w:color="auto"/>
                                                                                    <w:bottom w:val="none" w:sz="0" w:space="0" w:color="auto"/>
                                                                                    <w:right w:val="none" w:sz="0" w:space="0" w:color="auto"/>
                                                                                  </w:divBdr>
                                                                                  <w:divsChild>
                                                                                    <w:div w:id="152066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2371">
                                                                              <w:marLeft w:val="0"/>
                                                                              <w:marRight w:val="0"/>
                                                                              <w:marTop w:val="0"/>
                                                                              <w:marBottom w:val="0"/>
                                                                              <w:divBdr>
                                                                                <w:top w:val="none" w:sz="0" w:space="0" w:color="auto"/>
                                                                                <w:left w:val="none" w:sz="0" w:space="0" w:color="auto"/>
                                                                                <w:bottom w:val="none" w:sz="0" w:space="0" w:color="auto"/>
                                                                                <w:right w:val="none" w:sz="0" w:space="0" w:color="auto"/>
                                                                              </w:divBdr>
                                                                            </w:div>
                                                                          </w:divsChild>
                                                                        </w:div>
                                                                        <w:div w:id="1355112407">
                                                                          <w:marLeft w:val="0"/>
                                                                          <w:marRight w:val="0"/>
                                                                          <w:marTop w:val="0"/>
                                                                          <w:marBottom w:val="0"/>
                                                                          <w:divBdr>
                                                                            <w:top w:val="none" w:sz="0" w:space="0" w:color="auto"/>
                                                                            <w:left w:val="none" w:sz="0" w:space="0" w:color="auto"/>
                                                                            <w:bottom w:val="none" w:sz="0" w:space="0" w:color="auto"/>
                                                                            <w:right w:val="none" w:sz="0" w:space="0" w:color="auto"/>
                                                                          </w:divBdr>
                                                                          <w:divsChild>
                                                                            <w:div w:id="1628854610">
                                                                              <w:marLeft w:val="0"/>
                                                                              <w:marRight w:val="0"/>
                                                                              <w:marTop w:val="0"/>
                                                                              <w:marBottom w:val="0"/>
                                                                              <w:divBdr>
                                                                                <w:top w:val="none" w:sz="0" w:space="0" w:color="auto"/>
                                                                                <w:left w:val="single" w:sz="6" w:space="0" w:color="D9DADD"/>
                                                                                <w:bottom w:val="single" w:sz="6" w:space="0" w:color="D9DADD"/>
                                                                                <w:right w:val="single" w:sz="6" w:space="0" w:color="D9DADD"/>
                                                                              </w:divBdr>
                                                                              <w:divsChild>
                                                                                <w:div w:id="1331328551">
                                                                                  <w:marLeft w:val="0"/>
                                                                                  <w:marRight w:val="0"/>
                                                                                  <w:marTop w:val="0"/>
                                                                                  <w:marBottom w:val="0"/>
                                                                                  <w:divBdr>
                                                                                    <w:top w:val="none" w:sz="0" w:space="0" w:color="auto"/>
                                                                                    <w:left w:val="none" w:sz="0" w:space="0" w:color="auto"/>
                                                                                    <w:bottom w:val="none" w:sz="0" w:space="0" w:color="auto"/>
                                                                                    <w:right w:val="none" w:sz="0" w:space="0" w:color="auto"/>
                                                                                  </w:divBdr>
                                                                                  <w:divsChild>
                                                                                    <w:div w:id="607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90538">
                                                                      <w:marLeft w:val="0"/>
                                                                      <w:marRight w:val="0"/>
                                                                      <w:marTop w:val="0"/>
                                                                      <w:marBottom w:val="0"/>
                                                                      <w:divBdr>
                                                                        <w:top w:val="none" w:sz="0" w:space="0" w:color="auto"/>
                                                                        <w:left w:val="none" w:sz="0" w:space="0" w:color="auto"/>
                                                                        <w:bottom w:val="none" w:sz="0" w:space="0" w:color="auto"/>
                                                                        <w:right w:val="none" w:sz="0" w:space="0" w:color="auto"/>
                                                                      </w:divBdr>
                                                                      <w:divsChild>
                                                                        <w:div w:id="374738442">
                                                                          <w:marLeft w:val="0"/>
                                                                          <w:marRight w:val="0"/>
                                                                          <w:marTop w:val="0"/>
                                                                          <w:marBottom w:val="0"/>
                                                                          <w:divBdr>
                                                                            <w:top w:val="none" w:sz="0" w:space="0" w:color="auto"/>
                                                                            <w:left w:val="none" w:sz="0" w:space="0" w:color="auto"/>
                                                                            <w:bottom w:val="none" w:sz="0" w:space="0" w:color="auto"/>
                                                                            <w:right w:val="none" w:sz="0" w:space="0" w:color="auto"/>
                                                                          </w:divBdr>
                                                                        </w:div>
                                                                        <w:div w:id="697898275">
                                                                          <w:marLeft w:val="0"/>
                                                                          <w:marRight w:val="0"/>
                                                                          <w:marTop w:val="0"/>
                                                                          <w:marBottom w:val="0"/>
                                                                          <w:divBdr>
                                                                            <w:top w:val="none" w:sz="0" w:space="0" w:color="auto"/>
                                                                            <w:left w:val="none" w:sz="0" w:space="0" w:color="auto"/>
                                                                            <w:bottom w:val="none" w:sz="0" w:space="0" w:color="auto"/>
                                                                            <w:right w:val="none" w:sz="0" w:space="0" w:color="auto"/>
                                                                          </w:divBdr>
                                                                        </w:div>
                                                                        <w:div w:id="7602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79352">
                                                                  <w:marLeft w:val="0"/>
                                                                  <w:marRight w:val="0"/>
                                                                  <w:marTop w:val="0"/>
                                                                  <w:marBottom w:val="0"/>
                                                                  <w:divBdr>
                                                                    <w:top w:val="none" w:sz="0" w:space="0" w:color="auto"/>
                                                                    <w:left w:val="none" w:sz="0" w:space="0" w:color="auto"/>
                                                                    <w:bottom w:val="none" w:sz="0" w:space="0" w:color="auto"/>
                                                                    <w:right w:val="none" w:sz="0" w:space="0" w:color="auto"/>
                                                                  </w:divBdr>
                                                                  <w:divsChild>
                                                                    <w:div w:id="982349531">
                                                                      <w:marLeft w:val="0"/>
                                                                      <w:marRight w:val="0"/>
                                                                      <w:marTop w:val="0"/>
                                                                      <w:marBottom w:val="0"/>
                                                                      <w:divBdr>
                                                                        <w:top w:val="none" w:sz="0" w:space="0" w:color="auto"/>
                                                                        <w:left w:val="none" w:sz="0" w:space="0" w:color="auto"/>
                                                                        <w:bottom w:val="none" w:sz="0" w:space="0" w:color="auto"/>
                                                                        <w:right w:val="none" w:sz="0" w:space="0" w:color="auto"/>
                                                                      </w:divBdr>
                                                                      <w:divsChild>
                                                                        <w:div w:id="1909683196">
                                                                          <w:marLeft w:val="0"/>
                                                                          <w:marRight w:val="0"/>
                                                                          <w:marTop w:val="0"/>
                                                                          <w:marBottom w:val="0"/>
                                                                          <w:divBdr>
                                                                            <w:top w:val="none" w:sz="0" w:space="0" w:color="auto"/>
                                                                            <w:left w:val="none" w:sz="0" w:space="0" w:color="auto"/>
                                                                            <w:bottom w:val="none" w:sz="0" w:space="0" w:color="auto"/>
                                                                            <w:right w:val="none" w:sz="0" w:space="0" w:color="auto"/>
                                                                          </w:divBdr>
                                                                        </w:div>
                                                                      </w:divsChild>
                                                                    </w:div>
                                                                    <w:div w:id="1302996697">
                                                                      <w:marLeft w:val="0"/>
                                                                      <w:marRight w:val="0"/>
                                                                      <w:marTop w:val="0"/>
                                                                      <w:marBottom w:val="0"/>
                                                                      <w:divBdr>
                                                                        <w:top w:val="none" w:sz="0" w:space="0" w:color="auto"/>
                                                                        <w:left w:val="none" w:sz="0" w:space="0" w:color="auto"/>
                                                                        <w:bottom w:val="none" w:sz="0" w:space="0" w:color="auto"/>
                                                                        <w:right w:val="none" w:sz="0" w:space="0" w:color="auto"/>
                                                                      </w:divBdr>
                                                                    </w:div>
                                                                    <w:div w:id="163756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389646696">
      <w:bodyDiv w:val="1"/>
      <w:marLeft w:val="0"/>
      <w:marRight w:val="0"/>
      <w:marTop w:val="0"/>
      <w:marBottom w:val="0"/>
      <w:divBdr>
        <w:top w:val="none" w:sz="0" w:space="0" w:color="auto"/>
        <w:left w:val="none" w:sz="0" w:space="0" w:color="auto"/>
        <w:bottom w:val="none" w:sz="0" w:space="0" w:color="auto"/>
        <w:right w:val="none" w:sz="0" w:space="0" w:color="auto"/>
      </w:divBdr>
      <w:divsChild>
        <w:div w:id="291399913">
          <w:marLeft w:val="0"/>
          <w:marRight w:val="0"/>
          <w:marTop w:val="0"/>
          <w:marBottom w:val="0"/>
          <w:divBdr>
            <w:top w:val="none" w:sz="0" w:space="0" w:color="auto"/>
            <w:left w:val="none" w:sz="0" w:space="0" w:color="auto"/>
            <w:bottom w:val="none" w:sz="0" w:space="0" w:color="auto"/>
            <w:right w:val="none" w:sz="0" w:space="0" w:color="auto"/>
          </w:divBdr>
          <w:divsChild>
            <w:div w:id="364910811">
              <w:marLeft w:val="0"/>
              <w:marRight w:val="0"/>
              <w:marTop w:val="0"/>
              <w:marBottom w:val="0"/>
              <w:divBdr>
                <w:top w:val="none" w:sz="0" w:space="0" w:color="auto"/>
                <w:left w:val="none" w:sz="0" w:space="0" w:color="auto"/>
                <w:bottom w:val="none" w:sz="0" w:space="0" w:color="auto"/>
                <w:right w:val="none" w:sz="0" w:space="0" w:color="auto"/>
              </w:divBdr>
              <w:divsChild>
                <w:div w:id="1689794207">
                  <w:marLeft w:val="0"/>
                  <w:marRight w:val="0"/>
                  <w:marTop w:val="0"/>
                  <w:marBottom w:val="0"/>
                  <w:divBdr>
                    <w:top w:val="none" w:sz="0" w:space="0" w:color="auto"/>
                    <w:left w:val="none" w:sz="0" w:space="0" w:color="auto"/>
                    <w:bottom w:val="none" w:sz="0" w:space="0" w:color="auto"/>
                    <w:right w:val="none" w:sz="0" w:space="0" w:color="auto"/>
                  </w:divBdr>
                  <w:divsChild>
                    <w:div w:id="675303469">
                      <w:marLeft w:val="0"/>
                      <w:marRight w:val="0"/>
                      <w:marTop w:val="0"/>
                      <w:marBottom w:val="0"/>
                      <w:divBdr>
                        <w:top w:val="none" w:sz="0" w:space="0" w:color="auto"/>
                        <w:left w:val="none" w:sz="0" w:space="0" w:color="auto"/>
                        <w:bottom w:val="none" w:sz="0" w:space="0" w:color="auto"/>
                        <w:right w:val="none" w:sz="0" w:space="0" w:color="auto"/>
                      </w:divBdr>
                      <w:divsChild>
                        <w:div w:id="1525944065">
                          <w:marLeft w:val="0"/>
                          <w:marRight w:val="0"/>
                          <w:marTop w:val="0"/>
                          <w:marBottom w:val="0"/>
                          <w:divBdr>
                            <w:top w:val="none" w:sz="0" w:space="0" w:color="auto"/>
                            <w:left w:val="none" w:sz="0" w:space="0" w:color="auto"/>
                            <w:bottom w:val="none" w:sz="0" w:space="0" w:color="auto"/>
                            <w:right w:val="none" w:sz="0" w:space="0" w:color="auto"/>
                          </w:divBdr>
                          <w:divsChild>
                            <w:div w:id="1858538943">
                              <w:marLeft w:val="0"/>
                              <w:marRight w:val="0"/>
                              <w:marTop w:val="0"/>
                              <w:marBottom w:val="0"/>
                              <w:divBdr>
                                <w:top w:val="none" w:sz="0" w:space="0" w:color="auto"/>
                                <w:left w:val="none" w:sz="0" w:space="0" w:color="auto"/>
                                <w:bottom w:val="none" w:sz="0" w:space="0" w:color="auto"/>
                                <w:right w:val="none" w:sz="0" w:space="0" w:color="auto"/>
                              </w:divBdr>
                              <w:divsChild>
                                <w:div w:id="150605381">
                                  <w:marLeft w:val="0"/>
                                  <w:marRight w:val="0"/>
                                  <w:marTop w:val="0"/>
                                  <w:marBottom w:val="0"/>
                                  <w:divBdr>
                                    <w:top w:val="none" w:sz="0" w:space="0" w:color="auto"/>
                                    <w:left w:val="none" w:sz="0" w:space="0" w:color="auto"/>
                                    <w:bottom w:val="none" w:sz="0" w:space="0" w:color="auto"/>
                                    <w:right w:val="none" w:sz="0" w:space="0" w:color="auto"/>
                                  </w:divBdr>
                                  <w:divsChild>
                                    <w:div w:id="638261977">
                                      <w:marLeft w:val="0"/>
                                      <w:marRight w:val="0"/>
                                      <w:marTop w:val="0"/>
                                      <w:marBottom w:val="0"/>
                                      <w:divBdr>
                                        <w:top w:val="none" w:sz="0" w:space="0" w:color="auto"/>
                                        <w:left w:val="none" w:sz="0" w:space="0" w:color="auto"/>
                                        <w:bottom w:val="none" w:sz="0" w:space="0" w:color="auto"/>
                                        <w:right w:val="none" w:sz="0" w:space="0" w:color="auto"/>
                                      </w:divBdr>
                                      <w:divsChild>
                                        <w:div w:id="726605810">
                                          <w:marLeft w:val="0"/>
                                          <w:marRight w:val="0"/>
                                          <w:marTop w:val="0"/>
                                          <w:marBottom w:val="0"/>
                                          <w:divBdr>
                                            <w:top w:val="none" w:sz="0" w:space="0" w:color="auto"/>
                                            <w:left w:val="none" w:sz="0" w:space="0" w:color="auto"/>
                                            <w:bottom w:val="none" w:sz="0" w:space="0" w:color="auto"/>
                                            <w:right w:val="none" w:sz="0" w:space="0" w:color="auto"/>
                                          </w:divBdr>
                                          <w:divsChild>
                                            <w:div w:id="8223303">
                                              <w:marLeft w:val="0"/>
                                              <w:marRight w:val="0"/>
                                              <w:marTop w:val="0"/>
                                              <w:marBottom w:val="0"/>
                                              <w:divBdr>
                                                <w:top w:val="none" w:sz="0" w:space="0" w:color="auto"/>
                                                <w:left w:val="none" w:sz="0" w:space="0" w:color="auto"/>
                                                <w:bottom w:val="none" w:sz="0" w:space="0" w:color="auto"/>
                                                <w:right w:val="none" w:sz="0" w:space="0" w:color="auto"/>
                                              </w:divBdr>
                                              <w:divsChild>
                                                <w:div w:id="944196196">
                                                  <w:marLeft w:val="0"/>
                                                  <w:marRight w:val="0"/>
                                                  <w:marTop w:val="0"/>
                                                  <w:marBottom w:val="0"/>
                                                  <w:divBdr>
                                                    <w:top w:val="none" w:sz="0" w:space="0" w:color="auto"/>
                                                    <w:left w:val="none" w:sz="0" w:space="0" w:color="auto"/>
                                                    <w:bottom w:val="none" w:sz="0" w:space="0" w:color="auto"/>
                                                    <w:right w:val="none" w:sz="0" w:space="0" w:color="auto"/>
                                                  </w:divBdr>
                                                  <w:divsChild>
                                                    <w:div w:id="449860535">
                                                      <w:marLeft w:val="0"/>
                                                      <w:marRight w:val="0"/>
                                                      <w:marTop w:val="0"/>
                                                      <w:marBottom w:val="0"/>
                                                      <w:divBdr>
                                                        <w:top w:val="none" w:sz="0" w:space="0" w:color="auto"/>
                                                        <w:left w:val="none" w:sz="0" w:space="0" w:color="auto"/>
                                                        <w:bottom w:val="none" w:sz="0" w:space="0" w:color="auto"/>
                                                        <w:right w:val="none" w:sz="0" w:space="0" w:color="auto"/>
                                                      </w:divBdr>
                                                      <w:divsChild>
                                                        <w:div w:id="715206530">
                                                          <w:marLeft w:val="0"/>
                                                          <w:marRight w:val="0"/>
                                                          <w:marTop w:val="0"/>
                                                          <w:marBottom w:val="0"/>
                                                          <w:divBdr>
                                                            <w:top w:val="none" w:sz="0" w:space="0" w:color="auto"/>
                                                            <w:left w:val="none" w:sz="0" w:space="0" w:color="auto"/>
                                                            <w:bottom w:val="none" w:sz="0" w:space="0" w:color="auto"/>
                                                            <w:right w:val="none" w:sz="0" w:space="0" w:color="auto"/>
                                                          </w:divBdr>
                                                          <w:divsChild>
                                                            <w:div w:id="306668502">
                                                              <w:marLeft w:val="0"/>
                                                              <w:marRight w:val="150"/>
                                                              <w:marTop w:val="0"/>
                                                              <w:marBottom w:val="150"/>
                                                              <w:divBdr>
                                                                <w:top w:val="none" w:sz="0" w:space="0" w:color="auto"/>
                                                                <w:left w:val="none" w:sz="0" w:space="0" w:color="auto"/>
                                                                <w:bottom w:val="none" w:sz="0" w:space="0" w:color="auto"/>
                                                                <w:right w:val="none" w:sz="0" w:space="0" w:color="auto"/>
                                                              </w:divBdr>
                                                              <w:divsChild>
                                                                <w:div w:id="1060519914">
                                                                  <w:marLeft w:val="0"/>
                                                                  <w:marRight w:val="0"/>
                                                                  <w:marTop w:val="0"/>
                                                                  <w:marBottom w:val="0"/>
                                                                  <w:divBdr>
                                                                    <w:top w:val="none" w:sz="0" w:space="0" w:color="auto"/>
                                                                    <w:left w:val="none" w:sz="0" w:space="0" w:color="auto"/>
                                                                    <w:bottom w:val="none" w:sz="0" w:space="0" w:color="auto"/>
                                                                    <w:right w:val="none" w:sz="0" w:space="0" w:color="auto"/>
                                                                  </w:divBdr>
                                                                  <w:divsChild>
                                                                    <w:div w:id="1813789351">
                                                                      <w:marLeft w:val="0"/>
                                                                      <w:marRight w:val="0"/>
                                                                      <w:marTop w:val="0"/>
                                                                      <w:marBottom w:val="0"/>
                                                                      <w:divBdr>
                                                                        <w:top w:val="none" w:sz="0" w:space="0" w:color="auto"/>
                                                                        <w:left w:val="none" w:sz="0" w:space="0" w:color="auto"/>
                                                                        <w:bottom w:val="none" w:sz="0" w:space="0" w:color="auto"/>
                                                                        <w:right w:val="none" w:sz="0" w:space="0" w:color="auto"/>
                                                                      </w:divBdr>
                                                                      <w:divsChild>
                                                                        <w:div w:id="744188348">
                                                                          <w:marLeft w:val="0"/>
                                                                          <w:marRight w:val="0"/>
                                                                          <w:marTop w:val="0"/>
                                                                          <w:marBottom w:val="0"/>
                                                                          <w:divBdr>
                                                                            <w:top w:val="none" w:sz="0" w:space="0" w:color="auto"/>
                                                                            <w:left w:val="none" w:sz="0" w:space="0" w:color="auto"/>
                                                                            <w:bottom w:val="none" w:sz="0" w:space="0" w:color="auto"/>
                                                                            <w:right w:val="none" w:sz="0" w:space="0" w:color="auto"/>
                                                                          </w:divBdr>
                                                                          <w:divsChild>
                                                                            <w:div w:id="1359233827">
                                                                              <w:marLeft w:val="0"/>
                                                                              <w:marRight w:val="0"/>
                                                                              <w:marTop w:val="0"/>
                                                                              <w:marBottom w:val="0"/>
                                                                              <w:divBdr>
                                                                                <w:top w:val="none" w:sz="0" w:space="0" w:color="auto"/>
                                                                                <w:left w:val="none" w:sz="0" w:space="0" w:color="auto"/>
                                                                                <w:bottom w:val="none" w:sz="0" w:space="0" w:color="auto"/>
                                                                                <w:right w:val="none" w:sz="0" w:space="0" w:color="auto"/>
                                                                              </w:divBdr>
                                                                              <w:divsChild>
                                                                                <w:div w:id="123689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184104">
      <w:bodyDiv w:val="1"/>
      <w:marLeft w:val="0"/>
      <w:marRight w:val="0"/>
      <w:marTop w:val="0"/>
      <w:marBottom w:val="0"/>
      <w:divBdr>
        <w:top w:val="none" w:sz="0" w:space="0" w:color="auto"/>
        <w:left w:val="none" w:sz="0" w:space="0" w:color="auto"/>
        <w:bottom w:val="none" w:sz="0" w:space="0" w:color="auto"/>
        <w:right w:val="none" w:sz="0" w:space="0" w:color="auto"/>
      </w:divBdr>
      <w:divsChild>
        <w:div w:id="618028057">
          <w:marLeft w:val="0"/>
          <w:marRight w:val="0"/>
          <w:marTop w:val="150"/>
          <w:marBottom w:val="0"/>
          <w:divBdr>
            <w:top w:val="none" w:sz="0" w:space="0" w:color="auto"/>
            <w:left w:val="none" w:sz="0" w:space="0" w:color="auto"/>
            <w:bottom w:val="none" w:sz="0" w:space="0" w:color="auto"/>
            <w:right w:val="none" w:sz="0" w:space="0" w:color="auto"/>
          </w:divBdr>
          <w:divsChild>
            <w:div w:id="1854027577">
              <w:marLeft w:val="0"/>
              <w:marRight w:val="0"/>
              <w:marTop w:val="0"/>
              <w:marBottom w:val="0"/>
              <w:divBdr>
                <w:top w:val="none" w:sz="0" w:space="0" w:color="auto"/>
                <w:left w:val="none" w:sz="0" w:space="0" w:color="auto"/>
                <w:bottom w:val="none" w:sz="0" w:space="0" w:color="auto"/>
                <w:right w:val="none" w:sz="0" w:space="0" w:color="auto"/>
              </w:divBdr>
              <w:divsChild>
                <w:div w:id="1997294150">
                  <w:marLeft w:val="0"/>
                  <w:marRight w:val="0"/>
                  <w:marTop w:val="0"/>
                  <w:marBottom w:val="0"/>
                  <w:divBdr>
                    <w:top w:val="none" w:sz="0" w:space="0" w:color="auto"/>
                    <w:left w:val="none" w:sz="0" w:space="0" w:color="auto"/>
                    <w:bottom w:val="none" w:sz="0" w:space="0" w:color="auto"/>
                    <w:right w:val="none" w:sz="0" w:space="0" w:color="auto"/>
                  </w:divBdr>
                  <w:divsChild>
                    <w:div w:id="537013761">
                      <w:marLeft w:val="0"/>
                      <w:marRight w:val="0"/>
                      <w:marTop w:val="168"/>
                      <w:marBottom w:val="0"/>
                      <w:divBdr>
                        <w:top w:val="none" w:sz="0" w:space="0" w:color="auto"/>
                        <w:left w:val="none" w:sz="0" w:space="0" w:color="auto"/>
                        <w:bottom w:val="none" w:sz="0" w:space="0" w:color="auto"/>
                        <w:right w:val="none" w:sz="0" w:space="0" w:color="auto"/>
                      </w:divBdr>
                      <w:divsChild>
                        <w:div w:id="178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dawg.utk.edu/" TargetMode="Externa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dawg.utk.edu/"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23" Type="http://schemas.microsoft.com/office/2007/relationships/stylesWithEffects" Target="stylesWithEffects.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A2C5F-946C-49A9-8FA9-A25870CCB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115</Pages>
  <Words>21516</Words>
  <Characters>122646</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143875</CharactersWithSpaces>
  <SharedDoc>false</SharedDoc>
  <HLinks>
    <vt:vector size="276" baseType="variant">
      <vt:variant>
        <vt:i4>1900595</vt:i4>
      </vt:variant>
      <vt:variant>
        <vt:i4>185</vt:i4>
      </vt:variant>
      <vt:variant>
        <vt:i4>0</vt:i4>
      </vt:variant>
      <vt:variant>
        <vt:i4>5</vt:i4>
      </vt:variant>
      <vt:variant>
        <vt:lpwstr/>
      </vt:variant>
      <vt:variant>
        <vt:lpwstr>_Toc140573588</vt:lpwstr>
      </vt:variant>
      <vt:variant>
        <vt:i4>1900595</vt:i4>
      </vt:variant>
      <vt:variant>
        <vt:i4>179</vt:i4>
      </vt:variant>
      <vt:variant>
        <vt:i4>0</vt:i4>
      </vt:variant>
      <vt:variant>
        <vt:i4>5</vt:i4>
      </vt:variant>
      <vt:variant>
        <vt:lpwstr/>
      </vt:variant>
      <vt:variant>
        <vt:lpwstr>_Toc140573588</vt:lpwstr>
      </vt:variant>
      <vt:variant>
        <vt:i4>1900595</vt:i4>
      </vt:variant>
      <vt:variant>
        <vt:i4>173</vt:i4>
      </vt:variant>
      <vt:variant>
        <vt:i4>0</vt:i4>
      </vt:variant>
      <vt:variant>
        <vt:i4>5</vt:i4>
      </vt:variant>
      <vt:variant>
        <vt:lpwstr/>
      </vt:variant>
      <vt:variant>
        <vt:lpwstr>_Toc140573588</vt:lpwstr>
      </vt:variant>
      <vt:variant>
        <vt:i4>1900595</vt:i4>
      </vt:variant>
      <vt:variant>
        <vt:i4>167</vt:i4>
      </vt:variant>
      <vt:variant>
        <vt:i4>0</vt:i4>
      </vt:variant>
      <vt:variant>
        <vt:i4>5</vt:i4>
      </vt:variant>
      <vt:variant>
        <vt:lpwstr/>
      </vt:variant>
      <vt:variant>
        <vt:lpwstr>_Toc140573588</vt:lpwstr>
      </vt:variant>
      <vt:variant>
        <vt:i4>1900595</vt:i4>
      </vt:variant>
      <vt:variant>
        <vt:i4>161</vt:i4>
      </vt:variant>
      <vt:variant>
        <vt:i4>0</vt:i4>
      </vt:variant>
      <vt:variant>
        <vt:i4>5</vt:i4>
      </vt:variant>
      <vt:variant>
        <vt:lpwstr/>
      </vt:variant>
      <vt:variant>
        <vt:lpwstr>_Toc140573588</vt:lpwstr>
      </vt:variant>
      <vt:variant>
        <vt:i4>1900595</vt:i4>
      </vt:variant>
      <vt:variant>
        <vt:i4>155</vt:i4>
      </vt:variant>
      <vt:variant>
        <vt:i4>0</vt:i4>
      </vt:variant>
      <vt:variant>
        <vt:i4>5</vt:i4>
      </vt:variant>
      <vt:variant>
        <vt:lpwstr/>
      </vt:variant>
      <vt:variant>
        <vt:lpwstr>_Toc140573588</vt:lpwstr>
      </vt:variant>
      <vt:variant>
        <vt:i4>1900595</vt:i4>
      </vt:variant>
      <vt:variant>
        <vt:i4>149</vt:i4>
      </vt:variant>
      <vt:variant>
        <vt:i4>0</vt:i4>
      </vt:variant>
      <vt:variant>
        <vt:i4>5</vt:i4>
      </vt:variant>
      <vt:variant>
        <vt:lpwstr/>
      </vt:variant>
      <vt:variant>
        <vt:lpwstr>_Toc140573588</vt:lpwstr>
      </vt:variant>
      <vt:variant>
        <vt:i4>1900595</vt:i4>
      </vt:variant>
      <vt:variant>
        <vt:i4>143</vt:i4>
      </vt:variant>
      <vt:variant>
        <vt:i4>0</vt:i4>
      </vt:variant>
      <vt:variant>
        <vt:i4>5</vt:i4>
      </vt:variant>
      <vt:variant>
        <vt:lpwstr/>
      </vt:variant>
      <vt:variant>
        <vt:lpwstr>_Toc140573588</vt:lpwstr>
      </vt:variant>
      <vt:variant>
        <vt:i4>1900595</vt:i4>
      </vt:variant>
      <vt:variant>
        <vt:i4>137</vt:i4>
      </vt:variant>
      <vt:variant>
        <vt:i4>0</vt:i4>
      </vt:variant>
      <vt:variant>
        <vt:i4>5</vt:i4>
      </vt:variant>
      <vt:variant>
        <vt:lpwstr/>
      </vt:variant>
      <vt:variant>
        <vt:lpwstr>_Toc140573588</vt:lpwstr>
      </vt:variant>
      <vt:variant>
        <vt:i4>1900595</vt:i4>
      </vt:variant>
      <vt:variant>
        <vt:i4>131</vt:i4>
      </vt:variant>
      <vt:variant>
        <vt:i4>0</vt:i4>
      </vt:variant>
      <vt:variant>
        <vt:i4>5</vt:i4>
      </vt:variant>
      <vt:variant>
        <vt:lpwstr/>
      </vt:variant>
      <vt:variant>
        <vt:lpwstr>_Toc140573588</vt:lpwstr>
      </vt:variant>
      <vt:variant>
        <vt:i4>1900595</vt:i4>
      </vt:variant>
      <vt:variant>
        <vt:i4>125</vt:i4>
      </vt:variant>
      <vt:variant>
        <vt:i4>0</vt:i4>
      </vt:variant>
      <vt:variant>
        <vt:i4>5</vt:i4>
      </vt:variant>
      <vt:variant>
        <vt:lpwstr/>
      </vt:variant>
      <vt:variant>
        <vt:lpwstr>_Toc140573588</vt:lpwstr>
      </vt:variant>
      <vt:variant>
        <vt:i4>1900595</vt:i4>
      </vt:variant>
      <vt:variant>
        <vt:i4>119</vt:i4>
      </vt:variant>
      <vt:variant>
        <vt:i4>0</vt:i4>
      </vt:variant>
      <vt:variant>
        <vt:i4>5</vt:i4>
      </vt:variant>
      <vt:variant>
        <vt:lpwstr/>
      </vt:variant>
      <vt:variant>
        <vt:lpwstr>_Toc140573588</vt:lpwstr>
      </vt:variant>
      <vt:variant>
        <vt:i4>1900595</vt:i4>
      </vt:variant>
      <vt:variant>
        <vt:i4>113</vt:i4>
      </vt:variant>
      <vt:variant>
        <vt:i4>0</vt:i4>
      </vt:variant>
      <vt:variant>
        <vt:i4>5</vt:i4>
      </vt:variant>
      <vt:variant>
        <vt:lpwstr/>
      </vt:variant>
      <vt:variant>
        <vt:lpwstr>_Toc140573588</vt:lpwstr>
      </vt:variant>
      <vt:variant>
        <vt:i4>1900595</vt:i4>
      </vt:variant>
      <vt:variant>
        <vt:i4>107</vt:i4>
      </vt:variant>
      <vt:variant>
        <vt:i4>0</vt:i4>
      </vt:variant>
      <vt:variant>
        <vt:i4>5</vt:i4>
      </vt:variant>
      <vt:variant>
        <vt:lpwstr/>
      </vt:variant>
      <vt:variant>
        <vt:lpwstr>_Toc140573588</vt:lpwstr>
      </vt:variant>
      <vt:variant>
        <vt:i4>1703993</vt:i4>
      </vt:variant>
      <vt:variant>
        <vt:i4>101</vt:i4>
      </vt:variant>
      <vt:variant>
        <vt:i4>0</vt:i4>
      </vt:variant>
      <vt:variant>
        <vt:i4>5</vt:i4>
      </vt:variant>
      <vt:variant>
        <vt:lpwstr/>
      </vt:variant>
      <vt:variant>
        <vt:lpwstr>_Toc286145919</vt:lpwstr>
      </vt:variant>
      <vt:variant>
        <vt:i4>1703993</vt:i4>
      </vt:variant>
      <vt:variant>
        <vt:i4>98</vt:i4>
      </vt:variant>
      <vt:variant>
        <vt:i4>0</vt:i4>
      </vt:variant>
      <vt:variant>
        <vt:i4>5</vt:i4>
      </vt:variant>
      <vt:variant>
        <vt:lpwstr/>
      </vt:variant>
      <vt:variant>
        <vt:lpwstr>_Toc286145918</vt:lpwstr>
      </vt:variant>
      <vt:variant>
        <vt:i4>1769529</vt:i4>
      </vt:variant>
      <vt:variant>
        <vt:i4>95</vt:i4>
      </vt:variant>
      <vt:variant>
        <vt:i4>0</vt:i4>
      </vt:variant>
      <vt:variant>
        <vt:i4>5</vt:i4>
      </vt:variant>
      <vt:variant>
        <vt:lpwstr/>
      </vt:variant>
      <vt:variant>
        <vt:lpwstr>_Toc286145904</vt:lpwstr>
      </vt:variant>
      <vt:variant>
        <vt:i4>1769529</vt:i4>
      </vt:variant>
      <vt:variant>
        <vt:i4>92</vt:i4>
      </vt:variant>
      <vt:variant>
        <vt:i4>0</vt:i4>
      </vt:variant>
      <vt:variant>
        <vt:i4>5</vt:i4>
      </vt:variant>
      <vt:variant>
        <vt:lpwstr/>
      </vt:variant>
      <vt:variant>
        <vt:lpwstr>_Toc286145904</vt:lpwstr>
      </vt:variant>
      <vt:variant>
        <vt:i4>1769529</vt:i4>
      </vt:variant>
      <vt:variant>
        <vt:i4>89</vt:i4>
      </vt:variant>
      <vt:variant>
        <vt:i4>0</vt:i4>
      </vt:variant>
      <vt:variant>
        <vt:i4>5</vt:i4>
      </vt:variant>
      <vt:variant>
        <vt:lpwstr/>
      </vt:variant>
      <vt:variant>
        <vt:lpwstr>_Toc286145904</vt:lpwstr>
      </vt:variant>
      <vt:variant>
        <vt:i4>1769529</vt:i4>
      </vt:variant>
      <vt:variant>
        <vt:i4>86</vt:i4>
      </vt:variant>
      <vt:variant>
        <vt:i4>0</vt:i4>
      </vt:variant>
      <vt:variant>
        <vt:i4>5</vt:i4>
      </vt:variant>
      <vt:variant>
        <vt:lpwstr/>
      </vt:variant>
      <vt:variant>
        <vt:lpwstr>_Toc286145904</vt:lpwstr>
      </vt:variant>
      <vt:variant>
        <vt:i4>1769529</vt:i4>
      </vt:variant>
      <vt:variant>
        <vt:i4>83</vt:i4>
      </vt:variant>
      <vt:variant>
        <vt:i4>0</vt:i4>
      </vt:variant>
      <vt:variant>
        <vt:i4>5</vt:i4>
      </vt:variant>
      <vt:variant>
        <vt:lpwstr/>
      </vt:variant>
      <vt:variant>
        <vt:lpwstr>_Toc286145904</vt:lpwstr>
      </vt:variant>
      <vt:variant>
        <vt:i4>1769529</vt:i4>
      </vt:variant>
      <vt:variant>
        <vt:i4>80</vt:i4>
      </vt:variant>
      <vt:variant>
        <vt:i4>0</vt:i4>
      </vt:variant>
      <vt:variant>
        <vt:i4>5</vt:i4>
      </vt:variant>
      <vt:variant>
        <vt:lpwstr/>
      </vt:variant>
      <vt:variant>
        <vt:lpwstr>_Toc286145904</vt:lpwstr>
      </vt:variant>
      <vt:variant>
        <vt:i4>1769529</vt:i4>
      </vt:variant>
      <vt:variant>
        <vt:i4>77</vt:i4>
      </vt:variant>
      <vt:variant>
        <vt:i4>0</vt:i4>
      </vt:variant>
      <vt:variant>
        <vt:i4>5</vt:i4>
      </vt:variant>
      <vt:variant>
        <vt:lpwstr/>
      </vt:variant>
      <vt:variant>
        <vt:lpwstr>_Toc286145904</vt:lpwstr>
      </vt:variant>
      <vt:variant>
        <vt:i4>1769529</vt:i4>
      </vt:variant>
      <vt:variant>
        <vt:i4>74</vt:i4>
      </vt:variant>
      <vt:variant>
        <vt:i4>0</vt:i4>
      </vt:variant>
      <vt:variant>
        <vt:i4>5</vt:i4>
      </vt:variant>
      <vt:variant>
        <vt:lpwstr/>
      </vt:variant>
      <vt:variant>
        <vt:lpwstr>_Toc286145904</vt:lpwstr>
      </vt:variant>
      <vt:variant>
        <vt:i4>1769529</vt:i4>
      </vt:variant>
      <vt:variant>
        <vt:i4>71</vt:i4>
      </vt:variant>
      <vt:variant>
        <vt:i4>0</vt:i4>
      </vt:variant>
      <vt:variant>
        <vt:i4>5</vt:i4>
      </vt:variant>
      <vt:variant>
        <vt:lpwstr/>
      </vt:variant>
      <vt:variant>
        <vt:lpwstr>_Toc286145904</vt:lpwstr>
      </vt:variant>
      <vt:variant>
        <vt:i4>1769529</vt:i4>
      </vt:variant>
      <vt:variant>
        <vt:i4>68</vt:i4>
      </vt:variant>
      <vt:variant>
        <vt:i4>0</vt:i4>
      </vt:variant>
      <vt:variant>
        <vt:i4>5</vt:i4>
      </vt:variant>
      <vt:variant>
        <vt:lpwstr/>
      </vt:variant>
      <vt:variant>
        <vt:lpwstr>_Toc286145908</vt:lpwstr>
      </vt:variant>
      <vt:variant>
        <vt:i4>1769529</vt:i4>
      </vt:variant>
      <vt:variant>
        <vt:i4>65</vt:i4>
      </vt:variant>
      <vt:variant>
        <vt:i4>0</vt:i4>
      </vt:variant>
      <vt:variant>
        <vt:i4>5</vt:i4>
      </vt:variant>
      <vt:variant>
        <vt:lpwstr/>
      </vt:variant>
      <vt:variant>
        <vt:lpwstr>_Toc286145904</vt:lpwstr>
      </vt:variant>
      <vt:variant>
        <vt:i4>1769529</vt:i4>
      </vt:variant>
      <vt:variant>
        <vt:i4>62</vt:i4>
      </vt:variant>
      <vt:variant>
        <vt:i4>0</vt:i4>
      </vt:variant>
      <vt:variant>
        <vt:i4>5</vt:i4>
      </vt:variant>
      <vt:variant>
        <vt:lpwstr/>
      </vt:variant>
      <vt:variant>
        <vt:lpwstr>_Toc286145904</vt:lpwstr>
      </vt:variant>
      <vt:variant>
        <vt:i4>1769529</vt:i4>
      </vt:variant>
      <vt:variant>
        <vt:i4>59</vt:i4>
      </vt:variant>
      <vt:variant>
        <vt:i4>0</vt:i4>
      </vt:variant>
      <vt:variant>
        <vt:i4>5</vt:i4>
      </vt:variant>
      <vt:variant>
        <vt:lpwstr/>
      </vt:variant>
      <vt:variant>
        <vt:lpwstr>_Toc286145904</vt:lpwstr>
      </vt:variant>
      <vt:variant>
        <vt:i4>1769529</vt:i4>
      </vt:variant>
      <vt:variant>
        <vt:i4>56</vt:i4>
      </vt:variant>
      <vt:variant>
        <vt:i4>0</vt:i4>
      </vt:variant>
      <vt:variant>
        <vt:i4>5</vt:i4>
      </vt:variant>
      <vt:variant>
        <vt:lpwstr/>
      </vt:variant>
      <vt:variant>
        <vt:lpwstr>_Toc286145904</vt:lpwstr>
      </vt:variant>
      <vt:variant>
        <vt:i4>1769529</vt:i4>
      </vt:variant>
      <vt:variant>
        <vt:i4>53</vt:i4>
      </vt:variant>
      <vt:variant>
        <vt:i4>0</vt:i4>
      </vt:variant>
      <vt:variant>
        <vt:i4>5</vt:i4>
      </vt:variant>
      <vt:variant>
        <vt:lpwstr/>
      </vt:variant>
      <vt:variant>
        <vt:lpwstr>_Toc286145904</vt:lpwstr>
      </vt:variant>
      <vt:variant>
        <vt:i4>1769529</vt:i4>
      </vt:variant>
      <vt:variant>
        <vt:i4>50</vt:i4>
      </vt:variant>
      <vt:variant>
        <vt:i4>0</vt:i4>
      </vt:variant>
      <vt:variant>
        <vt:i4>5</vt:i4>
      </vt:variant>
      <vt:variant>
        <vt:lpwstr/>
      </vt:variant>
      <vt:variant>
        <vt:lpwstr>_Toc286145904</vt:lpwstr>
      </vt:variant>
      <vt:variant>
        <vt:i4>1769529</vt:i4>
      </vt:variant>
      <vt:variant>
        <vt:i4>47</vt:i4>
      </vt:variant>
      <vt:variant>
        <vt:i4>0</vt:i4>
      </vt:variant>
      <vt:variant>
        <vt:i4>5</vt:i4>
      </vt:variant>
      <vt:variant>
        <vt:lpwstr/>
      </vt:variant>
      <vt:variant>
        <vt:lpwstr>_Toc286145904</vt:lpwstr>
      </vt:variant>
      <vt:variant>
        <vt:i4>1769529</vt:i4>
      </vt:variant>
      <vt:variant>
        <vt:i4>44</vt:i4>
      </vt:variant>
      <vt:variant>
        <vt:i4>0</vt:i4>
      </vt:variant>
      <vt:variant>
        <vt:i4>5</vt:i4>
      </vt:variant>
      <vt:variant>
        <vt:lpwstr/>
      </vt:variant>
      <vt:variant>
        <vt:lpwstr>_Toc286145904</vt:lpwstr>
      </vt:variant>
      <vt:variant>
        <vt:i4>1769529</vt:i4>
      </vt:variant>
      <vt:variant>
        <vt:i4>41</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35</vt:i4>
      </vt:variant>
      <vt:variant>
        <vt:i4>0</vt:i4>
      </vt:variant>
      <vt:variant>
        <vt:i4>5</vt:i4>
      </vt:variant>
      <vt:variant>
        <vt:lpwstr/>
      </vt:variant>
      <vt:variant>
        <vt:lpwstr>_Toc286145902</vt:lpwstr>
      </vt:variant>
      <vt:variant>
        <vt:i4>1769529</vt:i4>
      </vt:variant>
      <vt:variant>
        <vt:i4>32</vt:i4>
      </vt:variant>
      <vt:variant>
        <vt:i4>0</vt:i4>
      </vt:variant>
      <vt:variant>
        <vt:i4>5</vt:i4>
      </vt:variant>
      <vt:variant>
        <vt:lpwstr/>
      </vt:variant>
      <vt:variant>
        <vt:lpwstr>_Toc286145900</vt:lpwstr>
      </vt:variant>
      <vt:variant>
        <vt:i4>1769529</vt:i4>
      </vt:variant>
      <vt:variant>
        <vt:i4>29</vt:i4>
      </vt:variant>
      <vt:variant>
        <vt:i4>0</vt:i4>
      </vt:variant>
      <vt:variant>
        <vt:i4>5</vt:i4>
      </vt:variant>
      <vt:variant>
        <vt:lpwstr/>
      </vt:variant>
      <vt:variant>
        <vt:lpwstr>_Toc286145900</vt:lpwstr>
      </vt:variant>
      <vt:variant>
        <vt:i4>1769529</vt:i4>
      </vt:variant>
      <vt:variant>
        <vt:i4>23</vt:i4>
      </vt:variant>
      <vt:variant>
        <vt:i4>0</vt:i4>
      </vt:variant>
      <vt:variant>
        <vt:i4>5</vt:i4>
      </vt:variant>
      <vt:variant>
        <vt:lpwstr/>
      </vt:variant>
      <vt:variant>
        <vt:lpwstr>_Toc286145900</vt:lpwstr>
      </vt:variant>
      <vt:variant>
        <vt:i4>1769529</vt:i4>
      </vt:variant>
      <vt:variant>
        <vt:i4>20</vt:i4>
      </vt:variant>
      <vt:variant>
        <vt:i4>0</vt:i4>
      </vt:variant>
      <vt:variant>
        <vt:i4>5</vt:i4>
      </vt:variant>
      <vt:variant>
        <vt:lpwstr/>
      </vt:variant>
      <vt:variant>
        <vt:lpwstr>_Toc286145900</vt:lpwstr>
      </vt:variant>
      <vt:variant>
        <vt:i4>1769529</vt:i4>
      </vt:variant>
      <vt:variant>
        <vt:i4>17</vt:i4>
      </vt:variant>
      <vt:variant>
        <vt:i4>0</vt:i4>
      </vt:variant>
      <vt:variant>
        <vt:i4>5</vt:i4>
      </vt:variant>
      <vt:variant>
        <vt:lpwstr/>
      </vt:variant>
      <vt:variant>
        <vt:lpwstr>_Toc286145900</vt:lpwstr>
      </vt:variant>
      <vt:variant>
        <vt:i4>1769529</vt:i4>
      </vt:variant>
      <vt:variant>
        <vt:i4>14</vt:i4>
      </vt:variant>
      <vt:variant>
        <vt:i4>0</vt:i4>
      </vt:variant>
      <vt:variant>
        <vt:i4>5</vt:i4>
      </vt:variant>
      <vt:variant>
        <vt:lpwstr/>
      </vt:variant>
      <vt:variant>
        <vt:lpwstr>_Toc286145900</vt:lpwstr>
      </vt:variant>
      <vt:variant>
        <vt:i4>1179704</vt:i4>
      </vt:variant>
      <vt:variant>
        <vt:i4>11</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2013-04-17T13:11:00Z</dcterms:created>
  <dcterms:modified xsi:type="dcterms:W3CDTF">2013-04-17T13:43:00Z</dcterms:modified>
</cp:coreProperties>
</file>