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7E0C4" w14:textId="4FE26ECE" w:rsidR="004C267B" w:rsidRPr="008E4EFB" w:rsidRDefault="001C4A53" w:rsidP="00936B99">
      <w:pPr>
        <w:spacing w:after="0" w:line="360" w:lineRule="auto"/>
        <w:jc w:val="center"/>
        <w:rPr>
          <w:rFonts w:ascii="Times New Roman" w:hAnsi="Times New Roman" w:cs="Times New Roman"/>
          <w:sz w:val="24"/>
          <w:szCs w:val="24"/>
        </w:rPr>
      </w:pPr>
      <w:r w:rsidRPr="008E4EFB">
        <w:rPr>
          <w:rFonts w:ascii="Times New Roman" w:hAnsi="Times New Roman" w:cs="Times New Roman"/>
          <w:sz w:val="24"/>
          <w:szCs w:val="24"/>
        </w:rPr>
        <w:t xml:space="preserve">Mapping Global Environmental Change Under Current Conditions and </w:t>
      </w:r>
      <w:r w:rsidR="002B269D" w:rsidRPr="008E4EFB">
        <w:rPr>
          <w:rFonts w:ascii="Times New Roman" w:hAnsi="Times New Roman" w:cs="Times New Roman"/>
          <w:sz w:val="24"/>
          <w:szCs w:val="24"/>
        </w:rPr>
        <w:t xml:space="preserve">Projected </w:t>
      </w:r>
      <w:r w:rsidRPr="008E4EFB">
        <w:rPr>
          <w:rFonts w:ascii="Times New Roman" w:hAnsi="Times New Roman" w:cs="Times New Roman"/>
          <w:sz w:val="24"/>
          <w:szCs w:val="24"/>
        </w:rPr>
        <w:t>Future Climate Scenarios</w:t>
      </w:r>
      <w:r w:rsidR="001A1DC7" w:rsidRPr="008E4EFB">
        <w:rPr>
          <w:rFonts w:ascii="Times New Roman" w:hAnsi="Times New Roman" w:cs="Times New Roman"/>
          <w:sz w:val="24"/>
          <w:szCs w:val="24"/>
        </w:rPr>
        <w:t xml:space="preserve"> with Machine </w:t>
      </w:r>
      <w:r w:rsidR="00FE3EF6" w:rsidRPr="008E4EFB">
        <w:rPr>
          <w:rFonts w:ascii="Times New Roman" w:hAnsi="Times New Roman" w:cs="Times New Roman"/>
          <w:sz w:val="24"/>
          <w:szCs w:val="24"/>
        </w:rPr>
        <w:t>Learning</w:t>
      </w:r>
    </w:p>
    <w:p w14:paraId="7F898832" w14:textId="77777777" w:rsidR="00801CD4" w:rsidRDefault="00801CD4" w:rsidP="00936B99">
      <w:pPr>
        <w:spacing w:after="0" w:line="360" w:lineRule="auto"/>
        <w:jc w:val="center"/>
        <w:rPr>
          <w:rFonts w:ascii="Times New Roman" w:hAnsi="Times New Roman" w:cs="Times New Roman"/>
          <w:sz w:val="24"/>
          <w:szCs w:val="24"/>
        </w:rPr>
      </w:pPr>
    </w:p>
    <w:p w14:paraId="5546DFDC" w14:textId="77777777" w:rsidR="00D648E7" w:rsidRDefault="00D648E7" w:rsidP="00936B99">
      <w:pPr>
        <w:spacing w:after="0" w:line="360" w:lineRule="auto"/>
        <w:jc w:val="center"/>
        <w:rPr>
          <w:rFonts w:ascii="Times New Roman" w:hAnsi="Times New Roman" w:cs="Times New Roman"/>
          <w:sz w:val="24"/>
          <w:szCs w:val="24"/>
        </w:rPr>
      </w:pPr>
    </w:p>
    <w:p w14:paraId="6F007B50" w14:textId="77777777" w:rsidR="00D648E7" w:rsidRDefault="00D648E7" w:rsidP="00936B99">
      <w:pPr>
        <w:spacing w:after="0" w:line="360" w:lineRule="auto"/>
        <w:jc w:val="center"/>
        <w:rPr>
          <w:rFonts w:ascii="Times New Roman" w:hAnsi="Times New Roman" w:cs="Times New Roman"/>
          <w:sz w:val="24"/>
          <w:szCs w:val="24"/>
        </w:rPr>
      </w:pPr>
    </w:p>
    <w:p w14:paraId="3989A3E2" w14:textId="77777777" w:rsidR="00936B99" w:rsidRDefault="00936B99" w:rsidP="00936B99">
      <w:pPr>
        <w:spacing w:after="0" w:line="360" w:lineRule="auto"/>
        <w:jc w:val="center"/>
        <w:rPr>
          <w:rFonts w:ascii="Times New Roman" w:hAnsi="Times New Roman" w:cs="Times New Roman"/>
          <w:sz w:val="24"/>
          <w:szCs w:val="24"/>
        </w:rPr>
      </w:pPr>
    </w:p>
    <w:p w14:paraId="50DB2F4F" w14:textId="77777777" w:rsidR="00936B99" w:rsidRDefault="00936B99" w:rsidP="00936B99">
      <w:pPr>
        <w:spacing w:after="0" w:line="360" w:lineRule="auto"/>
        <w:jc w:val="center"/>
        <w:rPr>
          <w:rFonts w:ascii="Times New Roman" w:hAnsi="Times New Roman" w:cs="Times New Roman"/>
          <w:sz w:val="24"/>
          <w:szCs w:val="24"/>
        </w:rPr>
      </w:pPr>
    </w:p>
    <w:p w14:paraId="7E20BE7D" w14:textId="77777777" w:rsidR="00936B99" w:rsidRDefault="00936B99" w:rsidP="00936B99">
      <w:pPr>
        <w:spacing w:after="0" w:line="360" w:lineRule="auto"/>
        <w:jc w:val="center"/>
        <w:rPr>
          <w:rFonts w:ascii="Times New Roman" w:hAnsi="Times New Roman" w:cs="Times New Roman"/>
          <w:sz w:val="24"/>
          <w:szCs w:val="24"/>
        </w:rPr>
      </w:pPr>
    </w:p>
    <w:p w14:paraId="2037C37E" w14:textId="77777777" w:rsidR="00936B99" w:rsidRDefault="00936B99" w:rsidP="00936B99">
      <w:pPr>
        <w:spacing w:after="0" w:line="360" w:lineRule="auto"/>
        <w:jc w:val="center"/>
        <w:rPr>
          <w:rFonts w:ascii="Times New Roman" w:hAnsi="Times New Roman" w:cs="Times New Roman"/>
          <w:sz w:val="24"/>
          <w:szCs w:val="24"/>
        </w:rPr>
      </w:pPr>
    </w:p>
    <w:p w14:paraId="1C9FE011" w14:textId="77777777" w:rsidR="00936B99" w:rsidRDefault="00936B99" w:rsidP="00936B99">
      <w:pPr>
        <w:spacing w:after="0" w:line="360" w:lineRule="auto"/>
        <w:jc w:val="center"/>
        <w:rPr>
          <w:rFonts w:ascii="Times New Roman" w:hAnsi="Times New Roman" w:cs="Times New Roman"/>
          <w:sz w:val="24"/>
          <w:szCs w:val="24"/>
        </w:rPr>
      </w:pPr>
    </w:p>
    <w:p w14:paraId="5715A2A3" w14:textId="77777777" w:rsidR="00936B99" w:rsidRPr="008E4EFB" w:rsidRDefault="00936B99" w:rsidP="00936B99">
      <w:pPr>
        <w:spacing w:after="0" w:line="360" w:lineRule="auto"/>
        <w:jc w:val="center"/>
        <w:rPr>
          <w:rFonts w:ascii="Times New Roman" w:hAnsi="Times New Roman" w:cs="Times New Roman"/>
          <w:sz w:val="24"/>
          <w:szCs w:val="24"/>
        </w:rPr>
      </w:pPr>
    </w:p>
    <w:p w14:paraId="698C53A2" w14:textId="18EE0D86" w:rsidR="00E907B4" w:rsidRPr="008E4EFB" w:rsidRDefault="00E907B4" w:rsidP="00936B99">
      <w:pPr>
        <w:spacing w:after="0" w:line="360" w:lineRule="auto"/>
        <w:jc w:val="center"/>
        <w:rPr>
          <w:rFonts w:ascii="Times New Roman" w:hAnsi="Times New Roman" w:cs="Times New Roman"/>
          <w:sz w:val="24"/>
          <w:szCs w:val="24"/>
        </w:rPr>
      </w:pPr>
      <w:r w:rsidRPr="008E4EFB">
        <w:rPr>
          <w:rFonts w:ascii="Times New Roman" w:hAnsi="Times New Roman" w:cs="Times New Roman"/>
          <w:sz w:val="24"/>
          <w:szCs w:val="24"/>
        </w:rPr>
        <w:t xml:space="preserve">A Dissertation Presented for the </w:t>
      </w:r>
    </w:p>
    <w:p w14:paraId="66FFDA56" w14:textId="77777777" w:rsidR="00591CCD" w:rsidRPr="008E4EFB" w:rsidRDefault="00E907B4" w:rsidP="00936B99">
      <w:pPr>
        <w:spacing w:after="0" w:line="360" w:lineRule="auto"/>
        <w:jc w:val="center"/>
        <w:rPr>
          <w:rFonts w:ascii="Times New Roman" w:hAnsi="Times New Roman" w:cs="Times New Roman"/>
          <w:sz w:val="24"/>
          <w:szCs w:val="24"/>
        </w:rPr>
      </w:pPr>
      <w:r w:rsidRPr="008E4EFB">
        <w:rPr>
          <w:rFonts w:ascii="Times New Roman" w:hAnsi="Times New Roman" w:cs="Times New Roman"/>
          <w:sz w:val="24"/>
          <w:szCs w:val="24"/>
        </w:rPr>
        <w:t xml:space="preserve">Doctor of Philosophy </w:t>
      </w:r>
    </w:p>
    <w:p w14:paraId="605C5D06" w14:textId="0F2DB184" w:rsidR="00E907B4" w:rsidRPr="008E4EFB" w:rsidRDefault="00E907B4" w:rsidP="00936B99">
      <w:pPr>
        <w:spacing w:after="0" w:line="360" w:lineRule="auto"/>
        <w:jc w:val="center"/>
        <w:rPr>
          <w:rFonts w:ascii="Times New Roman" w:hAnsi="Times New Roman" w:cs="Times New Roman"/>
          <w:sz w:val="24"/>
          <w:szCs w:val="24"/>
        </w:rPr>
      </w:pPr>
      <w:r w:rsidRPr="008E4EFB">
        <w:rPr>
          <w:rFonts w:ascii="Times New Roman" w:hAnsi="Times New Roman" w:cs="Times New Roman"/>
          <w:sz w:val="24"/>
          <w:szCs w:val="24"/>
        </w:rPr>
        <w:t xml:space="preserve">Degree </w:t>
      </w:r>
    </w:p>
    <w:p w14:paraId="7A6B5276" w14:textId="77777777" w:rsidR="00E907B4" w:rsidRPr="008E4EFB" w:rsidRDefault="00E907B4" w:rsidP="00936B99">
      <w:pPr>
        <w:spacing w:after="0" w:line="360" w:lineRule="auto"/>
        <w:jc w:val="center"/>
        <w:rPr>
          <w:rFonts w:ascii="Times New Roman" w:hAnsi="Times New Roman" w:cs="Times New Roman"/>
          <w:sz w:val="24"/>
          <w:szCs w:val="24"/>
        </w:rPr>
      </w:pPr>
      <w:r w:rsidRPr="008E4EFB">
        <w:rPr>
          <w:rFonts w:ascii="Times New Roman" w:hAnsi="Times New Roman" w:cs="Times New Roman"/>
          <w:sz w:val="24"/>
          <w:szCs w:val="24"/>
        </w:rPr>
        <w:t xml:space="preserve">The University of Tennessee, Knoxville </w:t>
      </w:r>
    </w:p>
    <w:p w14:paraId="0958CC2C" w14:textId="77777777" w:rsidR="00E907B4" w:rsidRPr="008E4EFB" w:rsidRDefault="00E907B4" w:rsidP="00936B99">
      <w:pPr>
        <w:spacing w:after="0" w:line="360" w:lineRule="auto"/>
        <w:jc w:val="center"/>
        <w:rPr>
          <w:rFonts w:ascii="Times New Roman" w:hAnsi="Times New Roman" w:cs="Times New Roman"/>
          <w:sz w:val="24"/>
          <w:szCs w:val="24"/>
        </w:rPr>
      </w:pPr>
    </w:p>
    <w:p w14:paraId="2F70FD1C" w14:textId="77777777" w:rsidR="00591CCD" w:rsidRPr="008E4EFB" w:rsidRDefault="00591CCD" w:rsidP="00936B99">
      <w:pPr>
        <w:spacing w:after="0" w:line="360" w:lineRule="auto"/>
        <w:jc w:val="center"/>
        <w:rPr>
          <w:rFonts w:ascii="Times New Roman" w:hAnsi="Times New Roman" w:cs="Times New Roman"/>
          <w:sz w:val="24"/>
          <w:szCs w:val="24"/>
        </w:rPr>
      </w:pPr>
    </w:p>
    <w:p w14:paraId="65B45214" w14:textId="77777777" w:rsidR="00591CCD" w:rsidRPr="008E4EFB" w:rsidRDefault="00591CCD" w:rsidP="00936B99">
      <w:pPr>
        <w:spacing w:after="0" w:line="360" w:lineRule="auto"/>
        <w:jc w:val="center"/>
        <w:rPr>
          <w:rFonts w:ascii="Times New Roman" w:hAnsi="Times New Roman" w:cs="Times New Roman"/>
          <w:sz w:val="24"/>
          <w:szCs w:val="24"/>
        </w:rPr>
      </w:pPr>
    </w:p>
    <w:p w14:paraId="73FBCAE8" w14:textId="77777777" w:rsidR="00591CCD" w:rsidRPr="008E4EFB" w:rsidRDefault="00591CCD" w:rsidP="00936B99">
      <w:pPr>
        <w:spacing w:after="0" w:line="360" w:lineRule="auto"/>
        <w:jc w:val="center"/>
        <w:rPr>
          <w:rFonts w:ascii="Times New Roman" w:hAnsi="Times New Roman" w:cs="Times New Roman"/>
          <w:sz w:val="24"/>
          <w:szCs w:val="24"/>
        </w:rPr>
      </w:pPr>
    </w:p>
    <w:p w14:paraId="60E389F7" w14:textId="77777777" w:rsidR="00591CCD" w:rsidRPr="008E4EFB" w:rsidRDefault="00591CCD" w:rsidP="00936B99">
      <w:pPr>
        <w:spacing w:after="0" w:line="360" w:lineRule="auto"/>
        <w:jc w:val="center"/>
        <w:rPr>
          <w:rFonts w:ascii="Times New Roman" w:hAnsi="Times New Roman" w:cs="Times New Roman"/>
          <w:sz w:val="24"/>
          <w:szCs w:val="24"/>
        </w:rPr>
      </w:pPr>
    </w:p>
    <w:p w14:paraId="66BF6C3B" w14:textId="77777777" w:rsidR="00E907B4" w:rsidRPr="008E4EFB" w:rsidRDefault="00E907B4" w:rsidP="00936B99">
      <w:pPr>
        <w:spacing w:after="0" w:line="360" w:lineRule="auto"/>
        <w:jc w:val="center"/>
        <w:rPr>
          <w:rFonts w:ascii="Times New Roman" w:hAnsi="Times New Roman" w:cs="Times New Roman"/>
          <w:sz w:val="24"/>
          <w:szCs w:val="24"/>
        </w:rPr>
      </w:pPr>
    </w:p>
    <w:p w14:paraId="720BCE53" w14:textId="77777777" w:rsidR="00591CCD" w:rsidRPr="008E4EFB" w:rsidRDefault="00591CCD" w:rsidP="00936B99">
      <w:pPr>
        <w:spacing w:after="0" w:line="360" w:lineRule="auto"/>
        <w:jc w:val="center"/>
        <w:rPr>
          <w:rFonts w:ascii="Times New Roman" w:hAnsi="Times New Roman" w:cs="Times New Roman"/>
          <w:sz w:val="24"/>
          <w:szCs w:val="24"/>
        </w:rPr>
      </w:pPr>
    </w:p>
    <w:p w14:paraId="1FA3D526" w14:textId="77777777" w:rsidR="00591CCD" w:rsidRDefault="00591CCD" w:rsidP="00936B99">
      <w:pPr>
        <w:spacing w:after="0" w:line="360" w:lineRule="auto"/>
        <w:jc w:val="center"/>
        <w:rPr>
          <w:rFonts w:ascii="Times New Roman" w:hAnsi="Times New Roman" w:cs="Times New Roman"/>
          <w:sz w:val="24"/>
          <w:szCs w:val="24"/>
        </w:rPr>
      </w:pPr>
    </w:p>
    <w:p w14:paraId="396EA897" w14:textId="77777777" w:rsidR="00936B99" w:rsidRDefault="00936B99" w:rsidP="00936B99">
      <w:pPr>
        <w:spacing w:after="0" w:line="360" w:lineRule="auto"/>
        <w:jc w:val="center"/>
        <w:rPr>
          <w:rFonts w:ascii="Times New Roman" w:hAnsi="Times New Roman" w:cs="Times New Roman"/>
          <w:sz w:val="24"/>
          <w:szCs w:val="24"/>
        </w:rPr>
      </w:pPr>
    </w:p>
    <w:p w14:paraId="5DA6319C" w14:textId="77777777" w:rsidR="00936B99" w:rsidRDefault="00936B99" w:rsidP="00936B99">
      <w:pPr>
        <w:spacing w:after="0" w:line="360" w:lineRule="auto"/>
        <w:jc w:val="center"/>
        <w:rPr>
          <w:rFonts w:ascii="Times New Roman" w:hAnsi="Times New Roman" w:cs="Times New Roman"/>
          <w:sz w:val="24"/>
          <w:szCs w:val="24"/>
        </w:rPr>
      </w:pPr>
    </w:p>
    <w:p w14:paraId="22DF239F" w14:textId="77777777" w:rsidR="00936B99" w:rsidRDefault="00936B99" w:rsidP="00936B99">
      <w:pPr>
        <w:spacing w:after="0" w:line="360" w:lineRule="auto"/>
        <w:jc w:val="center"/>
        <w:rPr>
          <w:rFonts w:ascii="Times New Roman" w:hAnsi="Times New Roman" w:cs="Times New Roman"/>
          <w:sz w:val="24"/>
          <w:szCs w:val="24"/>
        </w:rPr>
      </w:pPr>
    </w:p>
    <w:p w14:paraId="235F42EE" w14:textId="77777777" w:rsidR="00936B99" w:rsidRDefault="00936B99" w:rsidP="00936B99">
      <w:pPr>
        <w:spacing w:after="0" w:line="360" w:lineRule="auto"/>
        <w:jc w:val="center"/>
        <w:rPr>
          <w:rFonts w:ascii="Times New Roman" w:hAnsi="Times New Roman" w:cs="Times New Roman"/>
          <w:sz w:val="24"/>
          <w:szCs w:val="24"/>
        </w:rPr>
      </w:pPr>
    </w:p>
    <w:p w14:paraId="053CF403" w14:textId="77777777" w:rsidR="00936B99" w:rsidRPr="008E4EFB" w:rsidRDefault="00936B99" w:rsidP="00936B99">
      <w:pPr>
        <w:spacing w:after="0" w:line="360" w:lineRule="auto"/>
        <w:jc w:val="center"/>
        <w:rPr>
          <w:rFonts w:ascii="Times New Roman" w:hAnsi="Times New Roman" w:cs="Times New Roman"/>
          <w:sz w:val="24"/>
          <w:szCs w:val="24"/>
        </w:rPr>
      </w:pPr>
    </w:p>
    <w:p w14:paraId="2CBA9738" w14:textId="58A7FD0B" w:rsidR="001C4A53" w:rsidRPr="008E4EFB" w:rsidRDefault="001C4A53" w:rsidP="00936B99">
      <w:pPr>
        <w:spacing w:after="0" w:line="360" w:lineRule="auto"/>
        <w:jc w:val="center"/>
        <w:rPr>
          <w:rFonts w:ascii="Times New Roman" w:hAnsi="Times New Roman" w:cs="Times New Roman"/>
          <w:sz w:val="24"/>
          <w:szCs w:val="24"/>
        </w:rPr>
      </w:pPr>
      <w:r w:rsidRPr="008E4EFB">
        <w:rPr>
          <w:rFonts w:ascii="Times New Roman" w:hAnsi="Times New Roman" w:cs="Times New Roman"/>
          <w:sz w:val="24"/>
          <w:szCs w:val="24"/>
        </w:rPr>
        <w:t>Hannah Rubin</w:t>
      </w:r>
    </w:p>
    <w:p w14:paraId="6C5D6B1D" w14:textId="1A53B907" w:rsidR="001C4A53" w:rsidRPr="008E4EFB" w:rsidRDefault="00801CD4" w:rsidP="00936B99">
      <w:pPr>
        <w:spacing w:after="0" w:line="360" w:lineRule="auto"/>
        <w:jc w:val="center"/>
        <w:rPr>
          <w:rFonts w:ascii="Times New Roman" w:hAnsi="Times New Roman" w:cs="Times New Roman"/>
          <w:sz w:val="24"/>
          <w:szCs w:val="24"/>
        </w:rPr>
      </w:pPr>
      <w:r w:rsidRPr="008E4EFB">
        <w:rPr>
          <w:rFonts w:ascii="Times New Roman" w:hAnsi="Times New Roman" w:cs="Times New Roman"/>
          <w:sz w:val="24"/>
          <w:szCs w:val="24"/>
        </w:rPr>
        <w:t>May</w:t>
      </w:r>
      <w:r w:rsidR="001C3BCA" w:rsidRPr="008E4EFB">
        <w:rPr>
          <w:rFonts w:ascii="Times New Roman" w:hAnsi="Times New Roman" w:cs="Times New Roman"/>
          <w:sz w:val="24"/>
          <w:szCs w:val="24"/>
        </w:rPr>
        <w:t xml:space="preserve"> 202</w:t>
      </w:r>
      <w:r w:rsidRPr="008E4EFB">
        <w:rPr>
          <w:rFonts w:ascii="Times New Roman" w:hAnsi="Times New Roman" w:cs="Times New Roman"/>
          <w:sz w:val="24"/>
          <w:szCs w:val="24"/>
        </w:rPr>
        <w:t>5</w:t>
      </w:r>
    </w:p>
    <w:p w14:paraId="0F98C20D" w14:textId="034302A4" w:rsidR="009745F2" w:rsidRPr="008E4EFB" w:rsidRDefault="001C4A53" w:rsidP="00936B99">
      <w:pPr>
        <w:spacing w:after="0" w:line="360" w:lineRule="auto"/>
        <w:jc w:val="center"/>
        <w:rPr>
          <w:rFonts w:ascii="Times New Roman" w:hAnsi="Times New Roman" w:cs="Times New Roman"/>
          <w:sz w:val="24"/>
          <w:szCs w:val="24"/>
        </w:rPr>
      </w:pPr>
      <w:r w:rsidRPr="008E4EFB">
        <w:rPr>
          <w:rFonts w:ascii="Times New Roman" w:hAnsi="Times New Roman" w:cs="Times New Roman"/>
          <w:sz w:val="24"/>
          <w:szCs w:val="24"/>
        </w:rPr>
        <w:br w:type="page"/>
      </w:r>
      <w:r w:rsidR="009745F2" w:rsidRPr="008E4EFB">
        <w:rPr>
          <w:rFonts w:ascii="Times New Roman" w:hAnsi="Times New Roman" w:cs="Times New Roman"/>
          <w:sz w:val="24"/>
          <w:szCs w:val="24"/>
        </w:rPr>
        <w:lastRenderedPageBreak/>
        <w:t>Acknowledgements</w:t>
      </w:r>
    </w:p>
    <w:p w14:paraId="7259315B" w14:textId="7E6528A8" w:rsidR="009745F2" w:rsidRPr="008E4EFB" w:rsidRDefault="009745F2" w:rsidP="004827BF">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First, I would like to thank my advisor, Dr. Joshua Fu, for his guidance and support. This work would not </w:t>
      </w:r>
      <w:r w:rsidR="00661CF5" w:rsidRPr="008E4EFB">
        <w:rPr>
          <w:rFonts w:ascii="Times New Roman" w:hAnsi="Times New Roman" w:cs="Times New Roman"/>
          <w:sz w:val="24"/>
          <w:szCs w:val="24"/>
        </w:rPr>
        <w:t>have been</w:t>
      </w:r>
      <w:r w:rsidRPr="008E4EFB">
        <w:rPr>
          <w:rFonts w:ascii="Times New Roman" w:hAnsi="Times New Roman" w:cs="Times New Roman"/>
          <w:sz w:val="24"/>
          <w:szCs w:val="24"/>
        </w:rPr>
        <w:t xml:space="preserve"> possible without him. </w:t>
      </w:r>
      <w:r w:rsidR="006D2C1A" w:rsidRPr="008E4EFB">
        <w:rPr>
          <w:rFonts w:ascii="Times New Roman" w:hAnsi="Times New Roman" w:cs="Times New Roman"/>
          <w:sz w:val="24"/>
          <w:szCs w:val="24"/>
        </w:rPr>
        <w:t xml:space="preserve">His </w:t>
      </w:r>
      <w:r w:rsidR="002244D7" w:rsidRPr="008E4EFB">
        <w:rPr>
          <w:rFonts w:ascii="Times New Roman" w:hAnsi="Times New Roman" w:cs="Times New Roman"/>
          <w:sz w:val="24"/>
          <w:szCs w:val="24"/>
        </w:rPr>
        <w:t xml:space="preserve">patience, commitment to quality, and work ethic have provided an outstanding example of </w:t>
      </w:r>
      <w:r w:rsidR="0072742D" w:rsidRPr="008E4EFB">
        <w:rPr>
          <w:rFonts w:ascii="Times New Roman" w:hAnsi="Times New Roman" w:cs="Times New Roman"/>
          <w:sz w:val="24"/>
          <w:szCs w:val="24"/>
        </w:rPr>
        <w:t xml:space="preserve">how to conduct good scientific research. </w:t>
      </w:r>
    </w:p>
    <w:p w14:paraId="62C75895" w14:textId="12196602" w:rsidR="009745F2" w:rsidRPr="008E4EFB" w:rsidRDefault="009745F2" w:rsidP="004827BF">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I would like to thank my committee members, Dr. Forres</w:t>
      </w:r>
      <w:r w:rsidR="00661CF5" w:rsidRPr="008E4EFB">
        <w:rPr>
          <w:rFonts w:ascii="Times New Roman" w:hAnsi="Times New Roman" w:cs="Times New Roman"/>
          <w:sz w:val="24"/>
          <w:szCs w:val="24"/>
        </w:rPr>
        <w:t>t</w:t>
      </w:r>
      <w:r w:rsidRPr="008E4EFB">
        <w:rPr>
          <w:rFonts w:ascii="Times New Roman" w:hAnsi="Times New Roman" w:cs="Times New Roman"/>
          <w:sz w:val="24"/>
          <w:szCs w:val="24"/>
        </w:rPr>
        <w:t xml:space="preserve"> Hoffman, Dr. Peter Thornton, Dr. Edward Yu, and Dr</w:t>
      </w:r>
      <w:r w:rsidR="00661CF5" w:rsidRPr="008E4EFB">
        <w:rPr>
          <w:rFonts w:ascii="Times New Roman" w:hAnsi="Times New Roman" w:cs="Times New Roman"/>
          <w:sz w:val="24"/>
          <w:szCs w:val="24"/>
        </w:rPr>
        <w:t>.</w:t>
      </w:r>
      <w:r w:rsidRPr="008E4EFB">
        <w:rPr>
          <w:rFonts w:ascii="Times New Roman" w:hAnsi="Times New Roman" w:cs="Times New Roman"/>
          <w:sz w:val="24"/>
          <w:szCs w:val="24"/>
        </w:rPr>
        <w:t xml:space="preserve"> Jia </w:t>
      </w:r>
      <w:r w:rsidR="005D789A" w:rsidRPr="008E4EFB">
        <w:rPr>
          <w:rFonts w:ascii="Times New Roman" w:hAnsi="Times New Roman" w:cs="Times New Roman"/>
          <w:sz w:val="24"/>
          <w:szCs w:val="24"/>
        </w:rPr>
        <w:t>Xi</w:t>
      </w:r>
      <w:r w:rsidRPr="008E4EFB">
        <w:rPr>
          <w:rFonts w:ascii="Times New Roman" w:hAnsi="Times New Roman" w:cs="Times New Roman"/>
          <w:sz w:val="24"/>
          <w:szCs w:val="24"/>
        </w:rPr>
        <w:t xml:space="preserve">ng. Their comments and suggestions greatly improved the quality of this research. </w:t>
      </w:r>
    </w:p>
    <w:p w14:paraId="70DE0697" w14:textId="1C5E1C73" w:rsidR="00DE500F" w:rsidRPr="008E4EFB" w:rsidRDefault="009745F2" w:rsidP="004827BF">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I am also thankful for the other members of our research group, </w:t>
      </w:r>
      <w:r w:rsidR="008F7367" w:rsidRPr="008E4EFB">
        <w:rPr>
          <w:rFonts w:ascii="Times New Roman" w:hAnsi="Times New Roman" w:cs="Times New Roman"/>
          <w:sz w:val="24"/>
          <w:szCs w:val="24"/>
        </w:rPr>
        <w:t xml:space="preserve">both past and present: </w:t>
      </w:r>
      <w:r w:rsidRPr="008E4EFB">
        <w:rPr>
          <w:rFonts w:ascii="Times New Roman" w:hAnsi="Times New Roman" w:cs="Times New Roman"/>
          <w:sz w:val="24"/>
          <w:szCs w:val="24"/>
        </w:rPr>
        <w:t>Leyuan Zhang, Rong-You Ch</w:t>
      </w:r>
      <w:r w:rsidR="00D75F3F" w:rsidRPr="008E4EFB">
        <w:rPr>
          <w:rFonts w:ascii="Times New Roman" w:hAnsi="Times New Roman" w:cs="Times New Roman"/>
          <w:sz w:val="24"/>
          <w:szCs w:val="24"/>
        </w:rPr>
        <w:t>i</w:t>
      </w:r>
      <w:r w:rsidRPr="008E4EFB">
        <w:rPr>
          <w:rFonts w:ascii="Times New Roman" w:hAnsi="Times New Roman" w:cs="Times New Roman"/>
          <w:sz w:val="24"/>
          <w:szCs w:val="24"/>
        </w:rPr>
        <w:t>en, CP Kuo, Cheng-En Yang, Matthew Tipton, G. Andrew Ferrada</w:t>
      </w:r>
      <w:r w:rsidR="00FF6FAD" w:rsidRPr="008E4EFB">
        <w:rPr>
          <w:rFonts w:ascii="Times New Roman" w:hAnsi="Times New Roman" w:cs="Times New Roman"/>
          <w:sz w:val="24"/>
          <w:szCs w:val="24"/>
        </w:rPr>
        <w:t>, and Valeria Campos</w:t>
      </w:r>
      <w:r w:rsidRPr="008E4EFB">
        <w:rPr>
          <w:rFonts w:ascii="Times New Roman" w:hAnsi="Times New Roman" w:cs="Times New Roman"/>
          <w:sz w:val="24"/>
          <w:szCs w:val="24"/>
        </w:rPr>
        <w:t xml:space="preserve">. </w:t>
      </w:r>
      <w:r w:rsidR="00FF6FAD" w:rsidRPr="008E4EFB">
        <w:rPr>
          <w:rFonts w:ascii="Times New Roman" w:hAnsi="Times New Roman" w:cs="Times New Roman"/>
          <w:sz w:val="24"/>
          <w:szCs w:val="24"/>
        </w:rPr>
        <w:t xml:space="preserve">I appreciate the insightful discussions and </w:t>
      </w:r>
      <w:r w:rsidR="00936260" w:rsidRPr="008E4EFB">
        <w:rPr>
          <w:rFonts w:ascii="Times New Roman" w:hAnsi="Times New Roman" w:cs="Times New Roman"/>
          <w:sz w:val="24"/>
          <w:szCs w:val="24"/>
        </w:rPr>
        <w:t xml:space="preserve">camaraderie. </w:t>
      </w:r>
    </w:p>
    <w:p w14:paraId="6D444AF3" w14:textId="77777777" w:rsidR="00656421" w:rsidRPr="008E4EFB" w:rsidRDefault="009745F2" w:rsidP="00ED686E">
      <w:pPr>
        <w:spacing w:line="240" w:lineRule="auto"/>
        <w:jc w:val="center"/>
        <w:rPr>
          <w:rFonts w:ascii="Times New Roman" w:hAnsi="Times New Roman" w:cs="Times New Roman"/>
          <w:sz w:val="24"/>
          <w:szCs w:val="24"/>
        </w:rPr>
      </w:pPr>
      <w:r w:rsidRPr="008E4EFB">
        <w:rPr>
          <w:rFonts w:ascii="Times New Roman" w:hAnsi="Times New Roman" w:cs="Times New Roman"/>
          <w:sz w:val="24"/>
          <w:szCs w:val="24"/>
        </w:rPr>
        <w:br w:type="page"/>
      </w:r>
      <w:r w:rsidRPr="008E4EFB">
        <w:rPr>
          <w:rFonts w:ascii="Times New Roman" w:hAnsi="Times New Roman" w:cs="Times New Roman"/>
          <w:sz w:val="24"/>
          <w:szCs w:val="24"/>
        </w:rPr>
        <w:lastRenderedPageBreak/>
        <w:t xml:space="preserve">Abstract </w:t>
      </w:r>
    </w:p>
    <w:p w14:paraId="239903BC" w14:textId="535695C2" w:rsidR="009745F2" w:rsidRPr="008E4EFB" w:rsidRDefault="0076497F" w:rsidP="004827BF">
      <w:pPr>
        <w:pStyle w:val="Subheading"/>
        <w:spacing w:after="0" w:line="360" w:lineRule="auto"/>
      </w:pPr>
      <w:r w:rsidRPr="008E4EFB">
        <w:t xml:space="preserve">Anthropogenic climate change </w:t>
      </w:r>
      <w:r w:rsidR="005E15D1" w:rsidRPr="008E4EFB">
        <w:t>is</w:t>
      </w:r>
      <w:r w:rsidR="00220C9E" w:rsidRPr="008E4EFB">
        <w:t xml:space="preserve"> the greatest threat our world faces</w:t>
      </w:r>
      <w:r w:rsidRPr="008E4EFB">
        <w:t>.</w:t>
      </w:r>
      <w:r w:rsidR="00592D0E" w:rsidRPr="008E4EFB">
        <w:t xml:space="preserve"> </w:t>
      </w:r>
      <w:r w:rsidRPr="008E4EFB">
        <w:t>Because the impacts of climate change are linked to location, mapping is a meaningful way to convey results</w:t>
      </w:r>
      <w:r w:rsidR="00943485" w:rsidRPr="008E4EFB">
        <w:t xml:space="preserve">. </w:t>
      </w:r>
      <w:r w:rsidRPr="008E4EFB">
        <w:t xml:space="preserve">I map 3 different phenomena and investigate methodological improvements and the associated uncertainty of acid deposition, heat waves, and soil organic </w:t>
      </w:r>
      <w:r w:rsidR="00F86082" w:rsidRPr="008E4EFB">
        <w:t xml:space="preserve">carbon. </w:t>
      </w:r>
      <w:r w:rsidR="005A7FF6" w:rsidRPr="008E4EFB">
        <w:t>My research on acid deposition</w:t>
      </w:r>
      <w:r w:rsidRPr="008E4EFB">
        <w:t xml:space="preserve"> updates the 2010 global budget for reactive nitrogen and sulfur components, improving the results of models from the second phase of the United Nation’s Task Force on Hemispheric Transport of Air Pollution (HTAP-II). </w:t>
      </w:r>
      <w:r w:rsidR="007B1B43" w:rsidRPr="008E4EFB">
        <w:t>My</w:t>
      </w:r>
      <w:r w:rsidRPr="008E4EFB">
        <w:t xml:space="preserve"> analysis </w:t>
      </w:r>
      <w:r w:rsidR="00051A55" w:rsidRPr="008E4EFB">
        <w:t>is</w:t>
      </w:r>
      <w:r w:rsidRPr="008E4EFB">
        <w:t xml:space="preserve"> a step toward</w:t>
      </w:r>
      <w:r w:rsidR="00051A55" w:rsidRPr="008E4EFB">
        <w:t>s</w:t>
      </w:r>
      <w:r w:rsidRPr="008E4EFB">
        <w:t xml:space="preserve"> the World Meteorological Organization’s goal of global products for mapping harmful air pollution.</w:t>
      </w:r>
      <w:r w:rsidR="00584A19" w:rsidRPr="008E4EFB">
        <w:t xml:space="preserve"> </w:t>
      </w:r>
      <w:r w:rsidR="0096665D" w:rsidRPr="008E4EFB">
        <w:t xml:space="preserve">Acid </w:t>
      </w:r>
      <w:proofErr w:type="gramStart"/>
      <w:r w:rsidR="0096665D" w:rsidRPr="008E4EFB">
        <w:t>deposition</w:t>
      </w:r>
      <w:proofErr w:type="gramEnd"/>
      <w:r w:rsidR="0096665D" w:rsidRPr="008E4EFB">
        <w:t xml:space="preserve"> is also relevant </w:t>
      </w:r>
      <w:r w:rsidR="00051A55" w:rsidRPr="008E4EFB">
        <w:t>to</w:t>
      </w:r>
      <w:r w:rsidR="0096665D" w:rsidRPr="008E4EFB">
        <w:t xml:space="preserve"> the future climate; one </w:t>
      </w:r>
      <w:r w:rsidRPr="008E4EFB">
        <w:t>potential</w:t>
      </w:r>
      <w:r w:rsidR="000E79BA" w:rsidRPr="008E4EFB">
        <w:t xml:space="preserve"> r</w:t>
      </w:r>
      <w:r w:rsidRPr="008E4EFB">
        <w:t xml:space="preserve">esponse </w:t>
      </w:r>
      <w:r w:rsidR="0096665D" w:rsidRPr="008E4EFB">
        <w:t xml:space="preserve">to climate change </w:t>
      </w:r>
      <w:r w:rsidRPr="008E4EFB">
        <w:t xml:space="preserve">is stratospheric aerosol injection (SAI), where sulfur dioxide </w:t>
      </w:r>
      <w:r w:rsidR="000E79BA" w:rsidRPr="008E4EFB">
        <w:t>is</w:t>
      </w:r>
      <w:r w:rsidRPr="008E4EFB">
        <w:t xml:space="preserve"> </w:t>
      </w:r>
      <w:r w:rsidR="000E79BA" w:rsidRPr="008E4EFB">
        <w:t>injected</w:t>
      </w:r>
      <w:r w:rsidRPr="008E4EFB">
        <w:t xml:space="preserve"> into the stratosphere to block incoming solar radiation</w:t>
      </w:r>
      <w:r w:rsidR="0073217B" w:rsidRPr="008E4EFB">
        <w:t>.</w:t>
      </w:r>
      <w:r w:rsidRPr="008E4EFB">
        <w:t xml:space="preserve"> </w:t>
      </w:r>
      <w:r w:rsidR="0096665D" w:rsidRPr="008E4EFB">
        <w:t>I use</w:t>
      </w:r>
      <w:r w:rsidRPr="008E4EFB">
        <w:t xml:space="preserve"> outputs from the Geoengineering Model Intercomparison Project (GeoMIP) to track sulfur deposition from SAI through comparison with historical climate and two future Shared Socioeconomic Pathway</w:t>
      </w:r>
      <w:r w:rsidR="00497727" w:rsidRPr="008E4EFB">
        <w:t>s</w:t>
      </w:r>
      <w:r w:rsidRPr="008E4EFB">
        <w:t xml:space="preserve"> (SSP</w:t>
      </w:r>
      <w:r w:rsidR="00497727" w:rsidRPr="008E4EFB">
        <w:t>s)</w:t>
      </w:r>
      <w:r w:rsidRPr="008E4EFB">
        <w:t>. My research emphasizes the lack of agreement between models and the importance of resolving these conflicts</w:t>
      </w:r>
      <w:r w:rsidR="00497727" w:rsidRPr="008E4EFB">
        <w:t>.</w:t>
      </w:r>
      <w:r w:rsidR="001B3E06" w:rsidRPr="008E4EFB">
        <w:t xml:space="preserve"> </w:t>
      </w:r>
      <w:r w:rsidR="0065565C" w:rsidRPr="008E4EFB">
        <w:t>The</w:t>
      </w:r>
      <w:r w:rsidRPr="008E4EFB">
        <w:t xml:space="preserve"> most common and recognizable climate change indicators are those related to temperature</w:t>
      </w:r>
      <w:r w:rsidR="0096665D" w:rsidRPr="008E4EFB">
        <w:t>.</w:t>
      </w:r>
      <w:r w:rsidRPr="008E4EFB">
        <w:t xml:space="preserve"> </w:t>
      </w:r>
      <w:r w:rsidRPr="008E4EFB">
        <w:rPr>
          <w:rFonts w:eastAsia="Times New Roman"/>
        </w:rPr>
        <w:t>However</w:t>
      </w:r>
      <w:r w:rsidR="0096665D" w:rsidRPr="008E4EFB">
        <w:rPr>
          <w:rFonts w:eastAsia="Times New Roman"/>
        </w:rPr>
        <w:t>, mos</w:t>
      </w:r>
      <w:r w:rsidRPr="008E4EFB">
        <w:rPr>
          <w:rFonts w:eastAsia="Times New Roman"/>
        </w:rPr>
        <w:t xml:space="preserve">t studies rely on </w:t>
      </w:r>
      <w:r w:rsidR="007B1B43" w:rsidRPr="008E4EFB">
        <w:rPr>
          <w:rFonts w:eastAsia="Times New Roman"/>
        </w:rPr>
        <w:t>a</w:t>
      </w:r>
      <w:r w:rsidRPr="008E4EFB">
        <w:rPr>
          <w:rFonts w:eastAsia="Times New Roman"/>
        </w:rPr>
        <w:t xml:space="preserve"> single dynamically downscaled model or an ensemble of statistically downscaled models</w:t>
      </w:r>
      <w:r w:rsidR="00497727" w:rsidRPr="008E4EFB">
        <w:rPr>
          <w:rFonts w:eastAsia="Times New Roman"/>
        </w:rPr>
        <w:t xml:space="preserve">. </w:t>
      </w:r>
      <w:r w:rsidRPr="008E4EFB">
        <w:rPr>
          <w:rFonts w:eastAsia="Times New Roman"/>
        </w:rPr>
        <w:t>My work evaluate</w:t>
      </w:r>
      <w:r w:rsidR="0096665D" w:rsidRPr="008E4EFB">
        <w:rPr>
          <w:rFonts w:eastAsia="Times New Roman"/>
        </w:rPr>
        <w:t>s</w:t>
      </w:r>
      <w:r w:rsidRPr="008E4EFB">
        <w:rPr>
          <w:rFonts w:eastAsia="Times New Roman"/>
        </w:rPr>
        <w:t xml:space="preserve"> future heat wave risk </w:t>
      </w:r>
      <w:r w:rsidR="0097740C" w:rsidRPr="008E4EFB">
        <w:rPr>
          <w:rFonts w:eastAsia="Times New Roman"/>
        </w:rPr>
        <w:t>in</w:t>
      </w:r>
      <w:r w:rsidRPr="008E4EFB">
        <w:rPr>
          <w:rFonts w:eastAsia="Times New Roman"/>
        </w:rPr>
        <w:t xml:space="preserve"> the US with an ensemble of dynamically downscaled models and an ensemble of statistically downscaled models</w:t>
      </w:r>
      <w:r w:rsidRPr="008E4EFB">
        <w:t>. My results emphasize the importance of state-of-the-science modeling techniques for fine-resolution, domain-specific climate projections. In order to mitigate climate change</w:t>
      </w:r>
      <w:r w:rsidR="00AA7315" w:rsidRPr="008E4EFB">
        <w:t>,</w:t>
      </w:r>
      <w:r w:rsidRPr="008E4EFB">
        <w:t xml:space="preserve"> decarbonizing many industries will need to be a priority</w:t>
      </w:r>
      <w:r w:rsidR="005A7FF6" w:rsidRPr="008E4EFB">
        <w:t>.</w:t>
      </w:r>
      <w:r w:rsidRPr="008E4EFB">
        <w:t xml:space="preserve"> </w:t>
      </w:r>
      <w:r w:rsidR="008A4488" w:rsidRPr="008E4EFB">
        <w:t>A requirement of this work</w:t>
      </w:r>
      <w:r w:rsidR="0096665D" w:rsidRPr="008E4EFB">
        <w:t xml:space="preserve"> </w:t>
      </w:r>
      <w:r w:rsidRPr="008E4EFB">
        <w:t xml:space="preserve">is </w:t>
      </w:r>
      <w:r w:rsidR="008A4488" w:rsidRPr="008E4EFB">
        <w:t>an understanding of baseline</w:t>
      </w:r>
      <w:r w:rsidRPr="008E4EFB">
        <w:t xml:space="preserve"> soil organic carbon (SOC</w:t>
      </w:r>
      <w:r w:rsidR="008A4488" w:rsidRPr="008E4EFB">
        <w:t>), before it is modified</w:t>
      </w:r>
      <w:r w:rsidRPr="008E4EFB">
        <w:t>. My research focuses on SOC in the US from the 1980s to the present day</w:t>
      </w:r>
      <w:r w:rsidR="002A01FA" w:rsidRPr="008E4EFB">
        <w:t xml:space="preserve">. </w:t>
      </w:r>
      <w:r w:rsidRPr="008E4EFB">
        <w:t>I incorporate satellite imagery</w:t>
      </w:r>
      <w:r w:rsidR="008A4488" w:rsidRPr="008E4EFB">
        <w:t>,</w:t>
      </w:r>
      <w:r w:rsidRPr="008E4EFB">
        <w:t xml:space="preserve"> climatic</w:t>
      </w:r>
      <w:r w:rsidR="002A01FA" w:rsidRPr="008E4EFB">
        <w:t xml:space="preserve"> and</w:t>
      </w:r>
      <w:r w:rsidRPr="008E4EFB">
        <w:t xml:space="preserve"> land use variables</w:t>
      </w:r>
      <w:r w:rsidR="008A4488" w:rsidRPr="008E4EFB">
        <w:t>,</w:t>
      </w:r>
      <w:r w:rsidRPr="008E4EFB">
        <w:t xml:space="preserve"> and apply machine learning methods to produce high resolution, temporally and spatially continuous maps</w:t>
      </w:r>
      <w:r w:rsidR="002A01FA" w:rsidRPr="008E4EFB">
        <w:t xml:space="preserve">. </w:t>
      </w:r>
      <w:r w:rsidRPr="008E4EFB">
        <w:t>Overall, my research aims to bring clarity to complex,</w:t>
      </w:r>
      <w:r w:rsidR="00964429" w:rsidRPr="008E4EFB">
        <w:t xml:space="preserve"> </w:t>
      </w:r>
      <w:r w:rsidRPr="008E4EFB">
        <w:t xml:space="preserve">multidimensional data through mapping techniques and thorough analysis. </w:t>
      </w:r>
      <w:r w:rsidR="009745F2" w:rsidRPr="008E4EFB">
        <w:br w:type="page"/>
      </w:r>
    </w:p>
    <w:sdt>
      <w:sdtPr>
        <w:rPr>
          <w:rFonts w:asciiTheme="minorHAnsi" w:eastAsiaTheme="minorHAnsi" w:hAnsiTheme="minorHAnsi" w:cstheme="minorBidi"/>
          <w:sz w:val="24"/>
          <w:szCs w:val="24"/>
        </w:rPr>
        <w:id w:val="345137923"/>
        <w:docPartObj>
          <w:docPartGallery w:val="Table of Contents"/>
          <w:docPartUnique/>
        </w:docPartObj>
      </w:sdtPr>
      <w:sdtEndPr>
        <w:rPr>
          <w:noProof/>
        </w:rPr>
      </w:sdtEndPr>
      <w:sdtContent>
        <w:p w14:paraId="63BAED91" w14:textId="5DBF9D9F" w:rsidR="00BB40C9" w:rsidRPr="008E4EFB" w:rsidRDefault="00812C6D" w:rsidP="00936B99">
          <w:pPr>
            <w:pStyle w:val="TOCHeading"/>
            <w:numPr>
              <w:ilvl w:val="0"/>
              <w:numId w:val="0"/>
            </w:numPr>
            <w:spacing w:before="0" w:line="360" w:lineRule="auto"/>
            <w:jc w:val="center"/>
            <w:rPr>
              <w:sz w:val="24"/>
              <w:szCs w:val="24"/>
            </w:rPr>
          </w:pPr>
          <w:r w:rsidRPr="008E4EFB">
            <w:rPr>
              <w:rFonts w:eastAsiaTheme="minorHAnsi"/>
              <w:sz w:val="24"/>
              <w:szCs w:val="24"/>
            </w:rPr>
            <w:t xml:space="preserve">Table of </w:t>
          </w:r>
          <w:r w:rsidR="00BB40C9" w:rsidRPr="008E4EFB">
            <w:rPr>
              <w:sz w:val="24"/>
              <w:szCs w:val="24"/>
            </w:rPr>
            <w:t>Contents</w:t>
          </w:r>
        </w:p>
        <w:p w14:paraId="156C8837" w14:textId="2115BDB4" w:rsidR="00C410C7" w:rsidRPr="008E4EFB" w:rsidRDefault="00BB40C9" w:rsidP="00936B99">
          <w:pPr>
            <w:pStyle w:val="TOC1"/>
            <w:tabs>
              <w:tab w:val="right" w:leader="dot" w:pos="9350"/>
            </w:tabs>
            <w:spacing w:after="0" w:line="360" w:lineRule="auto"/>
            <w:rPr>
              <w:rFonts w:ascii="Times New Roman" w:hAnsi="Times New Roman"/>
              <w:noProof/>
              <w:kern w:val="2"/>
              <w:sz w:val="24"/>
              <w:szCs w:val="24"/>
              <w14:ligatures w14:val="standardContextual"/>
            </w:rPr>
          </w:pPr>
          <w:r w:rsidRPr="008E4EFB">
            <w:rPr>
              <w:rFonts w:ascii="Times New Roman" w:hAnsi="Times New Roman"/>
              <w:sz w:val="24"/>
              <w:szCs w:val="24"/>
            </w:rPr>
            <w:fldChar w:fldCharType="begin"/>
          </w:r>
          <w:r w:rsidRPr="008E4EFB">
            <w:rPr>
              <w:rFonts w:ascii="Times New Roman" w:hAnsi="Times New Roman"/>
              <w:sz w:val="24"/>
              <w:szCs w:val="24"/>
            </w:rPr>
            <w:instrText xml:space="preserve"> TOC \o "1-3" \h \z \u </w:instrText>
          </w:r>
          <w:r w:rsidRPr="008E4EFB">
            <w:rPr>
              <w:rFonts w:ascii="Times New Roman" w:hAnsi="Times New Roman"/>
              <w:sz w:val="24"/>
              <w:szCs w:val="24"/>
            </w:rPr>
            <w:fldChar w:fldCharType="separate"/>
          </w:r>
          <w:hyperlink w:anchor="_Toc179917960" w:history="1">
            <w:r w:rsidR="00C410C7" w:rsidRPr="008E4EFB">
              <w:rPr>
                <w:rStyle w:val="Hyperlink"/>
                <w:rFonts w:ascii="Times New Roman" w:hAnsi="Times New Roman"/>
                <w:noProof/>
                <w:color w:val="auto"/>
                <w:sz w:val="24"/>
                <w:szCs w:val="24"/>
              </w:rPr>
              <w:t>Chapter 1 Introduction</w:t>
            </w:r>
            <w:r w:rsidR="00C410C7" w:rsidRPr="008E4EFB">
              <w:rPr>
                <w:rFonts w:ascii="Times New Roman" w:hAnsi="Times New Roman"/>
                <w:noProof/>
                <w:webHidden/>
                <w:sz w:val="24"/>
                <w:szCs w:val="24"/>
              </w:rPr>
              <w:tab/>
            </w:r>
            <w:r w:rsidR="00C410C7" w:rsidRPr="008E4EFB">
              <w:rPr>
                <w:rFonts w:ascii="Times New Roman" w:hAnsi="Times New Roman"/>
                <w:noProof/>
                <w:webHidden/>
                <w:sz w:val="24"/>
                <w:szCs w:val="24"/>
              </w:rPr>
              <w:fldChar w:fldCharType="begin"/>
            </w:r>
            <w:r w:rsidR="00C410C7" w:rsidRPr="008E4EFB">
              <w:rPr>
                <w:rFonts w:ascii="Times New Roman" w:hAnsi="Times New Roman"/>
                <w:noProof/>
                <w:webHidden/>
                <w:sz w:val="24"/>
                <w:szCs w:val="24"/>
              </w:rPr>
              <w:instrText xml:space="preserve"> PAGEREF _Toc179917960 \h </w:instrText>
            </w:r>
            <w:r w:rsidR="00C410C7" w:rsidRPr="008E4EFB">
              <w:rPr>
                <w:rFonts w:ascii="Times New Roman" w:hAnsi="Times New Roman"/>
                <w:noProof/>
                <w:webHidden/>
                <w:sz w:val="24"/>
                <w:szCs w:val="24"/>
              </w:rPr>
            </w:r>
            <w:r w:rsidR="00C410C7"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1</w:t>
            </w:r>
            <w:r w:rsidR="00C410C7" w:rsidRPr="008E4EFB">
              <w:rPr>
                <w:rFonts w:ascii="Times New Roman" w:hAnsi="Times New Roman"/>
                <w:noProof/>
                <w:webHidden/>
                <w:sz w:val="24"/>
                <w:szCs w:val="24"/>
              </w:rPr>
              <w:fldChar w:fldCharType="end"/>
            </w:r>
          </w:hyperlink>
        </w:p>
        <w:p w14:paraId="7FB26451" w14:textId="10F15699"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61" w:history="1">
            <w:r w:rsidRPr="008E4EFB">
              <w:rPr>
                <w:rStyle w:val="Hyperlink"/>
                <w:rFonts w:ascii="Times New Roman" w:hAnsi="Times New Roman"/>
                <w:noProof/>
                <w:color w:val="auto"/>
                <w:sz w:val="24"/>
                <w:szCs w:val="24"/>
              </w:rPr>
              <w:t>1.1</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Global Environmental Change: Motivations for Research</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_Toc179917961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1</w:t>
            </w:r>
            <w:r w:rsidRPr="008E4EFB">
              <w:rPr>
                <w:rFonts w:ascii="Times New Roman" w:hAnsi="Times New Roman"/>
                <w:noProof/>
                <w:webHidden/>
                <w:sz w:val="24"/>
                <w:szCs w:val="24"/>
              </w:rPr>
              <w:fldChar w:fldCharType="end"/>
            </w:r>
          </w:hyperlink>
        </w:p>
        <w:p w14:paraId="79BF7C6C" w14:textId="7721702A" w:rsidR="00C410C7" w:rsidRPr="008E4EFB" w:rsidRDefault="00C410C7" w:rsidP="00936B99">
          <w:pPr>
            <w:pStyle w:val="TOC1"/>
            <w:tabs>
              <w:tab w:val="right" w:leader="dot" w:pos="9350"/>
            </w:tabs>
            <w:spacing w:after="0" w:line="360" w:lineRule="auto"/>
            <w:rPr>
              <w:rFonts w:ascii="Times New Roman" w:hAnsi="Times New Roman"/>
              <w:noProof/>
              <w:kern w:val="2"/>
              <w:sz w:val="24"/>
              <w:szCs w:val="24"/>
              <w14:ligatures w14:val="standardContextual"/>
            </w:rPr>
          </w:pPr>
          <w:hyperlink w:anchor="_Toc179917962" w:history="1">
            <w:r w:rsidRPr="008E4EFB">
              <w:rPr>
                <w:rStyle w:val="Hyperlink"/>
                <w:rFonts w:ascii="Times New Roman" w:hAnsi="Times New Roman"/>
                <w:noProof/>
                <w:color w:val="auto"/>
                <w:sz w:val="24"/>
                <w:szCs w:val="24"/>
              </w:rPr>
              <w:t>Chapter 2 Global Nitrogen and Sulfur Mapping Using a Measurement-Model Fusion Approach</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_Toc179917962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4</w:t>
            </w:r>
            <w:r w:rsidRPr="008E4EFB">
              <w:rPr>
                <w:rFonts w:ascii="Times New Roman" w:hAnsi="Times New Roman"/>
                <w:noProof/>
                <w:webHidden/>
                <w:sz w:val="24"/>
                <w:szCs w:val="24"/>
              </w:rPr>
              <w:fldChar w:fldCharType="end"/>
            </w:r>
          </w:hyperlink>
        </w:p>
        <w:p w14:paraId="421524F5" w14:textId="4BD512BB"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63" w:history="1">
            <w:r w:rsidRPr="008E4EFB">
              <w:rPr>
                <w:rStyle w:val="Hyperlink"/>
                <w:rFonts w:ascii="Times New Roman" w:hAnsi="Times New Roman"/>
                <w:noProof/>
                <w:color w:val="auto"/>
                <w:sz w:val="24"/>
                <w:szCs w:val="24"/>
              </w:rPr>
              <w:t>2.1</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Nitrogen and Sulfur Deposition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_Toc179917963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4</w:t>
            </w:r>
            <w:r w:rsidRPr="008E4EFB">
              <w:rPr>
                <w:rFonts w:ascii="Times New Roman" w:hAnsi="Times New Roman"/>
                <w:noProof/>
                <w:webHidden/>
                <w:sz w:val="24"/>
                <w:szCs w:val="24"/>
              </w:rPr>
              <w:fldChar w:fldCharType="end"/>
            </w:r>
          </w:hyperlink>
        </w:p>
        <w:p w14:paraId="4037B03B" w14:textId="085FADED"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64" w:history="1">
            <w:r w:rsidRPr="008E4EFB">
              <w:rPr>
                <w:rStyle w:val="Hyperlink"/>
                <w:rFonts w:ascii="Times New Roman" w:hAnsi="Times New Roman"/>
                <w:noProof/>
                <w:color w:val="auto"/>
                <w:sz w:val="24"/>
                <w:szCs w:val="24"/>
              </w:rPr>
              <w:t>2.2</w:t>
            </w:r>
            <w:r w:rsidRPr="008E4EFB">
              <w:rPr>
                <w:rFonts w:ascii="Times New Roman" w:hAnsi="Times New Roman"/>
                <w:noProof/>
                <w:kern w:val="2"/>
                <w:sz w:val="24"/>
                <w:szCs w:val="24"/>
                <w14:ligatures w14:val="standardContextual"/>
              </w:rPr>
              <w:tab/>
            </w:r>
            <w:r w:rsidRPr="008E4EFB">
              <w:rPr>
                <w:rStyle w:val="Hyperlink"/>
                <w:rFonts w:ascii="Times New Roman" w:hAnsi="Times New Roman"/>
                <w:iCs/>
                <w:noProof/>
                <w:color w:val="auto"/>
                <w:sz w:val="24"/>
                <w:szCs w:val="24"/>
              </w:rPr>
              <w:t>Data Availability</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_Toc179917964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6</w:t>
            </w:r>
            <w:r w:rsidRPr="008E4EFB">
              <w:rPr>
                <w:rFonts w:ascii="Times New Roman" w:hAnsi="Times New Roman"/>
                <w:noProof/>
                <w:webHidden/>
                <w:sz w:val="24"/>
                <w:szCs w:val="24"/>
              </w:rPr>
              <w:fldChar w:fldCharType="end"/>
            </w:r>
          </w:hyperlink>
        </w:p>
        <w:p w14:paraId="3370B07C" w14:textId="65A3691C"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65" w:history="1">
            <w:r w:rsidRPr="008E4EFB">
              <w:rPr>
                <w:rStyle w:val="Hyperlink"/>
                <w:rFonts w:ascii="Times New Roman" w:hAnsi="Times New Roman"/>
                <w:noProof/>
                <w:color w:val="auto"/>
                <w:sz w:val="24"/>
                <w:szCs w:val="24"/>
              </w:rPr>
              <w:t>2.3</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Measurement Model Fusion Procedure</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_Toc179917965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7</w:t>
            </w:r>
            <w:r w:rsidRPr="008E4EFB">
              <w:rPr>
                <w:rFonts w:ascii="Times New Roman" w:hAnsi="Times New Roman"/>
                <w:noProof/>
                <w:webHidden/>
                <w:sz w:val="24"/>
                <w:szCs w:val="24"/>
              </w:rPr>
              <w:fldChar w:fldCharType="end"/>
            </w:r>
          </w:hyperlink>
        </w:p>
        <w:p w14:paraId="052F51DA" w14:textId="7D2FC70D"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66" w:history="1">
            <w:r w:rsidRPr="008E4EFB">
              <w:rPr>
                <w:rStyle w:val="Hyperlink"/>
                <w:rFonts w:ascii="Times New Roman" w:hAnsi="Times New Roman"/>
                <w:noProof/>
                <w:color w:val="auto"/>
                <w:sz w:val="24"/>
                <w:szCs w:val="24"/>
              </w:rPr>
              <w:t>2.4</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Results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_Toc179917966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10</w:t>
            </w:r>
            <w:r w:rsidRPr="008E4EFB">
              <w:rPr>
                <w:rFonts w:ascii="Times New Roman" w:hAnsi="Times New Roman"/>
                <w:noProof/>
                <w:webHidden/>
                <w:sz w:val="24"/>
                <w:szCs w:val="24"/>
              </w:rPr>
              <w:fldChar w:fldCharType="end"/>
            </w:r>
          </w:hyperlink>
        </w:p>
        <w:p w14:paraId="0363D2A5" w14:textId="61D3CF49"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67" w:history="1">
            <w:r w:rsidRPr="008E4EFB">
              <w:rPr>
                <w:rStyle w:val="Hyperlink"/>
                <w:rFonts w:ascii="Times New Roman" w:hAnsi="Times New Roman"/>
                <w:iCs/>
                <w:noProof/>
                <w:color w:val="auto"/>
                <w:sz w:val="24"/>
                <w:szCs w:val="24"/>
              </w:rPr>
              <w:t>2.5</w:t>
            </w:r>
            <w:r w:rsidRPr="008E4EFB">
              <w:rPr>
                <w:rFonts w:ascii="Times New Roman" w:hAnsi="Times New Roman"/>
                <w:noProof/>
                <w:kern w:val="2"/>
                <w:sz w:val="24"/>
                <w:szCs w:val="24"/>
                <w14:ligatures w14:val="standardContextual"/>
              </w:rPr>
              <w:tab/>
            </w:r>
            <w:r w:rsidRPr="008E4EFB">
              <w:rPr>
                <w:rStyle w:val="Hyperlink"/>
                <w:rFonts w:ascii="Times New Roman" w:hAnsi="Times New Roman"/>
                <w:iCs/>
                <w:noProof/>
                <w:color w:val="auto"/>
                <w:sz w:val="24"/>
                <w:szCs w:val="24"/>
              </w:rPr>
              <w:t>Consistency of MMF deposition with global emission estimates.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_Toc179917967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15</w:t>
            </w:r>
            <w:r w:rsidRPr="008E4EFB">
              <w:rPr>
                <w:rFonts w:ascii="Times New Roman" w:hAnsi="Times New Roman"/>
                <w:noProof/>
                <w:webHidden/>
                <w:sz w:val="24"/>
                <w:szCs w:val="24"/>
              </w:rPr>
              <w:fldChar w:fldCharType="end"/>
            </w:r>
          </w:hyperlink>
        </w:p>
        <w:p w14:paraId="2794AB21" w14:textId="6756AC63"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68" w:history="1">
            <w:r w:rsidRPr="008E4EFB">
              <w:rPr>
                <w:rStyle w:val="Hyperlink"/>
                <w:rFonts w:ascii="Times New Roman" w:hAnsi="Times New Roman"/>
                <w:iCs/>
                <w:noProof/>
                <w:color w:val="auto"/>
                <w:sz w:val="24"/>
                <w:szCs w:val="24"/>
              </w:rPr>
              <w:t>2.6</w:t>
            </w:r>
            <w:r w:rsidRPr="008E4EFB">
              <w:rPr>
                <w:rFonts w:ascii="Times New Roman" w:hAnsi="Times New Roman"/>
                <w:noProof/>
                <w:kern w:val="2"/>
                <w:sz w:val="24"/>
                <w:szCs w:val="24"/>
                <w14:ligatures w14:val="standardContextual"/>
              </w:rPr>
              <w:tab/>
            </w:r>
            <w:r w:rsidRPr="008E4EFB">
              <w:rPr>
                <w:rStyle w:val="Hyperlink"/>
                <w:rFonts w:ascii="Times New Roman" w:hAnsi="Times New Roman"/>
                <w:iCs/>
                <w:noProof/>
                <w:color w:val="auto"/>
                <w:sz w:val="24"/>
                <w:szCs w:val="24"/>
              </w:rPr>
              <w:t>Deposition over China.</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_Toc179917968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17</w:t>
            </w:r>
            <w:r w:rsidRPr="008E4EFB">
              <w:rPr>
                <w:rFonts w:ascii="Times New Roman" w:hAnsi="Times New Roman"/>
                <w:noProof/>
                <w:webHidden/>
                <w:sz w:val="24"/>
                <w:szCs w:val="24"/>
              </w:rPr>
              <w:fldChar w:fldCharType="end"/>
            </w:r>
          </w:hyperlink>
        </w:p>
        <w:p w14:paraId="0D75EAC1" w14:textId="436D0CA4"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69" w:history="1">
            <w:r w:rsidRPr="008E4EFB">
              <w:rPr>
                <w:rStyle w:val="Hyperlink"/>
                <w:rFonts w:ascii="Times New Roman" w:hAnsi="Times New Roman"/>
                <w:noProof/>
                <w:color w:val="auto"/>
                <w:sz w:val="24"/>
                <w:szCs w:val="24"/>
              </w:rPr>
              <w:t>2.7</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Limitations of interpolation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_Toc179917969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17</w:t>
            </w:r>
            <w:r w:rsidRPr="008E4EFB">
              <w:rPr>
                <w:rFonts w:ascii="Times New Roman" w:hAnsi="Times New Roman"/>
                <w:noProof/>
                <w:webHidden/>
                <w:sz w:val="24"/>
                <w:szCs w:val="24"/>
              </w:rPr>
              <w:fldChar w:fldCharType="end"/>
            </w:r>
          </w:hyperlink>
        </w:p>
        <w:p w14:paraId="7FBBB8D0" w14:textId="75CB310D"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70" w:history="1">
            <w:r w:rsidRPr="008E4EFB">
              <w:rPr>
                <w:rStyle w:val="Hyperlink"/>
                <w:rFonts w:ascii="Times New Roman" w:hAnsi="Times New Roman"/>
                <w:noProof/>
                <w:color w:val="auto"/>
                <w:sz w:val="24"/>
                <w:szCs w:val="24"/>
              </w:rPr>
              <w:t>2.8</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Conclusions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_Toc179917970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20</w:t>
            </w:r>
            <w:r w:rsidRPr="008E4EFB">
              <w:rPr>
                <w:rFonts w:ascii="Times New Roman" w:hAnsi="Times New Roman"/>
                <w:noProof/>
                <w:webHidden/>
                <w:sz w:val="24"/>
                <w:szCs w:val="24"/>
              </w:rPr>
              <w:fldChar w:fldCharType="end"/>
            </w:r>
          </w:hyperlink>
        </w:p>
        <w:p w14:paraId="5FAE076F" w14:textId="10ADA391" w:rsidR="00C410C7" w:rsidRPr="008E4EFB" w:rsidRDefault="00C410C7" w:rsidP="00936B99">
          <w:pPr>
            <w:pStyle w:val="TOC1"/>
            <w:tabs>
              <w:tab w:val="right" w:leader="dot" w:pos="9350"/>
            </w:tabs>
            <w:spacing w:after="0" w:line="360" w:lineRule="auto"/>
            <w:rPr>
              <w:rFonts w:ascii="Times New Roman" w:hAnsi="Times New Roman"/>
              <w:noProof/>
              <w:kern w:val="2"/>
              <w:sz w:val="24"/>
              <w:szCs w:val="24"/>
              <w14:ligatures w14:val="standardContextual"/>
            </w:rPr>
          </w:pPr>
          <w:hyperlink w:anchor="_Toc179917971" w:history="1">
            <w:r w:rsidRPr="008E4EFB">
              <w:rPr>
                <w:rStyle w:val="Hyperlink"/>
                <w:rFonts w:ascii="Times New Roman" w:hAnsi="Times New Roman"/>
                <w:noProof/>
                <w:color w:val="auto"/>
                <w:sz w:val="24"/>
                <w:szCs w:val="24"/>
              </w:rPr>
              <w:t>Chapter 3 Improving Estimates of Wet Deposition in the U.S. with Measurement-Model Fusion and Machine Learning</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_Toc179917971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21</w:t>
            </w:r>
            <w:r w:rsidRPr="008E4EFB">
              <w:rPr>
                <w:rFonts w:ascii="Times New Roman" w:hAnsi="Times New Roman"/>
                <w:noProof/>
                <w:webHidden/>
                <w:sz w:val="24"/>
                <w:szCs w:val="24"/>
              </w:rPr>
              <w:fldChar w:fldCharType="end"/>
            </w:r>
          </w:hyperlink>
        </w:p>
        <w:p w14:paraId="3260218A" w14:textId="23E4F369"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72" w:history="1">
            <w:r w:rsidRPr="008E4EFB">
              <w:rPr>
                <w:rStyle w:val="Hyperlink"/>
                <w:rFonts w:ascii="Times New Roman" w:hAnsi="Times New Roman"/>
                <w:noProof/>
                <w:color w:val="auto"/>
                <w:sz w:val="24"/>
                <w:szCs w:val="24"/>
              </w:rPr>
              <w:t>3.1</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Introduction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_Toc179917972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21</w:t>
            </w:r>
            <w:r w:rsidRPr="008E4EFB">
              <w:rPr>
                <w:rFonts w:ascii="Times New Roman" w:hAnsi="Times New Roman"/>
                <w:noProof/>
                <w:webHidden/>
                <w:sz w:val="24"/>
                <w:szCs w:val="24"/>
              </w:rPr>
              <w:fldChar w:fldCharType="end"/>
            </w:r>
          </w:hyperlink>
        </w:p>
        <w:p w14:paraId="2CF37A69" w14:textId="74B07D7F"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73" w:history="1">
            <w:r w:rsidRPr="008E4EFB">
              <w:rPr>
                <w:rStyle w:val="Hyperlink"/>
                <w:rFonts w:ascii="Times New Roman" w:hAnsi="Times New Roman"/>
                <w:noProof/>
                <w:color w:val="auto"/>
                <w:sz w:val="24"/>
                <w:szCs w:val="24"/>
              </w:rPr>
              <w:t>3.2</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Methods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_Toc179917973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22</w:t>
            </w:r>
            <w:r w:rsidRPr="008E4EFB">
              <w:rPr>
                <w:rFonts w:ascii="Times New Roman" w:hAnsi="Times New Roman"/>
                <w:noProof/>
                <w:webHidden/>
                <w:sz w:val="24"/>
                <w:szCs w:val="24"/>
              </w:rPr>
              <w:fldChar w:fldCharType="end"/>
            </w:r>
          </w:hyperlink>
        </w:p>
        <w:p w14:paraId="13ABC85E" w14:textId="0FCA72F1"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74" w:history="1">
            <w:r w:rsidRPr="008E4EFB">
              <w:rPr>
                <w:rStyle w:val="Hyperlink"/>
                <w:rFonts w:ascii="Times New Roman" w:hAnsi="Times New Roman"/>
                <w:noProof/>
                <w:color w:val="auto"/>
                <w:sz w:val="24"/>
                <w:szCs w:val="24"/>
              </w:rPr>
              <w:t>3.3</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NO</w:t>
            </w:r>
            <w:r w:rsidRPr="008E4EFB">
              <w:rPr>
                <w:rStyle w:val="Hyperlink"/>
                <w:rFonts w:ascii="Times New Roman" w:hAnsi="Times New Roman"/>
                <w:noProof/>
                <w:color w:val="auto"/>
                <w:sz w:val="24"/>
                <w:szCs w:val="24"/>
                <w:vertAlign w:val="subscript"/>
              </w:rPr>
              <w:t>3</w:t>
            </w:r>
            <w:r w:rsidRPr="008E4EFB">
              <w:rPr>
                <w:rStyle w:val="Hyperlink"/>
                <w:rFonts w:ascii="Times New Roman" w:hAnsi="Times New Roman"/>
                <w:noProof/>
                <w:color w:val="auto"/>
                <w:sz w:val="24"/>
                <w:szCs w:val="24"/>
                <w:vertAlign w:val="superscript"/>
              </w:rPr>
              <w:t>-</w:t>
            </w:r>
            <w:r w:rsidRPr="008E4EFB">
              <w:rPr>
                <w:rStyle w:val="Hyperlink"/>
                <w:rFonts w:ascii="Times New Roman" w:hAnsi="Times New Roman"/>
                <w:noProof/>
                <w:color w:val="auto"/>
                <w:sz w:val="24"/>
                <w:szCs w:val="24"/>
              </w:rPr>
              <w:t xml:space="preserve"> Deposition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_Toc179917974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24</w:t>
            </w:r>
            <w:r w:rsidRPr="008E4EFB">
              <w:rPr>
                <w:rFonts w:ascii="Times New Roman" w:hAnsi="Times New Roman"/>
                <w:noProof/>
                <w:webHidden/>
                <w:sz w:val="24"/>
                <w:szCs w:val="24"/>
              </w:rPr>
              <w:fldChar w:fldCharType="end"/>
            </w:r>
          </w:hyperlink>
        </w:p>
        <w:p w14:paraId="403276CB" w14:textId="37244B4F"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75" w:history="1">
            <w:r w:rsidRPr="008E4EFB">
              <w:rPr>
                <w:rStyle w:val="Hyperlink"/>
                <w:rFonts w:ascii="Times New Roman" w:hAnsi="Times New Roman"/>
                <w:noProof/>
                <w:color w:val="auto"/>
                <w:sz w:val="24"/>
                <w:szCs w:val="24"/>
              </w:rPr>
              <w:t>3.4</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NH</w:t>
            </w:r>
            <w:r w:rsidRPr="008E4EFB">
              <w:rPr>
                <w:rStyle w:val="Hyperlink"/>
                <w:rFonts w:ascii="Times New Roman" w:hAnsi="Times New Roman"/>
                <w:noProof/>
                <w:color w:val="auto"/>
                <w:sz w:val="24"/>
                <w:szCs w:val="24"/>
                <w:vertAlign w:val="subscript"/>
              </w:rPr>
              <w:t>4</w:t>
            </w:r>
            <w:r w:rsidRPr="008E4EFB">
              <w:rPr>
                <w:rStyle w:val="Hyperlink"/>
                <w:rFonts w:ascii="Times New Roman" w:hAnsi="Times New Roman"/>
                <w:noProof/>
                <w:color w:val="auto"/>
                <w:sz w:val="24"/>
                <w:szCs w:val="24"/>
                <w:vertAlign w:val="superscript"/>
              </w:rPr>
              <w:t>+</w:t>
            </w:r>
            <w:r w:rsidRPr="008E4EFB">
              <w:rPr>
                <w:rStyle w:val="Hyperlink"/>
                <w:rFonts w:ascii="Times New Roman" w:hAnsi="Times New Roman"/>
                <w:noProof/>
                <w:color w:val="auto"/>
                <w:sz w:val="24"/>
                <w:szCs w:val="24"/>
              </w:rPr>
              <w:t xml:space="preserve"> Deposition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_Toc179917975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24</w:t>
            </w:r>
            <w:r w:rsidRPr="008E4EFB">
              <w:rPr>
                <w:rFonts w:ascii="Times New Roman" w:hAnsi="Times New Roman"/>
                <w:noProof/>
                <w:webHidden/>
                <w:sz w:val="24"/>
                <w:szCs w:val="24"/>
              </w:rPr>
              <w:fldChar w:fldCharType="end"/>
            </w:r>
          </w:hyperlink>
        </w:p>
        <w:p w14:paraId="6B042FDF" w14:textId="3942CB1A"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76" w:history="1">
            <w:r w:rsidRPr="008E4EFB">
              <w:rPr>
                <w:rStyle w:val="Hyperlink"/>
                <w:rFonts w:ascii="Times New Roman" w:hAnsi="Times New Roman"/>
                <w:noProof/>
                <w:color w:val="auto"/>
                <w:sz w:val="24"/>
                <w:szCs w:val="24"/>
              </w:rPr>
              <w:t>3.5</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Discussion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_Toc179917976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31</w:t>
            </w:r>
            <w:r w:rsidRPr="008E4EFB">
              <w:rPr>
                <w:rFonts w:ascii="Times New Roman" w:hAnsi="Times New Roman"/>
                <w:noProof/>
                <w:webHidden/>
                <w:sz w:val="24"/>
                <w:szCs w:val="24"/>
              </w:rPr>
              <w:fldChar w:fldCharType="end"/>
            </w:r>
          </w:hyperlink>
        </w:p>
        <w:p w14:paraId="1AAD6DF5" w14:textId="6A43211B"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77" w:history="1">
            <w:r w:rsidRPr="008E4EFB">
              <w:rPr>
                <w:rStyle w:val="Hyperlink"/>
                <w:rFonts w:ascii="Times New Roman" w:hAnsi="Times New Roman"/>
                <w:noProof/>
                <w:color w:val="auto"/>
                <w:sz w:val="24"/>
                <w:szCs w:val="24"/>
              </w:rPr>
              <w:t>3.6</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Conclusions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_Toc179917977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33</w:t>
            </w:r>
            <w:r w:rsidRPr="008E4EFB">
              <w:rPr>
                <w:rFonts w:ascii="Times New Roman" w:hAnsi="Times New Roman"/>
                <w:noProof/>
                <w:webHidden/>
                <w:sz w:val="24"/>
                <w:szCs w:val="24"/>
              </w:rPr>
              <w:fldChar w:fldCharType="end"/>
            </w:r>
          </w:hyperlink>
        </w:p>
        <w:p w14:paraId="0A6011DF" w14:textId="4FF75416" w:rsidR="00C410C7" w:rsidRPr="008E4EFB" w:rsidRDefault="00C410C7" w:rsidP="00936B99">
          <w:pPr>
            <w:pStyle w:val="TOC1"/>
            <w:tabs>
              <w:tab w:val="right" w:leader="dot" w:pos="9350"/>
            </w:tabs>
            <w:spacing w:after="0" w:line="360" w:lineRule="auto"/>
            <w:rPr>
              <w:rFonts w:ascii="Times New Roman" w:hAnsi="Times New Roman"/>
              <w:noProof/>
              <w:kern w:val="2"/>
              <w:sz w:val="24"/>
              <w:szCs w:val="24"/>
              <w14:ligatures w14:val="standardContextual"/>
            </w:rPr>
          </w:pPr>
          <w:hyperlink w:anchor="_Toc179917978" w:history="1">
            <w:r w:rsidRPr="008E4EFB">
              <w:rPr>
                <w:rStyle w:val="Hyperlink"/>
                <w:rFonts w:ascii="Times New Roman" w:hAnsi="Times New Roman"/>
                <w:noProof/>
                <w:color w:val="auto"/>
                <w:sz w:val="24"/>
                <w:szCs w:val="24"/>
              </w:rPr>
              <w:t>Chapter 4 Projected Global Sulfur Deposition with Climate Intervention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_Toc179917978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35</w:t>
            </w:r>
            <w:r w:rsidRPr="008E4EFB">
              <w:rPr>
                <w:rFonts w:ascii="Times New Roman" w:hAnsi="Times New Roman"/>
                <w:noProof/>
                <w:webHidden/>
                <w:sz w:val="24"/>
                <w:szCs w:val="24"/>
              </w:rPr>
              <w:fldChar w:fldCharType="end"/>
            </w:r>
          </w:hyperlink>
        </w:p>
        <w:p w14:paraId="229A3E87" w14:textId="14CEF66C" w:rsidR="00C410C7" w:rsidRPr="008E4EFB" w:rsidRDefault="00C410C7" w:rsidP="00936B99">
          <w:pPr>
            <w:pStyle w:val="TOC2"/>
            <w:tabs>
              <w:tab w:val="right" w:leader="dot" w:pos="9350"/>
            </w:tabs>
            <w:spacing w:after="0" w:line="360" w:lineRule="auto"/>
            <w:rPr>
              <w:rFonts w:ascii="Times New Roman" w:hAnsi="Times New Roman"/>
              <w:noProof/>
              <w:kern w:val="2"/>
              <w:sz w:val="24"/>
              <w:szCs w:val="24"/>
              <w14:ligatures w14:val="standardContextual"/>
            </w:rPr>
          </w:pPr>
          <w:hyperlink w:anchor="_Toc179917979" w:history="1">
            <w:r w:rsidRPr="008E4EFB">
              <w:rPr>
                <w:rStyle w:val="Hyperlink"/>
                <w:rFonts w:ascii="Times New Roman" w:hAnsi="Times New Roman"/>
                <w:noProof/>
                <w:color w:val="auto"/>
                <w:sz w:val="24"/>
                <w:szCs w:val="24"/>
              </w:rPr>
              <w:t xml:space="preserve">4.1 </w:t>
            </w:r>
            <w:r w:rsidR="00DC5564" w:rsidRPr="008E4EFB">
              <w:rPr>
                <w:rStyle w:val="Hyperlink"/>
                <w:rFonts w:ascii="Times New Roman" w:hAnsi="Times New Roman"/>
                <w:noProof/>
                <w:color w:val="auto"/>
                <w:sz w:val="24"/>
                <w:szCs w:val="24"/>
              </w:rPr>
              <w:t xml:space="preserve">        </w:t>
            </w:r>
            <w:r w:rsidRPr="008E4EFB">
              <w:rPr>
                <w:rStyle w:val="Hyperlink"/>
                <w:rFonts w:ascii="Times New Roman" w:hAnsi="Times New Roman"/>
                <w:noProof/>
                <w:color w:val="auto"/>
                <w:sz w:val="24"/>
                <w:szCs w:val="24"/>
              </w:rPr>
              <w:t>Climate Intervention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_Toc179917979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35</w:t>
            </w:r>
            <w:r w:rsidRPr="008E4EFB">
              <w:rPr>
                <w:rFonts w:ascii="Times New Roman" w:hAnsi="Times New Roman"/>
                <w:noProof/>
                <w:webHidden/>
                <w:sz w:val="24"/>
                <w:szCs w:val="24"/>
              </w:rPr>
              <w:fldChar w:fldCharType="end"/>
            </w:r>
          </w:hyperlink>
        </w:p>
        <w:p w14:paraId="125D8275" w14:textId="759E9897"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80" w:history="1">
            <w:r w:rsidRPr="008E4EFB">
              <w:rPr>
                <w:rStyle w:val="Hyperlink"/>
                <w:rFonts w:ascii="Times New Roman" w:hAnsi="Times New Roman"/>
                <w:noProof/>
                <w:color w:val="auto"/>
                <w:sz w:val="24"/>
                <w:szCs w:val="24"/>
              </w:rPr>
              <w:t>4.2</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Methods and Data</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_Toc179917980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37</w:t>
            </w:r>
            <w:r w:rsidRPr="008E4EFB">
              <w:rPr>
                <w:rFonts w:ascii="Times New Roman" w:hAnsi="Times New Roman"/>
                <w:noProof/>
                <w:webHidden/>
                <w:sz w:val="24"/>
                <w:szCs w:val="24"/>
              </w:rPr>
              <w:fldChar w:fldCharType="end"/>
            </w:r>
          </w:hyperlink>
        </w:p>
        <w:p w14:paraId="28628BEF" w14:textId="111C4A05"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81" w:history="1">
            <w:r w:rsidRPr="008E4EFB">
              <w:rPr>
                <w:rStyle w:val="Hyperlink"/>
                <w:rFonts w:ascii="Times New Roman" w:hAnsi="Times New Roman"/>
                <w:noProof/>
                <w:color w:val="auto"/>
                <w:sz w:val="24"/>
                <w:szCs w:val="24"/>
              </w:rPr>
              <w:t>4.3</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Results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_Toc179917981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38</w:t>
            </w:r>
            <w:r w:rsidRPr="008E4EFB">
              <w:rPr>
                <w:rFonts w:ascii="Times New Roman" w:hAnsi="Times New Roman"/>
                <w:noProof/>
                <w:webHidden/>
                <w:sz w:val="24"/>
                <w:szCs w:val="24"/>
              </w:rPr>
              <w:fldChar w:fldCharType="end"/>
            </w:r>
          </w:hyperlink>
        </w:p>
        <w:p w14:paraId="679F29F6" w14:textId="53CF0253"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82" w:history="1">
            <w:r w:rsidRPr="008E4EFB">
              <w:rPr>
                <w:rStyle w:val="Hyperlink"/>
                <w:rFonts w:ascii="Times New Roman" w:hAnsi="Times New Roman"/>
                <w:noProof/>
                <w:color w:val="auto"/>
                <w:sz w:val="24"/>
                <w:szCs w:val="24"/>
              </w:rPr>
              <w:t>4.4</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Model Discrepancies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_Toc179917982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38</w:t>
            </w:r>
            <w:r w:rsidRPr="008E4EFB">
              <w:rPr>
                <w:rFonts w:ascii="Times New Roman" w:hAnsi="Times New Roman"/>
                <w:noProof/>
                <w:webHidden/>
                <w:sz w:val="24"/>
                <w:szCs w:val="24"/>
              </w:rPr>
              <w:fldChar w:fldCharType="end"/>
            </w:r>
          </w:hyperlink>
        </w:p>
        <w:p w14:paraId="6019AFE9" w14:textId="24579989"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83" w:history="1">
            <w:r w:rsidRPr="008E4EFB">
              <w:rPr>
                <w:rStyle w:val="Hyperlink"/>
                <w:rFonts w:ascii="Times New Roman" w:hAnsi="Times New Roman"/>
                <w:noProof/>
                <w:color w:val="auto"/>
                <w:sz w:val="24"/>
                <w:szCs w:val="24"/>
              </w:rPr>
              <w:t>4.5</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SAI by Ecoregions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_Toc179917983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42</w:t>
            </w:r>
            <w:r w:rsidRPr="008E4EFB">
              <w:rPr>
                <w:rFonts w:ascii="Times New Roman" w:hAnsi="Times New Roman"/>
                <w:noProof/>
                <w:webHidden/>
                <w:sz w:val="24"/>
                <w:szCs w:val="24"/>
              </w:rPr>
              <w:fldChar w:fldCharType="end"/>
            </w:r>
          </w:hyperlink>
        </w:p>
        <w:p w14:paraId="547E6CEA" w14:textId="5065B653" w:rsidR="00C410C7" w:rsidRPr="008E4EFB" w:rsidRDefault="00C410C7" w:rsidP="00936B99">
          <w:pPr>
            <w:pStyle w:val="TOC2"/>
            <w:tabs>
              <w:tab w:val="right" w:leader="dot" w:pos="9350"/>
            </w:tabs>
            <w:spacing w:after="0" w:line="360" w:lineRule="auto"/>
            <w:rPr>
              <w:rFonts w:ascii="Times New Roman" w:hAnsi="Times New Roman"/>
              <w:noProof/>
              <w:kern w:val="2"/>
              <w:sz w:val="24"/>
              <w:szCs w:val="24"/>
              <w14:ligatures w14:val="standardContextual"/>
            </w:rPr>
          </w:pPr>
          <w:hyperlink w:anchor="_Toc179917984" w:history="1">
            <w:r w:rsidRPr="008E4EFB">
              <w:rPr>
                <w:rStyle w:val="Hyperlink"/>
                <w:rFonts w:ascii="Times New Roman" w:hAnsi="Times New Roman"/>
                <w:noProof/>
                <w:color w:val="auto"/>
                <w:sz w:val="24"/>
                <w:szCs w:val="24"/>
              </w:rPr>
              <w:t>4.6 Discussion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_Toc179917984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46</w:t>
            </w:r>
            <w:r w:rsidRPr="008E4EFB">
              <w:rPr>
                <w:rFonts w:ascii="Times New Roman" w:hAnsi="Times New Roman"/>
                <w:noProof/>
                <w:webHidden/>
                <w:sz w:val="24"/>
                <w:szCs w:val="24"/>
              </w:rPr>
              <w:fldChar w:fldCharType="end"/>
            </w:r>
          </w:hyperlink>
        </w:p>
        <w:p w14:paraId="11251CBC" w14:textId="38B531F1"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85" w:history="1">
            <w:r w:rsidRPr="008E4EFB">
              <w:rPr>
                <w:rStyle w:val="Hyperlink"/>
                <w:rFonts w:ascii="Times New Roman" w:hAnsi="Times New Roman"/>
                <w:noProof/>
                <w:color w:val="auto"/>
                <w:sz w:val="24"/>
                <w:szCs w:val="24"/>
              </w:rPr>
              <w:t>4.7</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Conclusions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_Toc179917985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53</w:t>
            </w:r>
            <w:r w:rsidRPr="008E4EFB">
              <w:rPr>
                <w:rFonts w:ascii="Times New Roman" w:hAnsi="Times New Roman"/>
                <w:noProof/>
                <w:webHidden/>
                <w:sz w:val="24"/>
                <w:szCs w:val="24"/>
              </w:rPr>
              <w:fldChar w:fldCharType="end"/>
            </w:r>
          </w:hyperlink>
        </w:p>
        <w:p w14:paraId="57CC15F6" w14:textId="5CE2AFDB" w:rsidR="00C410C7" w:rsidRPr="008E4EFB" w:rsidRDefault="00C410C7" w:rsidP="00936B99">
          <w:pPr>
            <w:pStyle w:val="TOC1"/>
            <w:tabs>
              <w:tab w:val="right" w:leader="dot" w:pos="9350"/>
            </w:tabs>
            <w:spacing w:after="0" w:line="360" w:lineRule="auto"/>
            <w:rPr>
              <w:rFonts w:ascii="Times New Roman" w:hAnsi="Times New Roman"/>
              <w:noProof/>
              <w:kern w:val="2"/>
              <w:sz w:val="24"/>
              <w:szCs w:val="24"/>
              <w14:ligatures w14:val="standardContextual"/>
            </w:rPr>
          </w:pPr>
          <w:hyperlink w:anchor="_Toc179917986" w:history="1">
            <w:r w:rsidRPr="008E4EFB">
              <w:rPr>
                <w:rStyle w:val="Hyperlink"/>
                <w:rFonts w:ascii="Times New Roman" w:hAnsi="Times New Roman"/>
                <w:noProof/>
                <w:color w:val="auto"/>
                <w:sz w:val="24"/>
                <w:szCs w:val="24"/>
              </w:rPr>
              <w:t>Chapter 5 Downscaling Methods Accurately Predict Heat Wave Risk in a Changing Climate</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_Toc179917986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54</w:t>
            </w:r>
            <w:r w:rsidRPr="008E4EFB">
              <w:rPr>
                <w:rFonts w:ascii="Times New Roman" w:hAnsi="Times New Roman"/>
                <w:noProof/>
                <w:webHidden/>
                <w:sz w:val="24"/>
                <w:szCs w:val="24"/>
              </w:rPr>
              <w:fldChar w:fldCharType="end"/>
            </w:r>
          </w:hyperlink>
        </w:p>
        <w:p w14:paraId="4B736B03" w14:textId="7BC70A43"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87" w:history="1">
            <w:r w:rsidRPr="008E4EFB">
              <w:rPr>
                <w:rStyle w:val="Hyperlink"/>
                <w:rFonts w:ascii="Times New Roman" w:hAnsi="Times New Roman"/>
                <w:noProof/>
                <w:color w:val="auto"/>
                <w:sz w:val="24"/>
                <w:szCs w:val="24"/>
              </w:rPr>
              <w:t>5.1</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Introduction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_Toc179917987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54</w:t>
            </w:r>
            <w:r w:rsidRPr="008E4EFB">
              <w:rPr>
                <w:rFonts w:ascii="Times New Roman" w:hAnsi="Times New Roman"/>
                <w:noProof/>
                <w:webHidden/>
                <w:sz w:val="24"/>
                <w:szCs w:val="24"/>
              </w:rPr>
              <w:fldChar w:fldCharType="end"/>
            </w:r>
          </w:hyperlink>
        </w:p>
        <w:p w14:paraId="25DD3A78" w14:textId="05A066B7"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88" w:history="1">
            <w:r w:rsidRPr="008E4EFB">
              <w:rPr>
                <w:rStyle w:val="Hyperlink"/>
                <w:rFonts w:ascii="Times New Roman" w:hAnsi="Times New Roman"/>
                <w:noProof/>
                <w:color w:val="auto"/>
                <w:sz w:val="24"/>
                <w:szCs w:val="24"/>
              </w:rPr>
              <w:t>5.2</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Methods and Data</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_Toc179917988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56</w:t>
            </w:r>
            <w:r w:rsidRPr="008E4EFB">
              <w:rPr>
                <w:rFonts w:ascii="Times New Roman" w:hAnsi="Times New Roman"/>
                <w:noProof/>
                <w:webHidden/>
                <w:sz w:val="24"/>
                <w:szCs w:val="24"/>
              </w:rPr>
              <w:fldChar w:fldCharType="end"/>
            </w:r>
          </w:hyperlink>
        </w:p>
        <w:p w14:paraId="3318C20B" w14:textId="60CC3FFC"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89" w:history="1">
            <w:r w:rsidRPr="008E4EFB">
              <w:rPr>
                <w:rStyle w:val="Hyperlink"/>
                <w:rFonts w:ascii="Times New Roman" w:hAnsi="Times New Roman"/>
                <w:noProof/>
                <w:color w:val="auto"/>
                <w:sz w:val="24"/>
                <w:szCs w:val="24"/>
              </w:rPr>
              <w:t>5.3</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Comparison with Historical Models and Observations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_Toc179917989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58</w:t>
            </w:r>
            <w:r w:rsidRPr="008E4EFB">
              <w:rPr>
                <w:rFonts w:ascii="Times New Roman" w:hAnsi="Times New Roman"/>
                <w:noProof/>
                <w:webHidden/>
                <w:sz w:val="24"/>
                <w:szCs w:val="24"/>
              </w:rPr>
              <w:fldChar w:fldCharType="end"/>
            </w:r>
          </w:hyperlink>
        </w:p>
        <w:p w14:paraId="57D8FF87" w14:textId="4C9FD4B9" w:rsidR="00C410C7" w:rsidRPr="008E4EFB" w:rsidRDefault="00C410C7" w:rsidP="00936B99">
          <w:pPr>
            <w:pStyle w:val="TOC2"/>
            <w:tabs>
              <w:tab w:val="right" w:leader="dot" w:pos="9350"/>
            </w:tabs>
            <w:spacing w:after="0" w:line="360" w:lineRule="auto"/>
            <w:rPr>
              <w:rFonts w:ascii="Times New Roman" w:hAnsi="Times New Roman"/>
              <w:noProof/>
              <w:kern w:val="2"/>
              <w:sz w:val="24"/>
              <w:szCs w:val="24"/>
              <w14:ligatures w14:val="standardContextual"/>
            </w:rPr>
          </w:pPr>
          <w:hyperlink w:anchor="_Toc179917990" w:history="1">
            <w:r w:rsidRPr="008E4EFB">
              <w:rPr>
                <w:rStyle w:val="Hyperlink"/>
                <w:rFonts w:ascii="Times New Roman" w:hAnsi="Times New Roman"/>
                <w:noProof/>
                <w:color w:val="auto"/>
                <w:sz w:val="24"/>
                <w:szCs w:val="24"/>
              </w:rPr>
              <w:t xml:space="preserve">5.4 </w:t>
            </w:r>
            <w:r w:rsidR="00DC5564" w:rsidRPr="008E4EFB">
              <w:rPr>
                <w:rStyle w:val="Hyperlink"/>
                <w:rFonts w:ascii="Times New Roman" w:hAnsi="Times New Roman"/>
                <w:noProof/>
                <w:color w:val="auto"/>
                <w:sz w:val="24"/>
                <w:szCs w:val="24"/>
              </w:rPr>
              <w:t xml:space="preserve">         </w:t>
            </w:r>
            <w:r w:rsidRPr="008E4EFB">
              <w:rPr>
                <w:rStyle w:val="Hyperlink"/>
                <w:rFonts w:ascii="Times New Roman" w:hAnsi="Times New Roman"/>
                <w:noProof/>
                <w:color w:val="auto"/>
                <w:sz w:val="24"/>
                <w:szCs w:val="24"/>
              </w:rPr>
              <w:t>Dynamical versus Statistical Downscaling</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_Toc179917990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64</w:t>
            </w:r>
            <w:r w:rsidRPr="008E4EFB">
              <w:rPr>
                <w:rFonts w:ascii="Times New Roman" w:hAnsi="Times New Roman"/>
                <w:noProof/>
                <w:webHidden/>
                <w:sz w:val="24"/>
                <w:szCs w:val="24"/>
              </w:rPr>
              <w:fldChar w:fldCharType="end"/>
            </w:r>
          </w:hyperlink>
        </w:p>
        <w:p w14:paraId="3ACFCE96" w14:textId="30858ED6"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91" w:history="1">
            <w:r w:rsidRPr="008E4EFB">
              <w:rPr>
                <w:rStyle w:val="Hyperlink"/>
                <w:rFonts w:ascii="Times New Roman" w:hAnsi="Times New Roman"/>
                <w:noProof/>
                <w:color w:val="auto"/>
                <w:sz w:val="24"/>
                <w:szCs w:val="24"/>
              </w:rPr>
              <w:t>5.5</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Discussion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_Toc179917991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68</w:t>
            </w:r>
            <w:r w:rsidRPr="008E4EFB">
              <w:rPr>
                <w:rFonts w:ascii="Times New Roman" w:hAnsi="Times New Roman"/>
                <w:noProof/>
                <w:webHidden/>
                <w:sz w:val="24"/>
                <w:szCs w:val="24"/>
              </w:rPr>
              <w:fldChar w:fldCharType="end"/>
            </w:r>
          </w:hyperlink>
        </w:p>
        <w:p w14:paraId="51352396" w14:textId="4B094564"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92" w:history="1">
            <w:r w:rsidRPr="008E4EFB">
              <w:rPr>
                <w:rStyle w:val="Hyperlink"/>
                <w:rFonts w:ascii="Times New Roman" w:hAnsi="Times New Roman"/>
                <w:noProof/>
                <w:color w:val="auto"/>
                <w:sz w:val="24"/>
                <w:szCs w:val="24"/>
              </w:rPr>
              <w:t>5.6</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Conclusions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_Toc179917992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71</w:t>
            </w:r>
            <w:r w:rsidRPr="008E4EFB">
              <w:rPr>
                <w:rFonts w:ascii="Times New Roman" w:hAnsi="Times New Roman"/>
                <w:noProof/>
                <w:webHidden/>
                <w:sz w:val="24"/>
                <w:szCs w:val="24"/>
              </w:rPr>
              <w:fldChar w:fldCharType="end"/>
            </w:r>
          </w:hyperlink>
        </w:p>
        <w:p w14:paraId="7EA31C30" w14:textId="0B1DCC17" w:rsidR="00C410C7" w:rsidRPr="008E4EFB" w:rsidRDefault="00C410C7" w:rsidP="00936B99">
          <w:pPr>
            <w:pStyle w:val="TOC1"/>
            <w:tabs>
              <w:tab w:val="right" w:leader="dot" w:pos="9350"/>
            </w:tabs>
            <w:spacing w:after="0" w:line="360" w:lineRule="auto"/>
            <w:rPr>
              <w:rFonts w:ascii="Times New Roman" w:hAnsi="Times New Roman"/>
              <w:noProof/>
              <w:kern w:val="2"/>
              <w:sz w:val="24"/>
              <w:szCs w:val="24"/>
              <w14:ligatures w14:val="standardContextual"/>
            </w:rPr>
          </w:pPr>
          <w:hyperlink w:anchor="_Toc179917993" w:history="1">
            <w:r w:rsidRPr="008E4EFB">
              <w:rPr>
                <w:rStyle w:val="Hyperlink"/>
                <w:rFonts w:ascii="Times New Roman" w:hAnsi="Times New Roman"/>
                <w:noProof/>
                <w:color w:val="auto"/>
                <w:sz w:val="24"/>
                <w:szCs w:val="24"/>
              </w:rPr>
              <w:t>Chapter 6 Mapping Long-Term Trends in Soil Organic Carbon with Machine Learning</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_Toc179917993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73</w:t>
            </w:r>
            <w:r w:rsidRPr="008E4EFB">
              <w:rPr>
                <w:rFonts w:ascii="Times New Roman" w:hAnsi="Times New Roman"/>
                <w:noProof/>
                <w:webHidden/>
                <w:sz w:val="24"/>
                <w:szCs w:val="24"/>
              </w:rPr>
              <w:fldChar w:fldCharType="end"/>
            </w:r>
          </w:hyperlink>
        </w:p>
        <w:p w14:paraId="527D5074" w14:textId="376E953E"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94" w:history="1">
            <w:r w:rsidRPr="008E4EFB">
              <w:rPr>
                <w:rStyle w:val="Hyperlink"/>
                <w:rFonts w:ascii="Times New Roman" w:hAnsi="Times New Roman"/>
                <w:noProof/>
                <w:color w:val="auto"/>
                <w:sz w:val="24"/>
                <w:szCs w:val="24"/>
              </w:rPr>
              <w:t>6.1</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Mapping Soil Organic Carbon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_Toc179917994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73</w:t>
            </w:r>
            <w:r w:rsidRPr="008E4EFB">
              <w:rPr>
                <w:rFonts w:ascii="Times New Roman" w:hAnsi="Times New Roman"/>
                <w:noProof/>
                <w:webHidden/>
                <w:sz w:val="24"/>
                <w:szCs w:val="24"/>
              </w:rPr>
              <w:fldChar w:fldCharType="end"/>
            </w:r>
          </w:hyperlink>
        </w:p>
        <w:p w14:paraId="2C844516" w14:textId="2032F3CD"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95" w:history="1">
            <w:r w:rsidRPr="008E4EFB">
              <w:rPr>
                <w:rStyle w:val="Hyperlink"/>
                <w:rFonts w:ascii="Times New Roman" w:hAnsi="Times New Roman"/>
                <w:noProof/>
                <w:color w:val="auto"/>
                <w:sz w:val="24"/>
                <w:szCs w:val="24"/>
              </w:rPr>
              <w:t>6.2</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Methods and Data</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_Toc179917995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73</w:t>
            </w:r>
            <w:r w:rsidRPr="008E4EFB">
              <w:rPr>
                <w:rFonts w:ascii="Times New Roman" w:hAnsi="Times New Roman"/>
                <w:noProof/>
                <w:webHidden/>
                <w:sz w:val="24"/>
                <w:szCs w:val="24"/>
              </w:rPr>
              <w:fldChar w:fldCharType="end"/>
            </w:r>
          </w:hyperlink>
        </w:p>
        <w:p w14:paraId="695B39C0" w14:textId="0C34FD56"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96" w:history="1">
            <w:r w:rsidRPr="008E4EFB">
              <w:rPr>
                <w:rStyle w:val="Hyperlink"/>
                <w:rFonts w:ascii="Times New Roman" w:hAnsi="Times New Roman"/>
                <w:noProof/>
                <w:color w:val="auto"/>
                <w:sz w:val="24"/>
                <w:szCs w:val="24"/>
              </w:rPr>
              <w:t>6.3</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Results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_Toc179917996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78</w:t>
            </w:r>
            <w:r w:rsidRPr="008E4EFB">
              <w:rPr>
                <w:rFonts w:ascii="Times New Roman" w:hAnsi="Times New Roman"/>
                <w:noProof/>
                <w:webHidden/>
                <w:sz w:val="24"/>
                <w:szCs w:val="24"/>
              </w:rPr>
              <w:fldChar w:fldCharType="end"/>
            </w:r>
          </w:hyperlink>
        </w:p>
        <w:p w14:paraId="6BC37601" w14:textId="405E0C0A"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97" w:history="1">
            <w:r w:rsidRPr="008E4EFB">
              <w:rPr>
                <w:rStyle w:val="Hyperlink"/>
                <w:rFonts w:ascii="Times New Roman" w:hAnsi="Times New Roman"/>
                <w:noProof/>
                <w:color w:val="auto"/>
                <w:sz w:val="24"/>
                <w:szCs w:val="24"/>
              </w:rPr>
              <w:t>6.4</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Discussion</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_Toc179917997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87</w:t>
            </w:r>
            <w:r w:rsidRPr="008E4EFB">
              <w:rPr>
                <w:rFonts w:ascii="Times New Roman" w:hAnsi="Times New Roman"/>
                <w:noProof/>
                <w:webHidden/>
                <w:sz w:val="24"/>
                <w:szCs w:val="24"/>
              </w:rPr>
              <w:fldChar w:fldCharType="end"/>
            </w:r>
          </w:hyperlink>
        </w:p>
        <w:p w14:paraId="4492FCD9" w14:textId="71C0A08C"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98" w:history="1">
            <w:r w:rsidRPr="008E4EFB">
              <w:rPr>
                <w:rStyle w:val="Hyperlink"/>
                <w:rFonts w:ascii="Times New Roman" w:hAnsi="Times New Roman"/>
                <w:noProof/>
                <w:color w:val="auto"/>
                <w:sz w:val="24"/>
                <w:szCs w:val="24"/>
              </w:rPr>
              <w:t>6.5</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Regional Differences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_Toc179917998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88</w:t>
            </w:r>
            <w:r w:rsidRPr="008E4EFB">
              <w:rPr>
                <w:rFonts w:ascii="Times New Roman" w:hAnsi="Times New Roman"/>
                <w:noProof/>
                <w:webHidden/>
                <w:sz w:val="24"/>
                <w:szCs w:val="24"/>
              </w:rPr>
              <w:fldChar w:fldCharType="end"/>
            </w:r>
          </w:hyperlink>
        </w:p>
        <w:p w14:paraId="55FAEDAB" w14:textId="388395D4"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7999" w:history="1">
            <w:r w:rsidRPr="008E4EFB">
              <w:rPr>
                <w:rStyle w:val="Hyperlink"/>
                <w:rFonts w:ascii="Times New Roman" w:hAnsi="Times New Roman"/>
                <w:noProof/>
                <w:color w:val="auto"/>
                <w:sz w:val="24"/>
                <w:szCs w:val="24"/>
              </w:rPr>
              <w:t>6.6</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Land Use</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_Toc179917999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89</w:t>
            </w:r>
            <w:r w:rsidRPr="008E4EFB">
              <w:rPr>
                <w:rFonts w:ascii="Times New Roman" w:hAnsi="Times New Roman"/>
                <w:noProof/>
                <w:webHidden/>
                <w:sz w:val="24"/>
                <w:szCs w:val="24"/>
              </w:rPr>
              <w:fldChar w:fldCharType="end"/>
            </w:r>
          </w:hyperlink>
        </w:p>
        <w:p w14:paraId="167C94FC" w14:textId="25C00B90"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8000" w:history="1">
            <w:r w:rsidRPr="008E4EFB">
              <w:rPr>
                <w:rStyle w:val="Hyperlink"/>
                <w:rFonts w:ascii="Times New Roman" w:hAnsi="Times New Roman"/>
                <w:noProof/>
                <w:color w:val="auto"/>
                <w:sz w:val="24"/>
                <w:szCs w:val="24"/>
              </w:rPr>
              <w:t>6.7</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Climate Change</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_Toc179918000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92</w:t>
            </w:r>
            <w:r w:rsidRPr="008E4EFB">
              <w:rPr>
                <w:rFonts w:ascii="Times New Roman" w:hAnsi="Times New Roman"/>
                <w:noProof/>
                <w:webHidden/>
                <w:sz w:val="24"/>
                <w:szCs w:val="24"/>
              </w:rPr>
              <w:fldChar w:fldCharType="end"/>
            </w:r>
          </w:hyperlink>
        </w:p>
        <w:p w14:paraId="446C558C" w14:textId="7F8CD136" w:rsidR="00C410C7" w:rsidRPr="008E4EFB" w:rsidRDefault="00C410C7" w:rsidP="00936B99">
          <w:pPr>
            <w:pStyle w:val="TOC2"/>
            <w:tabs>
              <w:tab w:val="left" w:pos="960"/>
              <w:tab w:val="right" w:leader="dot" w:pos="9350"/>
            </w:tabs>
            <w:spacing w:after="0" w:line="360" w:lineRule="auto"/>
            <w:rPr>
              <w:rFonts w:ascii="Times New Roman" w:hAnsi="Times New Roman"/>
              <w:noProof/>
              <w:kern w:val="2"/>
              <w:sz w:val="24"/>
              <w:szCs w:val="24"/>
              <w14:ligatures w14:val="standardContextual"/>
            </w:rPr>
          </w:pPr>
          <w:hyperlink w:anchor="_Toc179918001" w:history="1">
            <w:r w:rsidRPr="008E4EFB">
              <w:rPr>
                <w:rStyle w:val="Hyperlink"/>
                <w:rFonts w:ascii="Times New Roman" w:hAnsi="Times New Roman"/>
                <w:noProof/>
                <w:color w:val="auto"/>
                <w:sz w:val="24"/>
                <w:szCs w:val="24"/>
              </w:rPr>
              <w:t>6.8</w:t>
            </w:r>
            <w:r w:rsidRPr="008E4EFB">
              <w:rPr>
                <w:rFonts w:ascii="Times New Roman" w:hAnsi="Times New Roman"/>
                <w:noProof/>
                <w:kern w:val="2"/>
                <w:sz w:val="24"/>
                <w:szCs w:val="24"/>
                <w14:ligatures w14:val="standardContextual"/>
              </w:rPr>
              <w:tab/>
            </w:r>
            <w:r w:rsidRPr="008E4EFB">
              <w:rPr>
                <w:rStyle w:val="Hyperlink"/>
                <w:rFonts w:ascii="Times New Roman" w:hAnsi="Times New Roman"/>
                <w:noProof/>
                <w:color w:val="auto"/>
                <w:sz w:val="24"/>
                <w:szCs w:val="24"/>
              </w:rPr>
              <w:t>Conclusions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_Toc179918001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93</w:t>
            </w:r>
            <w:r w:rsidRPr="008E4EFB">
              <w:rPr>
                <w:rFonts w:ascii="Times New Roman" w:hAnsi="Times New Roman"/>
                <w:noProof/>
                <w:webHidden/>
                <w:sz w:val="24"/>
                <w:szCs w:val="24"/>
              </w:rPr>
              <w:fldChar w:fldCharType="end"/>
            </w:r>
          </w:hyperlink>
        </w:p>
        <w:p w14:paraId="0B1AB913" w14:textId="71E6D784" w:rsidR="00C410C7" w:rsidRPr="008E4EFB" w:rsidRDefault="00C410C7" w:rsidP="00936B99">
          <w:pPr>
            <w:pStyle w:val="TOC1"/>
            <w:tabs>
              <w:tab w:val="right" w:leader="dot" w:pos="9350"/>
            </w:tabs>
            <w:spacing w:after="0" w:line="360" w:lineRule="auto"/>
            <w:rPr>
              <w:rFonts w:ascii="Times New Roman" w:hAnsi="Times New Roman"/>
              <w:noProof/>
              <w:kern w:val="2"/>
              <w:sz w:val="24"/>
              <w:szCs w:val="24"/>
              <w14:ligatures w14:val="standardContextual"/>
            </w:rPr>
          </w:pPr>
          <w:hyperlink w:anchor="_Toc179918002" w:history="1">
            <w:r w:rsidRPr="008E4EFB">
              <w:rPr>
                <w:rStyle w:val="Hyperlink"/>
                <w:rFonts w:ascii="Times New Roman" w:hAnsi="Times New Roman"/>
                <w:noProof/>
                <w:color w:val="auto"/>
                <w:sz w:val="24"/>
                <w:szCs w:val="24"/>
              </w:rPr>
              <w:t>Chapter 7 Conclusions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_Toc179918002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95</w:t>
            </w:r>
            <w:r w:rsidRPr="008E4EFB">
              <w:rPr>
                <w:rFonts w:ascii="Times New Roman" w:hAnsi="Times New Roman"/>
                <w:noProof/>
                <w:webHidden/>
                <w:sz w:val="24"/>
                <w:szCs w:val="24"/>
              </w:rPr>
              <w:fldChar w:fldCharType="end"/>
            </w:r>
          </w:hyperlink>
        </w:p>
        <w:p w14:paraId="1B3ABFE2" w14:textId="00FC366B" w:rsidR="00C410C7" w:rsidRPr="008E4EFB" w:rsidRDefault="00C410C7" w:rsidP="00936B99">
          <w:pPr>
            <w:pStyle w:val="TOC1"/>
            <w:tabs>
              <w:tab w:val="right" w:leader="dot" w:pos="9350"/>
            </w:tabs>
            <w:spacing w:after="0" w:line="360" w:lineRule="auto"/>
            <w:rPr>
              <w:rFonts w:ascii="Times New Roman" w:hAnsi="Times New Roman"/>
              <w:noProof/>
              <w:kern w:val="2"/>
              <w:sz w:val="24"/>
              <w:szCs w:val="24"/>
              <w14:ligatures w14:val="standardContextual"/>
            </w:rPr>
          </w:pPr>
          <w:hyperlink w:anchor="_Toc179918003" w:history="1">
            <w:r w:rsidRPr="008E4EFB">
              <w:rPr>
                <w:rStyle w:val="Hyperlink"/>
                <w:rFonts w:ascii="Times New Roman" w:hAnsi="Times New Roman"/>
                <w:noProof/>
                <w:color w:val="auto"/>
                <w:sz w:val="24"/>
                <w:szCs w:val="24"/>
              </w:rPr>
              <w:t>References</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_Toc179918003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97</w:t>
            </w:r>
            <w:r w:rsidRPr="008E4EFB">
              <w:rPr>
                <w:rFonts w:ascii="Times New Roman" w:hAnsi="Times New Roman"/>
                <w:noProof/>
                <w:webHidden/>
                <w:sz w:val="24"/>
                <w:szCs w:val="24"/>
              </w:rPr>
              <w:fldChar w:fldCharType="end"/>
            </w:r>
          </w:hyperlink>
        </w:p>
        <w:p w14:paraId="37DFFA7F" w14:textId="6BCB4DF7" w:rsidR="00C410C7" w:rsidRPr="008E4EFB" w:rsidRDefault="00C410C7" w:rsidP="00936B99">
          <w:pPr>
            <w:pStyle w:val="TOC1"/>
            <w:tabs>
              <w:tab w:val="right" w:leader="dot" w:pos="9350"/>
            </w:tabs>
            <w:spacing w:after="0" w:line="360" w:lineRule="auto"/>
            <w:rPr>
              <w:rFonts w:ascii="Times New Roman" w:hAnsi="Times New Roman"/>
              <w:noProof/>
              <w:kern w:val="2"/>
              <w:sz w:val="24"/>
              <w:szCs w:val="24"/>
              <w14:ligatures w14:val="standardContextual"/>
            </w:rPr>
          </w:pPr>
          <w:hyperlink w:anchor="_Toc179918004" w:history="1">
            <w:r w:rsidRPr="008E4EFB">
              <w:rPr>
                <w:rStyle w:val="Hyperlink"/>
                <w:rFonts w:ascii="Times New Roman" w:hAnsi="Times New Roman"/>
                <w:noProof/>
                <w:color w:val="auto"/>
                <w:sz w:val="24"/>
                <w:szCs w:val="24"/>
              </w:rPr>
              <w:t>Appendix</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_Toc179918004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131</w:t>
            </w:r>
            <w:r w:rsidRPr="008E4EFB">
              <w:rPr>
                <w:rFonts w:ascii="Times New Roman" w:hAnsi="Times New Roman"/>
                <w:noProof/>
                <w:webHidden/>
                <w:sz w:val="24"/>
                <w:szCs w:val="24"/>
              </w:rPr>
              <w:fldChar w:fldCharType="end"/>
            </w:r>
          </w:hyperlink>
        </w:p>
        <w:p w14:paraId="2699B939" w14:textId="50FA34B6" w:rsidR="00C410C7" w:rsidRPr="008E4EFB" w:rsidRDefault="00C410C7" w:rsidP="00936B99">
          <w:pPr>
            <w:pStyle w:val="TOC1"/>
            <w:tabs>
              <w:tab w:val="right" w:leader="dot" w:pos="9350"/>
            </w:tabs>
            <w:spacing w:after="0" w:line="360" w:lineRule="auto"/>
            <w:rPr>
              <w:rFonts w:ascii="Times New Roman" w:hAnsi="Times New Roman"/>
              <w:noProof/>
              <w:kern w:val="2"/>
              <w:sz w:val="24"/>
              <w:szCs w:val="24"/>
              <w14:ligatures w14:val="standardContextual"/>
            </w:rPr>
          </w:pPr>
          <w:hyperlink w:anchor="_Toc179918005" w:history="1">
            <w:r w:rsidRPr="008E4EFB">
              <w:rPr>
                <w:rStyle w:val="Hyperlink"/>
                <w:rFonts w:ascii="Times New Roman" w:hAnsi="Times New Roman"/>
                <w:noProof/>
                <w:color w:val="auto"/>
                <w:sz w:val="24"/>
                <w:szCs w:val="24"/>
              </w:rPr>
              <w:t>Vita</w:t>
            </w:r>
            <w:r w:rsidRPr="008E4EFB">
              <w:rPr>
                <w:rFonts w:ascii="Times New Roman" w:hAnsi="Times New Roman"/>
                <w:noProof/>
                <w:webHidden/>
                <w:sz w:val="24"/>
                <w:szCs w:val="24"/>
              </w:rPr>
              <w:tab/>
            </w:r>
            <w:r w:rsidRPr="008E4EFB">
              <w:rPr>
                <w:rFonts w:ascii="Times New Roman" w:hAnsi="Times New Roman"/>
                <w:noProof/>
                <w:webHidden/>
                <w:sz w:val="24"/>
                <w:szCs w:val="24"/>
              </w:rPr>
              <w:fldChar w:fldCharType="begin"/>
            </w:r>
            <w:r w:rsidRPr="008E4EFB">
              <w:rPr>
                <w:rFonts w:ascii="Times New Roman" w:hAnsi="Times New Roman"/>
                <w:noProof/>
                <w:webHidden/>
                <w:sz w:val="24"/>
                <w:szCs w:val="24"/>
              </w:rPr>
              <w:instrText xml:space="preserve"> PAGEREF _Toc179918005 \h </w:instrText>
            </w:r>
            <w:r w:rsidRPr="008E4EFB">
              <w:rPr>
                <w:rFonts w:ascii="Times New Roman" w:hAnsi="Times New Roman"/>
                <w:noProof/>
                <w:webHidden/>
                <w:sz w:val="24"/>
                <w:szCs w:val="24"/>
              </w:rPr>
            </w:r>
            <w:r w:rsidRPr="008E4EFB">
              <w:rPr>
                <w:rFonts w:ascii="Times New Roman" w:hAnsi="Times New Roman"/>
                <w:noProof/>
                <w:webHidden/>
                <w:sz w:val="24"/>
                <w:szCs w:val="24"/>
              </w:rPr>
              <w:fldChar w:fldCharType="separate"/>
            </w:r>
            <w:r w:rsidR="004F48FD">
              <w:rPr>
                <w:rFonts w:ascii="Times New Roman" w:hAnsi="Times New Roman"/>
                <w:noProof/>
                <w:webHidden/>
                <w:sz w:val="24"/>
                <w:szCs w:val="24"/>
              </w:rPr>
              <w:t>154</w:t>
            </w:r>
            <w:r w:rsidRPr="008E4EFB">
              <w:rPr>
                <w:rFonts w:ascii="Times New Roman" w:hAnsi="Times New Roman"/>
                <w:noProof/>
                <w:webHidden/>
                <w:sz w:val="24"/>
                <w:szCs w:val="24"/>
              </w:rPr>
              <w:fldChar w:fldCharType="end"/>
            </w:r>
          </w:hyperlink>
        </w:p>
        <w:p w14:paraId="1538BF6D" w14:textId="72638670" w:rsidR="00BB40C9" w:rsidRPr="008E4EFB" w:rsidRDefault="00BB40C9" w:rsidP="00936B99">
          <w:pPr>
            <w:spacing w:after="0" w:line="360" w:lineRule="auto"/>
            <w:rPr>
              <w:rFonts w:ascii="Times New Roman" w:hAnsi="Times New Roman" w:cs="Times New Roman"/>
              <w:sz w:val="24"/>
              <w:szCs w:val="24"/>
            </w:rPr>
          </w:pPr>
          <w:r w:rsidRPr="008E4EFB">
            <w:rPr>
              <w:rFonts w:ascii="Times New Roman" w:hAnsi="Times New Roman" w:cs="Times New Roman"/>
              <w:noProof/>
              <w:sz w:val="24"/>
              <w:szCs w:val="24"/>
            </w:rPr>
            <w:fldChar w:fldCharType="end"/>
          </w:r>
        </w:p>
      </w:sdtContent>
    </w:sdt>
    <w:p w14:paraId="636BB129" w14:textId="18B00C90" w:rsidR="00F21285" w:rsidRPr="008E4EFB" w:rsidRDefault="00E26C6C" w:rsidP="00CB0892">
      <w:pPr>
        <w:spacing w:line="240" w:lineRule="auto"/>
        <w:jc w:val="center"/>
        <w:rPr>
          <w:rFonts w:ascii="Times New Roman" w:hAnsi="Times New Roman" w:cs="Times New Roman"/>
          <w:sz w:val="24"/>
          <w:szCs w:val="24"/>
        </w:rPr>
      </w:pPr>
      <w:r w:rsidRPr="008E4EFB">
        <w:rPr>
          <w:rFonts w:ascii="Times New Roman" w:hAnsi="Times New Roman" w:cs="Times New Roman"/>
          <w:sz w:val="24"/>
          <w:szCs w:val="24"/>
        </w:rPr>
        <w:br w:type="page"/>
      </w:r>
      <w:r w:rsidR="003F608C" w:rsidRPr="008E4EFB">
        <w:rPr>
          <w:rFonts w:ascii="Times New Roman" w:hAnsi="Times New Roman" w:cs="Times New Roman"/>
          <w:sz w:val="24"/>
          <w:szCs w:val="24"/>
        </w:rPr>
        <w:lastRenderedPageBreak/>
        <w:t>List of Tables</w:t>
      </w:r>
    </w:p>
    <w:p w14:paraId="2B3ABD27" w14:textId="50B15C2B" w:rsidR="00340D41" w:rsidRPr="00936B99" w:rsidRDefault="006D1CD7"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r w:rsidRPr="00936B99">
        <w:rPr>
          <w:rFonts w:ascii="Times New Roman" w:hAnsi="Times New Roman" w:cs="Times New Roman"/>
          <w:sz w:val="24"/>
          <w:szCs w:val="24"/>
        </w:rPr>
        <w:fldChar w:fldCharType="begin"/>
      </w:r>
      <w:r w:rsidRPr="00936B99">
        <w:rPr>
          <w:rFonts w:ascii="Times New Roman" w:hAnsi="Times New Roman" w:cs="Times New Roman"/>
          <w:sz w:val="24"/>
          <w:szCs w:val="24"/>
        </w:rPr>
        <w:instrText xml:space="preserve"> TOC \h \z \c "Table" </w:instrText>
      </w:r>
      <w:r w:rsidRPr="00936B99">
        <w:rPr>
          <w:rFonts w:ascii="Times New Roman" w:hAnsi="Times New Roman" w:cs="Times New Roman"/>
          <w:sz w:val="24"/>
          <w:szCs w:val="24"/>
        </w:rPr>
        <w:fldChar w:fldCharType="separate"/>
      </w:r>
      <w:hyperlink w:anchor="_Toc184062955" w:history="1">
        <w:r w:rsidR="00340D41" w:rsidRPr="00936B99">
          <w:rPr>
            <w:rStyle w:val="Hyperlink"/>
            <w:rFonts w:ascii="Times New Roman" w:hAnsi="Times New Roman" w:cs="Times New Roman"/>
            <w:noProof/>
            <w:sz w:val="24"/>
            <w:szCs w:val="24"/>
          </w:rPr>
          <w:t>Table 2.1 Sources of deposition observations</w:t>
        </w:r>
        <w:r w:rsidR="00340D41" w:rsidRPr="00936B99">
          <w:rPr>
            <w:rFonts w:ascii="Times New Roman" w:hAnsi="Times New Roman" w:cs="Times New Roman"/>
            <w:noProof/>
            <w:webHidden/>
            <w:sz w:val="24"/>
            <w:szCs w:val="24"/>
          </w:rPr>
          <w:tab/>
        </w:r>
        <w:r w:rsidR="00340D41" w:rsidRPr="00936B99">
          <w:rPr>
            <w:rFonts w:ascii="Times New Roman" w:hAnsi="Times New Roman" w:cs="Times New Roman"/>
            <w:noProof/>
            <w:webHidden/>
            <w:sz w:val="24"/>
            <w:szCs w:val="24"/>
          </w:rPr>
          <w:fldChar w:fldCharType="begin"/>
        </w:r>
        <w:r w:rsidR="00340D41" w:rsidRPr="00936B99">
          <w:rPr>
            <w:rFonts w:ascii="Times New Roman" w:hAnsi="Times New Roman" w:cs="Times New Roman"/>
            <w:noProof/>
            <w:webHidden/>
            <w:sz w:val="24"/>
            <w:szCs w:val="24"/>
          </w:rPr>
          <w:instrText xml:space="preserve"> PAGEREF _Toc184062955 \h </w:instrText>
        </w:r>
        <w:r w:rsidR="00340D41" w:rsidRPr="00936B99">
          <w:rPr>
            <w:rFonts w:ascii="Times New Roman" w:hAnsi="Times New Roman" w:cs="Times New Roman"/>
            <w:noProof/>
            <w:webHidden/>
            <w:sz w:val="24"/>
            <w:szCs w:val="24"/>
          </w:rPr>
        </w:r>
        <w:r w:rsidR="00340D41"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6</w:t>
        </w:r>
        <w:r w:rsidR="00340D41" w:rsidRPr="00936B99">
          <w:rPr>
            <w:rFonts w:ascii="Times New Roman" w:hAnsi="Times New Roman" w:cs="Times New Roman"/>
            <w:noProof/>
            <w:webHidden/>
            <w:sz w:val="24"/>
            <w:szCs w:val="24"/>
          </w:rPr>
          <w:fldChar w:fldCharType="end"/>
        </w:r>
      </w:hyperlink>
    </w:p>
    <w:p w14:paraId="0777498D" w14:textId="103CFA7E"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56" w:history="1">
        <w:r w:rsidRPr="00936B99">
          <w:rPr>
            <w:rStyle w:val="Hyperlink"/>
            <w:rFonts w:ascii="Times New Roman" w:hAnsi="Times New Roman" w:cs="Times New Roman"/>
            <w:noProof/>
            <w:sz w:val="24"/>
            <w:szCs w:val="24"/>
          </w:rPr>
          <w:t>Table 2.2 2010 adjusted global wet and dry deposition in Tg N or Tg S. S2.1.</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_Toc184062956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10</w:t>
        </w:r>
        <w:r w:rsidRPr="00936B99">
          <w:rPr>
            <w:rFonts w:ascii="Times New Roman" w:hAnsi="Times New Roman" w:cs="Times New Roman"/>
            <w:noProof/>
            <w:webHidden/>
            <w:sz w:val="24"/>
            <w:szCs w:val="24"/>
          </w:rPr>
          <w:fldChar w:fldCharType="end"/>
        </w:r>
      </w:hyperlink>
    </w:p>
    <w:p w14:paraId="064D6B89" w14:textId="4E5D7A52"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57" w:history="1">
        <w:r w:rsidRPr="00936B99">
          <w:rPr>
            <w:rStyle w:val="Hyperlink"/>
            <w:rFonts w:ascii="Times New Roman" w:hAnsi="Times New Roman" w:cs="Times New Roman"/>
            <w:noProof/>
            <w:sz w:val="24"/>
            <w:szCs w:val="24"/>
          </w:rPr>
          <w:t>Table 3.1 Regional wet deposition averages in kg/ha/yr for 2010, as estimated by the STRF.</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_Toc184062957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33</w:t>
        </w:r>
        <w:r w:rsidRPr="00936B99">
          <w:rPr>
            <w:rFonts w:ascii="Times New Roman" w:hAnsi="Times New Roman" w:cs="Times New Roman"/>
            <w:noProof/>
            <w:webHidden/>
            <w:sz w:val="24"/>
            <w:szCs w:val="24"/>
          </w:rPr>
          <w:fldChar w:fldCharType="end"/>
        </w:r>
      </w:hyperlink>
    </w:p>
    <w:p w14:paraId="63231AEB" w14:textId="3E25A6C0"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58" w:history="1">
        <w:r w:rsidRPr="00936B99">
          <w:rPr>
            <w:rStyle w:val="Hyperlink"/>
            <w:rFonts w:ascii="Times New Roman" w:hAnsi="Times New Roman" w:cs="Times New Roman"/>
            <w:noProof/>
            <w:sz w:val="24"/>
            <w:szCs w:val="24"/>
          </w:rPr>
          <w:t>Table 4.1 Summary of selected CMIP6 model outputs in this work.</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_Toc184062958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38</w:t>
        </w:r>
        <w:r w:rsidRPr="00936B99">
          <w:rPr>
            <w:rFonts w:ascii="Times New Roman" w:hAnsi="Times New Roman" w:cs="Times New Roman"/>
            <w:noProof/>
            <w:webHidden/>
            <w:sz w:val="24"/>
            <w:szCs w:val="24"/>
          </w:rPr>
          <w:fldChar w:fldCharType="end"/>
        </w:r>
      </w:hyperlink>
    </w:p>
    <w:p w14:paraId="54CC9365" w14:textId="5F7023AD"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59" w:history="1">
        <w:r w:rsidRPr="00936B99">
          <w:rPr>
            <w:rStyle w:val="Hyperlink"/>
            <w:rFonts w:ascii="Times New Roman" w:hAnsi="Times New Roman" w:cs="Times New Roman"/>
            <w:noProof/>
            <w:sz w:val="24"/>
            <w:szCs w:val="24"/>
          </w:rPr>
          <w:t>Table 6.1 Statistical description of model fit for the machine learning algorithms and the linear regression model.</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_Toc184062959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79</w:t>
        </w:r>
        <w:r w:rsidRPr="00936B99">
          <w:rPr>
            <w:rFonts w:ascii="Times New Roman" w:hAnsi="Times New Roman" w:cs="Times New Roman"/>
            <w:noProof/>
            <w:webHidden/>
            <w:sz w:val="24"/>
            <w:szCs w:val="24"/>
          </w:rPr>
          <w:fldChar w:fldCharType="end"/>
        </w:r>
      </w:hyperlink>
    </w:p>
    <w:p w14:paraId="473F645B" w14:textId="3AD71154"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60" w:history="1">
        <w:r w:rsidRPr="00936B99">
          <w:rPr>
            <w:rStyle w:val="Hyperlink"/>
            <w:rFonts w:ascii="Times New Roman" w:hAnsi="Times New Roman" w:cs="Times New Roman"/>
            <w:noProof/>
            <w:sz w:val="24"/>
            <w:szCs w:val="24"/>
          </w:rPr>
          <w:t>Table 6.2 Modeled SOC values for the CONUS from recent literature.</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_Toc184062960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86</w:t>
        </w:r>
        <w:r w:rsidRPr="00936B99">
          <w:rPr>
            <w:rFonts w:ascii="Times New Roman" w:hAnsi="Times New Roman" w:cs="Times New Roman"/>
            <w:noProof/>
            <w:webHidden/>
            <w:sz w:val="24"/>
            <w:szCs w:val="24"/>
          </w:rPr>
          <w:fldChar w:fldCharType="end"/>
        </w:r>
      </w:hyperlink>
    </w:p>
    <w:p w14:paraId="65F9C8A7" w14:textId="51CCEE7D"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61" w:history="1">
        <w:r w:rsidRPr="00936B99">
          <w:rPr>
            <w:rStyle w:val="Hyperlink"/>
            <w:rFonts w:ascii="Times New Roman" w:hAnsi="Times New Roman" w:cs="Times New Roman"/>
            <w:noProof/>
            <w:sz w:val="24"/>
            <w:szCs w:val="24"/>
          </w:rPr>
          <w:t>Table S2.1. 2010 adjusted global wet and dry deposition in Tg N or Tg 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_Toc184062961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131</w:t>
        </w:r>
        <w:r w:rsidRPr="00936B99">
          <w:rPr>
            <w:rFonts w:ascii="Times New Roman" w:hAnsi="Times New Roman" w:cs="Times New Roman"/>
            <w:noProof/>
            <w:webHidden/>
            <w:sz w:val="24"/>
            <w:szCs w:val="24"/>
          </w:rPr>
          <w:fldChar w:fldCharType="end"/>
        </w:r>
      </w:hyperlink>
    </w:p>
    <w:p w14:paraId="3A93A774" w14:textId="483F2FCB"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62" w:history="1">
        <w:r w:rsidRPr="00936B99">
          <w:rPr>
            <w:rStyle w:val="Hyperlink"/>
            <w:rFonts w:ascii="Times New Roman" w:hAnsi="Times New Roman" w:cs="Times New Roman"/>
            <w:noProof/>
            <w:sz w:val="24"/>
            <w:szCs w:val="24"/>
          </w:rPr>
          <w:t>Table S2.2. 2010 adjusted global wet and dry deposition in Tg N or Tg 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_Toc184062962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132</w:t>
        </w:r>
        <w:r w:rsidRPr="00936B99">
          <w:rPr>
            <w:rFonts w:ascii="Times New Roman" w:hAnsi="Times New Roman" w:cs="Times New Roman"/>
            <w:noProof/>
            <w:webHidden/>
            <w:sz w:val="24"/>
            <w:szCs w:val="24"/>
          </w:rPr>
          <w:fldChar w:fldCharType="end"/>
        </w:r>
      </w:hyperlink>
    </w:p>
    <w:p w14:paraId="4D8BDF7C" w14:textId="6E0E5731"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63" w:history="1">
        <w:r w:rsidRPr="00936B99">
          <w:rPr>
            <w:rStyle w:val="Hyperlink"/>
            <w:rFonts w:ascii="Times New Roman" w:hAnsi="Times New Roman" w:cs="Times New Roman"/>
            <w:noProof/>
            <w:sz w:val="24"/>
            <w:szCs w:val="24"/>
          </w:rPr>
          <w:t>Table S5.1. The six CMIP6 global climate models used in this work (Rastogi et al., 2022).</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_Toc184062963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148</w:t>
        </w:r>
        <w:r w:rsidRPr="00936B99">
          <w:rPr>
            <w:rFonts w:ascii="Times New Roman" w:hAnsi="Times New Roman" w:cs="Times New Roman"/>
            <w:noProof/>
            <w:webHidden/>
            <w:sz w:val="24"/>
            <w:szCs w:val="24"/>
          </w:rPr>
          <w:fldChar w:fldCharType="end"/>
        </w:r>
      </w:hyperlink>
    </w:p>
    <w:p w14:paraId="0A0989CB" w14:textId="23534326"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64" w:history="1">
        <w:r w:rsidRPr="00936B99">
          <w:rPr>
            <w:rStyle w:val="Hyperlink"/>
            <w:rFonts w:ascii="Times New Roman" w:hAnsi="Times New Roman" w:cs="Times New Roman"/>
            <w:noProof/>
            <w:sz w:val="24"/>
            <w:szCs w:val="24"/>
          </w:rPr>
          <w:t>Table S5.2. The 8 models and observations compared in Figure 5.2.</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_Toc184062964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0A604B">
          <w:rPr>
            <w:rFonts w:ascii="Times New Roman" w:hAnsi="Times New Roman" w:cs="Times New Roman"/>
            <w:noProof/>
            <w:webHidden/>
            <w:sz w:val="24"/>
            <w:szCs w:val="24"/>
          </w:rPr>
          <w:t>149</w:t>
        </w:r>
        <w:r w:rsidRPr="00936B99">
          <w:rPr>
            <w:rFonts w:ascii="Times New Roman" w:hAnsi="Times New Roman" w:cs="Times New Roman"/>
            <w:noProof/>
            <w:webHidden/>
            <w:sz w:val="24"/>
            <w:szCs w:val="24"/>
          </w:rPr>
          <w:fldChar w:fldCharType="end"/>
        </w:r>
      </w:hyperlink>
    </w:p>
    <w:p w14:paraId="56394BA0" w14:textId="2AF7D9E2" w:rsidR="005D36D9" w:rsidRPr="00936B99" w:rsidRDefault="006D1CD7" w:rsidP="00936B99">
      <w:pPr>
        <w:spacing w:after="0" w:line="360" w:lineRule="auto"/>
        <w:rPr>
          <w:rFonts w:ascii="Times New Roman" w:hAnsi="Times New Roman" w:cs="Times New Roman"/>
          <w:sz w:val="24"/>
          <w:szCs w:val="24"/>
        </w:rPr>
      </w:pPr>
      <w:r w:rsidRPr="00936B99">
        <w:rPr>
          <w:rFonts w:ascii="Times New Roman" w:hAnsi="Times New Roman" w:cs="Times New Roman"/>
          <w:sz w:val="24"/>
          <w:szCs w:val="24"/>
        </w:rPr>
        <w:fldChar w:fldCharType="end"/>
      </w:r>
    </w:p>
    <w:p w14:paraId="3DE3AE6E" w14:textId="77777777" w:rsidR="005F50E8" w:rsidRPr="00936B99" w:rsidRDefault="005F50E8" w:rsidP="00936B99">
      <w:pPr>
        <w:spacing w:after="0" w:line="360" w:lineRule="auto"/>
        <w:rPr>
          <w:rFonts w:ascii="Times New Roman" w:hAnsi="Times New Roman" w:cs="Times New Roman"/>
          <w:sz w:val="24"/>
          <w:szCs w:val="24"/>
        </w:rPr>
      </w:pPr>
      <w:r w:rsidRPr="00936B99">
        <w:rPr>
          <w:rFonts w:ascii="Times New Roman" w:hAnsi="Times New Roman" w:cs="Times New Roman"/>
          <w:sz w:val="24"/>
          <w:szCs w:val="24"/>
        </w:rPr>
        <w:br w:type="page"/>
      </w:r>
    </w:p>
    <w:p w14:paraId="71DE4381" w14:textId="2B8F9213" w:rsidR="003F608C" w:rsidRPr="008E4EFB" w:rsidRDefault="003F608C" w:rsidP="00936B99">
      <w:pPr>
        <w:spacing w:line="240" w:lineRule="auto"/>
        <w:jc w:val="center"/>
        <w:rPr>
          <w:rFonts w:ascii="Times New Roman" w:hAnsi="Times New Roman" w:cs="Times New Roman"/>
          <w:sz w:val="24"/>
          <w:szCs w:val="24"/>
        </w:rPr>
      </w:pPr>
      <w:r w:rsidRPr="008E4EFB">
        <w:rPr>
          <w:rFonts w:ascii="Times New Roman" w:hAnsi="Times New Roman" w:cs="Times New Roman"/>
          <w:sz w:val="24"/>
          <w:szCs w:val="24"/>
        </w:rPr>
        <w:lastRenderedPageBreak/>
        <w:t>List of Figures</w:t>
      </w:r>
    </w:p>
    <w:p w14:paraId="517D7D3D" w14:textId="55968133" w:rsidR="00340D41" w:rsidRPr="00936B99" w:rsidRDefault="004B4AC7"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r w:rsidRPr="00936B99">
        <w:rPr>
          <w:rFonts w:ascii="Times New Roman" w:hAnsi="Times New Roman" w:cs="Times New Roman"/>
          <w:sz w:val="24"/>
          <w:szCs w:val="24"/>
        </w:rPr>
        <w:fldChar w:fldCharType="begin"/>
      </w:r>
      <w:r w:rsidRPr="00936B99">
        <w:rPr>
          <w:rFonts w:ascii="Times New Roman" w:hAnsi="Times New Roman" w:cs="Times New Roman"/>
          <w:sz w:val="24"/>
          <w:szCs w:val="24"/>
        </w:rPr>
        <w:instrText xml:space="preserve"> TOC \h \z \c "Figure" </w:instrText>
      </w:r>
      <w:r w:rsidRPr="00936B99">
        <w:rPr>
          <w:rFonts w:ascii="Times New Roman" w:hAnsi="Times New Roman" w:cs="Times New Roman"/>
          <w:sz w:val="24"/>
          <w:szCs w:val="24"/>
        </w:rPr>
        <w:fldChar w:fldCharType="separate"/>
      </w:r>
      <w:hyperlink w:anchor="_Toc184062893" w:history="1">
        <w:r w:rsidR="00340D41" w:rsidRPr="00936B99">
          <w:rPr>
            <w:rStyle w:val="Hyperlink"/>
            <w:rFonts w:ascii="Times New Roman" w:hAnsi="Times New Roman" w:cs="Times New Roman"/>
            <w:noProof/>
            <w:sz w:val="24"/>
            <w:szCs w:val="24"/>
          </w:rPr>
          <w:t>Figure 2.1 A flowchart describes the MMF methodology implemented in this paper.</w:t>
        </w:r>
        <w:r w:rsidR="00340D41" w:rsidRPr="00936B99">
          <w:rPr>
            <w:rFonts w:ascii="Times New Roman" w:hAnsi="Times New Roman" w:cs="Times New Roman"/>
            <w:noProof/>
            <w:webHidden/>
            <w:sz w:val="24"/>
            <w:szCs w:val="24"/>
          </w:rPr>
          <w:tab/>
        </w:r>
        <w:r w:rsidR="00340D41" w:rsidRPr="00936B99">
          <w:rPr>
            <w:rFonts w:ascii="Times New Roman" w:hAnsi="Times New Roman" w:cs="Times New Roman"/>
            <w:noProof/>
            <w:webHidden/>
            <w:sz w:val="24"/>
            <w:szCs w:val="24"/>
          </w:rPr>
          <w:fldChar w:fldCharType="begin"/>
        </w:r>
        <w:r w:rsidR="00340D41" w:rsidRPr="00936B99">
          <w:rPr>
            <w:rFonts w:ascii="Times New Roman" w:hAnsi="Times New Roman" w:cs="Times New Roman"/>
            <w:noProof/>
            <w:webHidden/>
            <w:sz w:val="24"/>
            <w:szCs w:val="24"/>
          </w:rPr>
          <w:instrText xml:space="preserve"> PAGEREF _Toc184062893 \h </w:instrText>
        </w:r>
        <w:r w:rsidR="00340D41" w:rsidRPr="00936B99">
          <w:rPr>
            <w:rFonts w:ascii="Times New Roman" w:hAnsi="Times New Roman" w:cs="Times New Roman"/>
            <w:noProof/>
            <w:webHidden/>
            <w:sz w:val="24"/>
            <w:szCs w:val="24"/>
          </w:rPr>
        </w:r>
        <w:r w:rsidR="00340D41"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8</w:t>
        </w:r>
        <w:r w:rsidR="00340D41" w:rsidRPr="00936B99">
          <w:rPr>
            <w:rFonts w:ascii="Times New Roman" w:hAnsi="Times New Roman" w:cs="Times New Roman"/>
            <w:noProof/>
            <w:webHidden/>
            <w:sz w:val="24"/>
            <w:szCs w:val="24"/>
          </w:rPr>
          <w:fldChar w:fldCharType="end"/>
        </w:r>
      </w:hyperlink>
    </w:p>
    <w:p w14:paraId="563A7DED" w14:textId="1864F54E"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894" w:history="1">
        <w:r w:rsidRPr="00936B99">
          <w:rPr>
            <w:rStyle w:val="Hyperlink"/>
            <w:rFonts w:ascii="Times New Roman" w:hAnsi="Times New Roman" w:cs="Times New Roman"/>
            <w:noProof/>
            <w:sz w:val="24"/>
            <w:szCs w:val="24"/>
          </w:rPr>
          <w:t>Figure 2.2 Total N and S deposition in 2010 using the MMF approach.</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_Toc184062894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12</w:t>
        </w:r>
        <w:r w:rsidRPr="00936B99">
          <w:rPr>
            <w:rFonts w:ascii="Times New Roman" w:hAnsi="Times New Roman" w:cs="Times New Roman"/>
            <w:noProof/>
            <w:webHidden/>
            <w:sz w:val="24"/>
            <w:szCs w:val="24"/>
          </w:rPr>
          <w:fldChar w:fldCharType="end"/>
        </w:r>
      </w:hyperlink>
    </w:p>
    <w:p w14:paraId="1CFDD51A" w14:textId="75E15874"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895" w:history="1">
        <w:r w:rsidRPr="00936B99">
          <w:rPr>
            <w:rStyle w:val="Hyperlink"/>
            <w:rFonts w:ascii="Times New Roman" w:hAnsi="Times New Roman" w:cs="Times New Roman"/>
            <w:noProof/>
            <w:sz w:val="24"/>
            <w:szCs w:val="24"/>
          </w:rPr>
          <w:t>Figure 2.3 A comparison between HTAP II, MMF, and EMEP wet deposition fluxes in Europe results at EMEP observation sites.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_Toc184062895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w:t>
        </w:r>
        <w:r w:rsidRPr="00936B99">
          <w:rPr>
            <w:rFonts w:ascii="Times New Roman" w:hAnsi="Times New Roman" w:cs="Times New Roman"/>
            <w:noProof/>
            <w:webHidden/>
            <w:sz w:val="24"/>
            <w:szCs w:val="24"/>
          </w:rPr>
          <w:fldChar w:fldCharType="end"/>
        </w:r>
      </w:hyperlink>
    </w:p>
    <w:p w14:paraId="50E4FE6B" w14:textId="429B9C32"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896" w:history="1">
        <w:r w:rsidRPr="00936B99">
          <w:rPr>
            <w:rStyle w:val="Hyperlink"/>
            <w:rFonts w:ascii="Times New Roman" w:hAnsi="Times New Roman" w:cs="Times New Roman"/>
            <w:noProof/>
            <w:sz w:val="24"/>
            <w:szCs w:val="24"/>
          </w:rPr>
          <w:t>Figure 2.4 The difference between MMF and MMM deposition with a 2.5-degree interpolation distance.</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_Toc184062896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w:t>
        </w:r>
        <w:r w:rsidRPr="00936B99">
          <w:rPr>
            <w:rFonts w:ascii="Times New Roman" w:hAnsi="Times New Roman" w:cs="Times New Roman"/>
            <w:noProof/>
            <w:webHidden/>
            <w:sz w:val="24"/>
            <w:szCs w:val="24"/>
          </w:rPr>
          <w:fldChar w:fldCharType="end"/>
        </w:r>
      </w:hyperlink>
    </w:p>
    <w:p w14:paraId="7C011CA5" w14:textId="783C89D9"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897" w:history="1">
        <w:r w:rsidRPr="00936B99">
          <w:rPr>
            <w:rStyle w:val="Hyperlink"/>
            <w:rFonts w:ascii="Times New Roman" w:hAnsi="Times New Roman" w:cs="Times New Roman"/>
            <w:noProof/>
            <w:sz w:val="24"/>
            <w:szCs w:val="24"/>
          </w:rPr>
          <w:t>Figure 2.5 2010 Total N deposition in the continental USA.</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_Toc184062897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w:t>
        </w:r>
        <w:r w:rsidRPr="00936B99">
          <w:rPr>
            <w:rFonts w:ascii="Times New Roman" w:hAnsi="Times New Roman" w:cs="Times New Roman"/>
            <w:noProof/>
            <w:webHidden/>
            <w:sz w:val="24"/>
            <w:szCs w:val="24"/>
          </w:rPr>
          <w:fldChar w:fldCharType="end"/>
        </w:r>
      </w:hyperlink>
    </w:p>
    <w:p w14:paraId="51B4D49C" w14:textId="19FFF8BD"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898" w:history="1">
        <w:r w:rsidRPr="00936B99">
          <w:rPr>
            <w:rStyle w:val="Hyperlink"/>
            <w:rFonts w:ascii="Times New Roman" w:hAnsi="Times New Roman" w:cs="Times New Roman"/>
            <w:noProof/>
            <w:sz w:val="24"/>
            <w:szCs w:val="24"/>
          </w:rPr>
          <w:t>Figure 2.6 Observed and modeled wet SO</w:t>
        </w:r>
        <w:r w:rsidRPr="00936B99">
          <w:rPr>
            <w:rStyle w:val="Hyperlink"/>
            <w:rFonts w:ascii="Times New Roman" w:hAnsi="Times New Roman" w:cs="Times New Roman"/>
            <w:noProof/>
            <w:sz w:val="24"/>
            <w:szCs w:val="24"/>
            <w:vertAlign w:val="subscript"/>
          </w:rPr>
          <w:t>4</w:t>
        </w:r>
        <w:r w:rsidRPr="00936B99">
          <w:rPr>
            <w:rStyle w:val="Hyperlink"/>
            <w:rFonts w:ascii="Times New Roman" w:hAnsi="Times New Roman" w:cs="Times New Roman"/>
            <w:noProof/>
            <w:sz w:val="24"/>
            <w:szCs w:val="24"/>
            <w:vertAlign w:val="superscript"/>
          </w:rPr>
          <w:t>2-</w:t>
        </w:r>
        <w:r w:rsidRPr="00936B99">
          <w:rPr>
            <w:rStyle w:val="Hyperlink"/>
            <w:rFonts w:ascii="Times New Roman" w:hAnsi="Times New Roman" w:cs="Times New Roman"/>
            <w:noProof/>
            <w:sz w:val="24"/>
            <w:szCs w:val="24"/>
          </w:rPr>
          <w:t xml:space="preserve"> deposition in the US in 2010.</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_Toc184062898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16</w:t>
        </w:r>
        <w:r w:rsidRPr="00936B99">
          <w:rPr>
            <w:rFonts w:ascii="Times New Roman" w:hAnsi="Times New Roman" w:cs="Times New Roman"/>
            <w:noProof/>
            <w:webHidden/>
            <w:sz w:val="24"/>
            <w:szCs w:val="24"/>
          </w:rPr>
          <w:fldChar w:fldCharType="end"/>
        </w:r>
      </w:hyperlink>
    </w:p>
    <w:p w14:paraId="214D4974" w14:textId="18371637"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899" w:history="1">
        <w:r w:rsidRPr="00936B99">
          <w:rPr>
            <w:rStyle w:val="Hyperlink"/>
            <w:rFonts w:ascii="Times New Roman" w:hAnsi="Times New Roman" w:cs="Times New Roman"/>
            <w:noProof/>
            <w:sz w:val="24"/>
            <w:szCs w:val="24"/>
          </w:rPr>
          <w:t>Figure 3.1 The relationship between measured and predicted NO3- for the training (left, R2 = 0.89) and testing (right, R2: 0.89) datasets.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_Toc184062899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25</w:t>
        </w:r>
        <w:r w:rsidRPr="00936B99">
          <w:rPr>
            <w:rFonts w:ascii="Times New Roman" w:hAnsi="Times New Roman" w:cs="Times New Roman"/>
            <w:noProof/>
            <w:webHidden/>
            <w:sz w:val="24"/>
            <w:szCs w:val="24"/>
          </w:rPr>
          <w:fldChar w:fldCharType="end"/>
        </w:r>
      </w:hyperlink>
    </w:p>
    <w:p w14:paraId="2D07A662" w14:textId="2D92AC7B"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0" w:history="1">
        <w:r w:rsidRPr="00936B99">
          <w:rPr>
            <w:rStyle w:val="Hyperlink"/>
            <w:rFonts w:ascii="Times New Roman" w:hAnsi="Times New Roman" w:cs="Times New Roman"/>
            <w:noProof/>
            <w:sz w:val="24"/>
            <w:szCs w:val="24"/>
          </w:rPr>
          <w:t>Figure 3.2 Monthly wet NO3- deposition over the CONUS in 2010, as modeled from HTAP and OMI satellite data in mg/ha.</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_Toc184062900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26</w:t>
        </w:r>
        <w:r w:rsidRPr="00936B99">
          <w:rPr>
            <w:rFonts w:ascii="Times New Roman" w:hAnsi="Times New Roman" w:cs="Times New Roman"/>
            <w:noProof/>
            <w:webHidden/>
            <w:sz w:val="24"/>
            <w:szCs w:val="24"/>
          </w:rPr>
          <w:fldChar w:fldCharType="end"/>
        </w:r>
      </w:hyperlink>
    </w:p>
    <w:p w14:paraId="1986BCC5" w14:textId="660D076A"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1" w:history="1">
        <w:r w:rsidRPr="00936B99">
          <w:rPr>
            <w:rStyle w:val="Hyperlink"/>
            <w:rFonts w:ascii="Times New Roman" w:hAnsi="Times New Roman" w:cs="Times New Roman"/>
            <w:noProof/>
            <w:sz w:val="24"/>
            <w:szCs w:val="24"/>
          </w:rPr>
          <w:t>Figure 3.3 The difference in monthly wet NO3- deposition over the CONUS in 2010 between the RF model estimated wet deposition and an estimate from an IDW map of NADP’s NTN wet deposition measurements in mg/ha.</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_Toc184062901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27</w:t>
        </w:r>
        <w:r w:rsidRPr="00936B99">
          <w:rPr>
            <w:rFonts w:ascii="Times New Roman" w:hAnsi="Times New Roman" w:cs="Times New Roman"/>
            <w:noProof/>
            <w:webHidden/>
            <w:sz w:val="24"/>
            <w:szCs w:val="24"/>
          </w:rPr>
          <w:fldChar w:fldCharType="end"/>
        </w:r>
      </w:hyperlink>
    </w:p>
    <w:p w14:paraId="610489C3" w14:textId="6F08F3BF"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2" w:history="1">
        <w:r w:rsidRPr="00936B99">
          <w:rPr>
            <w:rStyle w:val="Hyperlink"/>
            <w:rFonts w:ascii="Times New Roman" w:hAnsi="Times New Roman" w:cs="Times New Roman"/>
            <w:noProof/>
            <w:sz w:val="24"/>
            <w:szCs w:val="24"/>
          </w:rPr>
          <w:t>Figure 3.4 The relationship between measured and predicted NH4+ for the training (left, R2 = 0.92) and testing (right, R2: 0.92) datasets.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_Toc184062902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28</w:t>
        </w:r>
        <w:r w:rsidRPr="00936B99">
          <w:rPr>
            <w:rFonts w:ascii="Times New Roman" w:hAnsi="Times New Roman" w:cs="Times New Roman"/>
            <w:noProof/>
            <w:webHidden/>
            <w:sz w:val="24"/>
            <w:szCs w:val="24"/>
          </w:rPr>
          <w:fldChar w:fldCharType="end"/>
        </w:r>
      </w:hyperlink>
    </w:p>
    <w:p w14:paraId="0625E086" w14:textId="62F5692D"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3" w:history="1">
        <w:r w:rsidRPr="00936B99">
          <w:rPr>
            <w:rStyle w:val="Hyperlink"/>
            <w:rFonts w:ascii="Times New Roman" w:hAnsi="Times New Roman" w:cs="Times New Roman"/>
            <w:noProof/>
            <w:sz w:val="24"/>
            <w:szCs w:val="24"/>
          </w:rPr>
          <w:t>Figure 3.5 Monthly wet NH4+ deposition over the CONUS in 2010, as modeled from HTAP and OMI satellite data in mg/ha.</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_Toc184062903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29</w:t>
        </w:r>
        <w:r w:rsidRPr="00936B99">
          <w:rPr>
            <w:rFonts w:ascii="Times New Roman" w:hAnsi="Times New Roman" w:cs="Times New Roman"/>
            <w:noProof/>
            <w:webHidden/>
            <w:sz w:val="24"/>
            <w:szCs w:val="24"/>
          </w:rPr>
          <w:fldChar w:fldCharType="end"/>
        </w:r>
      </w:hyperlink>
    </w:p>
    <w:p w14:paraId="7623309F" w14:textId="2E81600C"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4" w:history="1">
        <w:r w:rsidRPr="00936B99">
          <w:rPr>
            <w:rStyle w:val="Hyperlink"/>
            <w:rFonts w:ascii="Times New Roman" w:hAnsi="Times New Roman" w:cs="Times New Roman"/>
            <w:noProof/>
            <w:sz w:val="24"/>
            <w:szCs w:val="24"/>
          </w:rPr>
          <w:t>Figure 3.6 The difference in monthly wet NH4+ deposition over the CONUS in 2010 between the RF model estimated wet deposition and an estimate from the NADP’s NTN wet deposition maps in mg/ha..</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_Toc184062904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30</w:t>
        </w:r>
        <w:r w:rsidRPr="00936B99">
          <w:rPr>
            <w:rFonts w:ascii="Times New Roman" w:hAnsi="Times New Roman" w:cs="Times New Roman"/>
            <w:noProof/>
            <w:webHidden/>
            <w:sz w:val="24"/>
            <w:szCs w:val="24"/>
          </w:rPr>
          <w:fldChar w:fldCharType="end"/>
        </w:r>
      </w:hyperlink>
    </w:p>
    <w:p w14:paraId="3F0D2997" w14:textId="4CA38D40"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5" w:history="1">
        <w:r w:rsidRPr="00936B99">
          <w:rPr>
            <w:rStyle w:val="Hyperlink"/>
            <w:rFonts w:ascii="Times New Roman" w:hAnsi="Times New Roman" w:cs="Times New Roman"/>
            <w:noProof/>
            <w:sz w:val="24"/>
            <w:szCs w:val="24"/>
          </w:rPr>
          <w:t>Figure 4.1 Global dry S (both SO2 and SO</w:t>
        </w:r>
        <w:r w:rsidRPr="00936B99">
          <w:rPr>
            <w:rStyle w:val="Hyperlink"/>
            <w:rFonts w:ascii="Times New Roman" w:hAnsi="Times New Roman" w:cs="Times New Roman"/>
            <w:noProof/>
            <w:sz w:val="24"/>
            <w:szCs w:val="24"/>
            <w:vertAlign w:val="subscript"/>
          </w:rPr>
          <w:t>4</w:t>
        </w:r>
        <w:r w:rsidRPr="00936B99">
          <w:rPr>
            <w:rStyle w:val="Hyperlink"/>
            <w:rFonts w:ascii="Times New Roman" w:hAnsi="Times New Roman" w:cs="Times New Roman"/>
            <w:noProof/>
            <w:sz w:val="24"/>
            <w:szCs w:val="24"/>
            <w:vertAlign w:val="superscript"/>
          </w:rPr>
          <w:t>2-</w:t>
        </w:r>
        <w:r w:rsidRPr="00936B99">
          <w:rPr>
            <w:rStyle w:val="Hyperlink"/>
            <w:rFonts w:ascii="Times New Roman" w:hAnsi="Times New Roman" w:cs="Times New Roman"/>
            <w:noProof/>
            <w:sz w:val="24"/>
            <w:szCs w:val="24"/>
          </w:rPr>
          <w:t>) deposition flux from historical estimates and three future climate scenario projections, SSP2-4.5, SSP5-8.5, and G6sulfur.</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_Toc184062905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39</w:t>
        </w:r>
        <w:r w:rsidRPr="00936B99">
          <w:rPr>
            <w:rFonts w:ascii="Times New Roman" w:hAnsi="Times New Roman" w:cs="Times New Roman"/>
            <w:noProof/>
            <w:webHidden/>
            <w:sz w:val="24"/>
            <w:szCs w:val="24"/>
          </w:rPr>
          <w:fldChar w:fldCharType="end"/>
        </w:r>
      </w:hyperlink>
    </w:p>
    <w:p w14:paraId="770159FF" w14:textId="5D59E8E3"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6" w:history="1">
        <w:r w:rsidRPr="00936B99">
          <w:rPr>
            <w:rStyle w:val="Hyperlink"/>
            <w:rFonts w:ascii="Times New Roman" w:hAnsi="Times New Roman" w:cs="Times New Roman"/>
            <w:noProof/>
            <w:sz w:val="24"/>
            <w:szCs w:val="24"/>
          </w:rPr>
          <w:t>Figure 4.2 Projected A) annual and B) monthly precipitation and wet sulfur (SO</w:t>
        </w:r>
        <w:r w:rsidRPr="00936B99">
          <w:rPr>
            <w:rStyle w:val="Hyperlink"/>
            <w:rFonts w:ascii="Times New Roman" w:hAnsi="Times New Roman" w:cs="Times New Roman"/>
            <w:noProof/>
            <w:sz w:val="24"/>
            <w:szCs w:val="24"/>
            <w:vertAlign w:val="subscript"/>
          </w:rPr>
          <w:t>2</w:t>
        </w:r>
        <w:r w:rsidRPr="00936B99">
          <w:rPr>
            <w:rStyle w:val="Hyperlink"/>
            <w:rFonts w:ascii="Times New Roman" w:hAnsi="Times New Roman" w:cs="Times New Roman"/>
            <w:noProof/>
            <w:sz w:val="24"/>
            <w:szCs w:val="24"/>
          </w:rPr>
          <w:t xml:space="preserve"> and SO</w:t>
        </w:r>
        <w:r w:rsidRPr="00936B99">
          <w:rPr>
            <w:rStyle w:val="Hyperlink"/>
            <w:rFonts w:ascii="Times New Roman" w:hAnsi="Times New Roman" w:cs="Times New Roman"/>
            <w:noProof/>
            <w:sz w:val="24"/>
            <w:szCs w:val="24"/>
            <w:vertAlign w:val="subscript"/>
          </w:rPr>
          <w:t>4</w:t>
        </w:r>
        <w:r w:rsidRPr="00936B99">
          <w:rPr>
            <w:rStyle w:val="Hyperlink"/>
            <w:rFonts w:ascii="Times New Roman" w:hAnsi="Times New Roman" w:cs="Times New Roman"/>
            <w:noProof/>
            <w:sz w:val="24"/>
            <w:szCs w:val="24"/>
            <w:vertAlign w:val="superscript"/>
          </w:rPr>
          <w:t>2-</w:t>
        </w:r>
        <w:r w:rsidRPr="00936B99">
          <w:rPr>
            <w:rStyle w:val="Hyperlink"/>
            <w:rFonts w:ascii="Times New Roman" w:hAnsi="Times New Roman" w:cs="Times New Roman"/>
            <w:noProof/>
            <w:sz w:val="24"/>
            <w:szCs w:val="24"/>
          </w:rPr>
          <w:t>) deposition from UKESM1-0-LL, CESM2-WACCM, and CNRM-ESM2-1 during the historical time period (1980-2020) and under G6 Sulfur, SSP2-4.5, and SSP5-8.5 conditions (2020-2100).</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_Toc184062906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40</w:t>
        </w:r>
        <w:r w:rsidRPr="00936B99">
          <w:rPr>
            <w:rFonts w:ascii="Times New Roman" w:hAnsi="Times New Roman" w:cs="Times New Roman"/>
            <w:noProof/>
            <w:webHidden/>
            <w:sz w:val="24"/>
            <w:szCs w:val="24"/>
          </w:rPr>
          <w:fldChar w:fldCharType="end"/>
        </w:r>
      </w:hyperlink>
    </w:p>
    <w:p w14:paraId="09E68B2B" w14:textId="4A4DABA6"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7" w:history="1">
        <w:r w:rsidRPr="00936B99">
          <w:rPr>
            <w:rStyle w:val="Hyperlink"/>
            <w:rFonts w:ascii="Times New Roman" w:hAnsi="Times New Roman" w:cs="Times New Roman"/>
            <w:noProof/>
            <w:sz w:val="24"/>
            <w:szCs w:val="24"/>
          </w:rPr>
          <w:t>Figure 4.3 The percent change from SSP2-4.5 to G6Sulfur for CESM2-WACCM and UKESM1-0-LL SO2 and SO</w:t>
        </w:r>
        <w:r w:rsidRPr="00936B99">
          <w:rPr>
            <w:rStyle w:val="Hyperlink"/>
            <w:rFonts w:ascii="Times New Roman" w:hAnsi="Times New Roman" w:cs="Times New Roman"/>
            <w:noProof/>
            <w:sz w:val="24"/>
            <w:szCs w:val="24"/>
            <w:vertAlign w:val="subscript"/>
          </w:rPr>
          <w:t>4</w:t>
        </w:r>
        <w:r w:rsidRPr="00936B99">
          <w:rPr>
            <w:rStyle w:val="Hyperlink"/>
            <w:rFonts w:ascii="Times New Roman" w:hAnsi="Times New Roman" w:cs="Times New Roman"/>
            <w:noProof/>
            <w:sz w:val="24"/>
            <w:szCs w:val="24"/>
            <w:vertAlign w:val="superscript"/>
          </w:rPr>
          <w:t>2-</w:t>
        </w:r>
        <w:r w:rsidRPr="00936B99">
          <w:rPr>
            <w:rStyle w:val="Hyperlink"/>
            <w:rFonts w:ascii="Times New Roman" w:hAnsi="Times New Roman" w:cs="Times New Roman"/>
            <w:noProof/>
            <w:sz w:val="24"/>
            <w:szCs w:val="24"/>
          </w:rPr>
          <w:t xml:space="preserve"> deposition by ecoregion, calculated as a difference in total deposition in Tg-S/yr..</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_Toc184062907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44</w:t>
        </w:r>
        <w:r w:rsidRPr="00936B99">
          <w:rPr>
            <w:rFonts w:ascii="Times New Roman" w:hAnsi="Times New Roman" w:cs="Times New Roman"/>
            <w:noProof/>
            <w:webHidden/>
            <w:sz w:val="24"/>
            <w:szCs w:val="24"/>
          </w:rPr>
          <w:fldChar w:fldCharType="end"/>
        </w:r>
      </w:hyperlink>
    </w:p>
    <w:p w14:paraId="6C75AA17" w14:textId="34760F89"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8" w:history="1">
        <w:r w:rsidRPr="00936B99">
          <w:rPr>
            <w:rStyle w:val="Hyperlink"/>
            <w:rFonts w:ascii="Times New Roman" w:hAnsi="Times New Roman" w:cs="Times New Roman"/>
            <w:noProof/>
            <w:sz w:val="24"/>
            <w:szCs w:val="24"/>
          </w:rPr>
          <w:t>Figure 5.1 A comparison of historic heat waves during 1980–2019 to projected heat waves from 2020–2059.</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_Toc184062908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59</w:t>
        </w:r>
        <w:r w:rsidRPr="00936B99">
          <w:rPr>
            <w:rFonts w:ascii="Times New Roman" w:hAnsi="Times New Roman" w:cs="Times New Roman"/>
            <w:noProof/>
            <w:webHidden/>
            <w:sz w:val="24"/>
            <w:szCs w:val="24"/>
          </w:rPr>
          <w:fldChar w:fldCharType="end"/>
        </w:r>
      </w:hyperlink>
    </w:p>
    <w:p w14:paraId="790B1A68" w14:textId="1E3A0E23"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09" w:history="1">
        <w:r w:rsidRPr="00936B99">
          <w:rPr>
            <w:rStyle w:val="Hyperlink"/>
            <w:rFonts w:ascii="Times New Roman" w:hAnsi="Times New Roman" w:cs="Times New Roman"/>
            <w:noProof/>
            <w:sz w:val="24"/>
            <w:szCs w:val="24"/>
          </w:rPr>
          <w:t>Figure 5.2 Maximum daily temperature in the US, from 1980–2019</w:t>
        </w:r>
        <w:r w:rsidRPr="00936B99">
          <w:rPr>
            <w:rStyle w:val="Hyperlink"/>
            <w:rFonts w:ascii="Times New Roman" w:eastAsia="Times New Roman" w:hAnsi="Times New Roman" w:cs="Times New Roman"/>
            <w:noProof/>
            <w:sz w:val="24"/>
            <w:szCs w:val="24"/>
          </w:rPr>
          <w:t>.</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_Toc184062909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62</w:t>
        </w:r>
        <w:r w:rsidRPr="00936B99">
          <w:rPr>
            <w:rFonts w:ascii="Times New Roman" w:hAnsi="Times New Roman" w:cs="Times New Roman"/>
            <w:noProof/>
            <w:webHidden/>
            <w:sz w:val="24"/>
            <w:szCs w:val="24"/>
          </w:rPr>
          <w:fldChar w:fldCharType="end"/>
        </w:r>
      </w:hyperlink>
    </w:p>
    <w:p w14:paraId="3A00F0E8" w14:textId="4B8CE7B5"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0" w:history="1">
        <w:r w:rsidRPr="00936B99">
          <w:rPr>
            <w:rStyle w:val="Hyperlink"/>
            <w:rFonts w:ascii="Times New Roman" w:hAnsi="Times New Roman" w:cs="Times New Roman"/>
            <w:noProof/>
            <w:sz w:val="24"/>
            <w:szCs w:val="24"/>
          </w:rPr>
          <w:t>Figure 5.3 Seasonal maximum temperature difference by decade.</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_Toc184062910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65</w:t>
        </w:r>
        <w:r w:rsidRPr="00936B99">
          <w:rPr>
            <w:rFonts w:ascii="Times New Roman" w:hAnsi="Times New Roman" w:cs="Times New Roman"/>
            <w:noProof/>
            <w:webHidden/>
            <w:sz w:val="24"/>
            <w:szCs w:val="24"/>
          </w:rPr>
          <w:fldChar w:fldCharType="end"/>
        </w:r>
      </w:hyperlink>
    </w:p>
    <w:p w14:paraId="5126C820" w14:textId="0A59FF12"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1" w:history="1">
        <w:r w:rsidRPr="00936B99">
          <w:rPr>
            <w:rStyle w:val="Hyperlink"/>
            <w:rFonts w:ascii="Times New Roman" w:hAnsi="Times New Roman" w:cs="Times New Roman"/>
            <w:noProof/>
            <w:sz w:val="24"/>
            <w:szCs w:val="24"/>
          </w:rPr>
          <w:t>Figure 5.4 Heatwave characteristics by percentile threshold and window.</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_Toc184062911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66</w:t>
        </w:r>
        <w:r w:rsidRPr="00936B99">
          <w:rPr>
            <w:rFonts w:ascii="Times New Roman" w:hAnsi="Times New Roman" w:cs="Times New Roman"/>
            <w:noProof/>
            <w:webHidden/>
            <w:sz w:val="24"/>
            <w:szCs w:val="24"/>
          </w:rPr>
          <w:fldChar w:fldCharType="end"/>
        </w:r>
      </w:hyperlink>
    </w:p>
    <w:p w14:paraId="57D85747" w14:textId="377810CA"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2" w:history="1">
        <w:r w:rsidRPr="00936B99">
          <w:rPr>
            <w:rStyle w:val="Hyperlink"/>
            <w:rFonts w:ascii="Times New Roman" w:hAnsi="Times New Roman" w:cs="Times New Roman"/>
            <w:noProof/>
            <w:sz w:val="24"/>
            <w:szCs w:val="24"/>
          </w:rPr>
          <w:t>Figure 5.5 Diurnal temperature range over time.</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_Toc184062912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69</w:t>
        </w:r>
        <w:r w:rsidRPr="00936B99">
          <w:rPr>
            <w:rFonts w:ascii="Times New Roman" w:hAnsi="Times New Roman" w:cs="Times New Roman"/>
            <w:noProof/>
            <w:webHidden/>
            <w:sz w:val="24"/>
            <w:szCs w:val="24"/>
          </w:rPr>
          <w:fldChar w:fldCharType="end"/>
        </w:r>
      </w:hyperlink>
    </w:p>
    <w:p w14:paraId="21992EF6" w14:textId="4BE32BA9"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3" w:history="1">
        <w:r w:rsidRPr="00936B99">
          <w:rPr>
            <w:rStyle w:val="Hyperlink"/>
            <w:rFonts w:ascii="Times New Roman" w:hAnsi="Times New Roman" w:cs="Times New Roman"/>
            <w:noProof/>
            <w:sz w:val="24"/>
            <w:szCs w:val="24"/>
          </w:rPr>
          <w:t>Figure 6.1 Farm Resource Regions, from the USDA.</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_Toc184062913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79</w:t>
        </w:r>
        <w:r w:rsidRPr="00936B99">
          <w:rPr>
            <w:rFonts w:ascii="Times New Roman" w:hAnsi="Times New Roman" w:cs="Times New Roman"/>
            <w:noProof/>
            <w:webHidden/>
            <w:sz w:val="24"/>
            <w:szCs w:val="24"/>
          </w:rPr>
          <w:fldChar w:fldCharType="end"/>
        </w:r>
      </w:hyperlink>
    </w:p>
    <w:p w14:paraId="0CAB69FD" w14:textId="7C00D0A4"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4" w:history="1">
        <w:r w:rsidRPr="00936B99">
          <w:rPr>
            <w:rStyle w:val="Hyperlink"/>
            <w:rFonts w:ascii="Times New Roman" w:hAnsi="Times New Roman" w:cs="Times New Roman"/>
            <w:noProof/>
            <w:sz w:val="24"/>
            <w:szCs w:val="24"/>
          </w:rPr>
          <w:t xml:space="preserve">Figure 6.2 A) Mean SOC (kg/m2) from 1990-2022 in the top 30 cm of soil. </w:t>
        </w:r>
        <w:r w:rsidRPr="00936B99">
          <w:rPr>
            <w:rStyle w:val="Hyperlink"/>
            <w:rFonts w:ascii="Times New Roman" w:eastAsia="Times New Roman" w:hAnsi="Times New Roman" w:cs="Times New Roman"/>
            <w:noProof/>
            <w:sz w:val="24"/>
            <w:szCs w:val="24"/>
          </w:rPr>
          <w:t xml:space="preserve">B) </w:t>
        </w:r>
        <w:r w:rsidRPr="00936B99">
          <w:rPr>
            <w:rStyle w:val="Hyperlink"/>
            <w:rFonts w:ascii="Times New Roman" w:hAnsi="Times New Roman" w:cs="Times New Roman"/>
            <w:noProof/>
            <w:sz w:val="24"/>
            <w:szCs w:val="24"/>
          </w:rPr>
          <w:t>The slope of the trendline in SOC stocks from 1990 – 2022 by pixel.</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_Toc184062914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80</w:t>
        </w:r>
        <w:r w:rsidRPr="00936B99">
          <w:rPr>
            <w:rFonts w:ascii="Times New Roman" w:hAnsi="Times New Roman" w:cs="Times New Roman"/>
            <w:noProof/>
            <w:webHidden/>
            <w:sz w:val="24"/>
            <w:szCs w:val="24"/>
          </w:rPr>
          <w:fldChar w:fldCharType="end"/>
        </w:r>
      </w:hyperlink>
    </w:p>
    <w:p w14:paraId="270DC17D" w14:textId="6DAEA89E"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5" w:history="1">
        <w:r w:rsidRPr="00936B99">
          <w:rPr>
            <w:rStyle w:val="Hyperlink"/>
            <w:rFonts w:ascii="Times New Roman" w:hAnsi="Times New Roman" w:cs="Times New Roman"/>
            <w:noProof/>
            <w:sz w:val="24"/>
            <w:szCs w:val="24"/>
          </w:rPr>
          <w:t>Figure 6.3 Changes in annual SOC stocks by farm resource region.</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_Toc184062915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82</w:t>
        </w:r>
        <w:r w:rsidRPr="00936B99">
          <w:rPr>
            <w:rFonts w:ascii="Times New Roman" w:hAnsi="Times New Roman" w:cs="Times New Roman"/>
            <w:noProof/>
            <w:webHidden/>
            <w:sz w:val="24"/>
            <w:szCs w:val="24"/>
          </w:rPr>
          <w:fldChar w:fldCharType="end"/>
        </w:r>
      </w:hyperlink>
    </w:p>
    <w:p w14:paraId="55C4A330" w14:textId="31550524"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6" w:history="1">
        <w:r w:rsidRPr="00936B99">
          <w:rPr>
            <w:rStyle w:val="Hyperlink"/>
            <w:rFonts w:ascii="Times New Roman" w:hAnsi="Times New Roman" w:cs="Times New Roman"/>
            <w:noProof/>
            <w:sz w:val="24"/>
            <w:szCs w:val="24"/>
          </w:rPr>
          <w:t>Figure 6.4 SOC stocks by land cover category in the CONUS, averaged from 1990-2022.</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_Toc184062916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84</w:t>
        </w:r>
        <w:r w:rsidRPr="00936B99">
          <w:rPr>
            <w:rFonts w:ascii="Times New Roman" w:hAnsi="Times New Roman" w:cs="Times New Roman"/>
            <w:noProof/>
            <w:webHidden/>
            <w:sz w:val="24"/>
            <w:szCs w:val="24"/>
          </w:rPr>
          <w:fldChar w:fldCharType="end"/>
        </w:r>
      </w:hyperlink>
    </w:p>
    <w:p w14:paraId="73B54CEA" w14:textId="6F184937"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7" w:history="1">
        <w:r w:rsidRPr="00936B99">
          <w:rPr>
            <w:rStyle w:val="Hyperlink"/>
            <w:rFonts w:ascii="Times New Roman" w:hAnsi="Times New Roman" w:cs="Times New Roman"/>
            <w:noProof/>
            <w:sz w:val="24"/>
            <w:szCs w:val="24"/>
          </w:rPr>
          <w:t>Figure 6.5 Annual percentage of SOC stocks contained in land areas with maximum temperatures greater than the 95th percentile of the maximum temperature from 1990-2022 (red), with maximum temperatures less than the 95</w:t>
        </w:r>
        <w:r w:rsidRPr="00936B99">
          <w:rPr>
            <w:rStyle w:val="Hyperlink"/>
            <w:rFonts w:ascii="Times New Roman" w:hAnsi="Times New Roman" w:cs="Times New Roman"/>
            <w:noProof/>
            <w:sz w:val="24"/>
            <w:szCs w:val="24"/>
            <w:vertAlign w:val="superscript"/>
          </w:rPr>
          <w:t>th</w:t>
        </w:r>
        <w:r w:rsidRPr="00936B99">
          <w:rPr>
            <w:rStyle w:val="Hyperlink"/>
            <w:rFonts w:ascii="Times New Roman" w:hAnsi="Times New Roman" w:cs="Times New Roman"/>
            <w:noProof/>
            <w:sz w:val="24"/>
            <w:szCs w:val="24"/>
          </w:rPr>
          <w:t xml:space="preserve"> percentile of the maximum temperature from 1990-2022 (pink), with annual precipitation greater than the 95</w:t>
        </w:r>
        <w:r w:rsidRPr="00936B99">
          <w:rPr>
            <w:rStyle w:val="Hyperlink"/>
            <w:rFonts w:ascii="Times New Roman" w:hAnsi="Times New Roman" w:cs="Times New Roman"/>
            <w:noProof/>
            <w:sz w:val="24"/>
            <w:szCs w:val="24"/>
            <w:vertAlign w:val="superscript"/>
          </w:rPr>
          <w:t>th</w:t>
        </w:r>
        <w:r w:rsidRPr="00936B99">
          <w:rPr>
            <w:rStyle w:val="Hyperlink"/>
            <w:rFonts w:ascii="Times New Roman" w:hAnsi="Times New Roman" w:cs="Times New Roman"/>
            <w:noProof/>
            <w:sz w:val="24"/>
            <w:szCs w:val="24"/>
          </w:rPr>
          <w:t xml:space="preserve"> percentile of the annual precipitation from 1990-2022 (dark blue), and with annual precipitation less than the 95</w:t>
        </w:r>
        <w:r w:rsidRPr="00936B99">
          <w:rPr>
            <w:rStyle w:val="Hyperlink"/>
            <w:rFonts w:ascii="Times New Roman" w:hAnsi="Times New Roman" w:cs="Times New Roman"/>
            <w:noProof/>
            <w:sz w:val="24"/>
            <w:szCs w:val="24"/>
            <w:vertAlign w:val="superscript"/>
          </w:rPr>
          <w:t>th</w:t>
        </w:r>
        <w:r w:rsidRPr="00936B99">
          <w:rPr>
            <w:rStyle w:val="Hyperlink"/>
            <w:rFonts w:ascii="Times New Roman" w:hAnsi="Times New Roman" w:cs="Times New Roman"/>
            <w:noProof/>
            <w:sz w:val="24"/>
            <w:szCs w:val="24"/>
          </w:rPr>
          <w:t xml:space="preserve"> percentile of the annual precipitation from 1990-2022 (light blue).</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_Toc184062917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85</w:t>
        </w:r>
        <w:r w:rsidRPr="00936B99">
          <w:rPr>
            <w:rFonts w:ascii="Times New Roman" w:hAnsi="Times New Roman" w:cs="Times New Roman"/>
            <w:noProof/>
            <w:webHidden/>
            <w:sz w:val="24"/>
            <w:szCs w:val="24"/>
          </w:rPr>
          <w:fldChar w:fldCharType="end"/>
        </w:r>
      </w:hyperlink>
    </w:p>
    <w:p w14:paraId="0D549D1B" w14:textId="0BEFE7B3"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8" w:history="1">
        <w:r w:rsidRPr="00936B99">
          <w:rPr>
            <w:rStyle w:val="Hyperlink"/>
            <w:rFonts w:ascii="Times New Roman" w:hAnsi="Times New Roman" w:cs="Times New Roman"/>
            <w:noProof/>
            <w:sz w:val="24"/>
            <w:szCs w:val="24"/>
          </w:rPr>
          <w:t>Figure S2.1</w:t>
        </w:r>
        <w:r w:rsidR="007C6A6B" w:rsidRPr="00936B99">
          <w:rPr>
            <w:rStyle w:val="Hyperlink"/>
            <w:rFonts w:ascii="Times New Roman" w:hAnsi="Times New Roman" w:cs="Times New Roman"/>
            <w:noProof/>
            <w:sz w:val="24"/>
            <w:szCs w:val="24"/>
          </w:rPr>
          <w:t xml:space="preserve"> </w:t>
        </w:r>
        <w:r w:rsidRPr="00936B99">
          <w:rPr>
            <w:rStyle w:val="Hyperlink"/>
            <w:rFonts w:ascii="Times New Roman" w:hAnsi="Times New Roman" w:cs="Times New Roman"/>
            <w:noProof/>
            <w:sz w:val="24"/>
            <w:szCs w:val="24"/>
          </w:rPr>
          <w:t>A world map showing the regions used to calculate the totals presented in Table 2.1</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_Toc184062918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131</w:t>
        </w:r>
        <w:r w:rsidRPr="00936B99">
          <w:rPr>
            <w:rFonts w:ascii="Times New Roman" w:hAnsi="Times New Roman" w:cs="Times New Roman"/>
            <w:noProof/>
            <w:webHidden/>
            <w:sz w:val="24"/>
            <w:szCs w:val="24"/>
          </w:rPr>
          <w:fldChar w:fldCharType="end"/>
        </w:r>
      </w:hyperlink>
    </w:p>
    <w:p w14:paraId="021BBE19" w14:textId="6DEDCDB7"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19" w:history="1">
        <w:r w:rsidRPr="00936B99">
          <w:rPr>
            <w:rStyle w:val="Hyperlink"/>
            <w:rFonts w:ascii="Times New Roman" w:hAnsi="Times New Roman" w:cs="Times New Roman"/>
            <w:noProof/>
            <w:sz w:val="24"/>
            <w:szCs w:val="24"/>
          </w:rPr>
          <w:t>Figure S2.2. Observed and modeled wet NH4+ deposition in the US in 2010.</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_Toc184062919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133</w:t>
        </w:r>
        <w:r w:rsidRPr="00936B99">
          <w:rPr>
            <w:rFonts w:ascii="Times New Roman" w:hAnsi="Times New Roman" w:cs="Times New Roman"/>
            <w:noProof/>
            <w:webHidden/>
            <w:sz w:val="24"/>
            <w:szCs w:val="24"/>
          </w:rPr>
          <w:fldChar w:fldCharType="end"/>
        </w:r>
      </w:hyperlink>
    </w:p>
    <w:p w14:paraId="7D587BC7" w14:textId="44A42DEB"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20" w:history="1">
        <w:r w:rsidRPr="00936B99">
          <w:rPr>
            <w:rStyle w:val="Hyperlink"/>
            <w:rFonts w:ascii="Times New Roman" w:hAnsi="Times New Roman" w:cs="Times New Roman"/>
            <w:noProof/>
            <w:sz w:val="24"/>
            <w:szCs w:val="24"/>
          </w:rPr>
          <w:t>Figure S2.3. Observed and modeled wet NO3- deposition in the US in 2010.</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_Toc184062920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133</w:t>
        </w:r>
        <w:r w:rsidRPr="00936B99">
          <w:rPr>
            <w:rFonts w:ascii="Times New Roman" w:hAnsi="Times New Roman" w:cs="Times New Roman"/>
            <w:noProof/>
            <w:webHidden/>
            <w:sz w:val="24"/>
            <w:szCs w:val="24"/>
          </w:rPr>
          <w:fldChar w:fldCharType="end"/>
        </w:r>
      </w:hyperlink>
    </w:p>
    <w:p w14:paraId="46917210" w14:textId="6E33EF4C"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21" w:history="1">
        <w:r w:rsidRPr="00936B99">
          <w:rPr>
            <w:rStyle w:val="Hyperlink"/>
            <w:rFonts w:ascii="Times New Roman" w:hAnsi="Times New Roman" w:cs="Times New Roman"/>
            <w:noProof/>
            <w:sz w:val="24"/>
            <w:szCs w:val="24"/>
          </w:rPr>
          <w:t>Figure S2.4. The difference between MMF and MMM deposition with a 1-degree interpolation distance..</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_Toc184062921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134</w:t>
        </w:r>
        <w:r w:rsidRPr="00936B99">
          <w:rPr>
            <w:rFonts w:ascii="Times New Roman" w:hAnsi="Times New Roman" w:cs="Times New Roman"/>
            <w:noProof/>
            <w:webHidden/>
            <w:sz w:val="24"/>
            <w:szCs w:val="24"/>
          </w:rPr>
          <w:fldChar w:fldCharType="end"/>
        </w:r>
      </w:hyperlink>
    </w:p>
    <w:p w14:paraId="54D1A874" w14:textId="36454E75"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22" w:history="1">
        <w:r w:rsidRPr="00936B99">
          <w:rPr>
            <w:rStyle w:val="Hyperlink"/>
            <w:rFonts w:ascii="Times New Roman" w:hAnsi="Times New Roman" w:cs="Times New Roman"/>
            <w:noProof/>
            <w:sz w:val="24"/>
            <w:szCs w:val="24"/>
          </w:rPr>
          <w:t>Figure S2.5. The difference between MMF and MMM deposition with a 5-degree interpolation distance.</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_Toc184062922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134</w:t>
        </w:r>
        <w:r w:rsidRPr="00936B99">
          <w:rPr>
            <w:rFonts w:ascii="Times New Roman" w:hAnsi="Times New Roman" w:cs="Times New Roman"/>
            <w:noProof/>
            <w:webHidden/>
            <w:sz w:val="24"/>
            <w:szCs w:val="24"/>
          </w:rPr>
          <w:fldChar w:fldCharType="end"/>
        </w:r>
      </w:hyperlink>
    </w:p>
    <w:p w14:paraId="0A383F6A" w14:textId="0B773364"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23" w:history="1">
        <w:r w:rsidRPr="00936B99">
          <w:rPr>
            <w:rStyle w:val="Hyperlink"/>
            <w:rFonts w:ascii="Times New Roman" w:hAnsi="Times New Roman" w:cs="Times New Roman"/>
            <w:noProof/>
            <w:color w:val="auto"/>
            <w:sz w:val="24"/>
            <w:szCs w:val="24"/>
          </w:rPr>
          <w:t>Figure S2.6. The difference between aggregated PRISM precipitation (1.9x1.9 degree) and modeled CAM-chem precipitation (1.9x1.9 degree) over the US in 2010.</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_Toc184062923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135</w:t>
        </w:r>
        <w:r w:rsidRPr="00936B99">
          <w:rPr>
            <w:rFonts w:ascii="Times New Roman" w:hAnsi="Times New Roman" w:cs="Times New Roman"/>
            <w:noProof/>
            <w:webHidden/>
            <w:sz w:val="24"/>
            <w:szCs w:val="24"/>
          </w:rPr>
          <w:fldChar w:fldCharType="end"/>
        </w:r>
      </w:hyperlink>
    </w:p>
    <w:p w14:paraId="0B285EBB" w14:textId="1C8C845E" w:rsidR="00476F6D" w:rsidRPr="00936B99" w:rsidRDefault="00476F6D" w:rsidP="00936B99">
      <w:pPr>
        <w:pStyle w:val="TableofFigures"/>
        <w:tabs>
          <w:tab w:val="right" w:leader="dot" w:pos="9350"/>
        </w:tabs>
        <w:spacing w:line="360" w:lineRule="auto"/>
        <w:rPr>
          <w:rStyle w:val="Hyperlink"/>
          <w:rFonts w:ascii="Times New Roman" w:hAnsi="Times New Roman" w:cs="Times New Roman"/>
          <w:noProof/>
          <w:color w:val="auto"/>
          <w:sz w:val="24"/>
          <w:szCs w:val="24"/>
          <w:u w:val="none"/>
        </w:rPr>
      </w:pPr>
      <w:r w:rsidRPr="00936B99">
        <w:rPr>
          <w:rFonts w:ascii="Times New Roman" w:hAnsi="Times New Roman" w:cs="Times New Roman"/>
          <w:noProof/>
          <w:sz w:val="24"/>
          <w:szCs w:val="24"/>
        </w:rPr>
        <w:lastRenderedPageBreak/>
        <w:t>Figure S2.7. Modeled wet NO</w:t>
      </w:r>
      <w:r w:rsidRPr="00936B99">
        <w:rPr>
          <w:rFonts w:ascii="Times New Roman" w:hAnsi="Times New Roman" w:cs="Times New Roman"/>
          <w:noProof/>
          <w:sz w:val="24"/>
          <w:szCs w:val="24"/>
          <w:vertAlign w:val="subscript"/>
        </w:rPr>
        <w:t>3</w:t>
      </w:r>
      <w:r w:rsidRPr="00936B99">
        <w:rPr>
          <w:rFonts w:ascii="Times New Roman" w:hAnsi="Times New Roman" w:cs="Times New Roman"/>
          <w:noProof/>
          <w:sz w:val="24"/>
          <w:szCs w:val="24"/>
        </w:rPr>
        <w:t xml:space="preserve"> deposition in January 2010 from the STRF model</w:t>
      </w:r>
      <w:r w:rsidR="001D49C4" w:rsidRPr="00936B99">
        <w:rPr>
          <w:rFonts w:ascii="Times New Roman" w:hAnsi="Times New Roman" w:cs="Times New Roman"/>
          <w:noProof/>
          <w:webHidden/>
          <w:sz w:val="24"/>
          <w:szCs w:val="24"/>
        </w:rPr>
        <w:t>…</w:t>
      </w:r>
      <w:r w:rsidRPr="00936B99">
        <w:rPr>
          <w:rFonts w:ascii="Times New Roman" w:hAnsi="Times New Roman" w:cs="Times New Roman"/>
          <w:noProof/>
          <w:webHidden/>
          <w:sz w:val="24"/>
          <w:szCs w:val="24"/>
        </w:rPr>
        <w:t>………………..</w:t>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_Toc184062923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135</w:t>
      </w:r>
      <w:r w:rsidRPr="00936B99">
        <w:rPr>
          <w:rFonts w:ascii="Times New Roman" w:hAnsi="Times New Roman" w:cs="Times New Roman"/>
          <w:noProof/>
          <w:webHidden/>
          <w:sz w:val="24"/>
          <w:szCs w:val="24"/>
        </w:rPr>
        <w:fldChar w:fldCharType="end"/>
      </w:r>
    </w:p>
    <w:p w14:paraId="2AE56DBF" w14:textId="12522B3B"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r w:rsidRPr="00936B99">
        <w:rPr>
          <w:rStyle w:val="Hyperlink"/>
          <w:rFonts w:ascii="Times New Roman" w:hAnsi="Times New Roman" w:cs="Times New Roman"/>
          <w:noProof/>
          <w:color w:val="auto"/>
          <w:sz w:val="24"/>
          <w:szCs w:val="24"/>
          <w:u w:val="none"/>
        </w:rPr>
        <w:t>Figure S4.1. The trajectory of the G6Sulfur scenario. Copied from GeoMIP at Rutgers University</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_Toc184062924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136</w:t>
      </w:r>
      <w:r w:rsidRPr="00936B99">
        <w:rPr>
          <w:rFonts w:ascii="Times New Roman" w:hAnsi="Times New Roman" w:cs="Times New Roman"/>
          <w:noProof/>
          <w:webHidden/>
          <w:sz w:val="24"/>
          <w:szCs w:val="24"/>
        </w:rPr>
        <w:fldChar w:fldCharType="end"/>
      </w:r>
    </w:p>
    <w:p w14:paraId="3EB0009E" w14:textId="428818F3"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25" w:history="1">
        <w:r w:rsidRPr="00936B99">
          <w:rPr>
            <w:rStyle w:val="Hyperlink"/>
            <w:rFonts w:ascii="Times New Roman" w:hAnsi="Times New Roman" w:cs="Times New Roman"/>
            <w:noProof/>
            <w:sz w:val="24"/>
            <w:szCs w:val="24"/>
          </w:rPr>
          <w:t>Figure S4.2.  Historical and projected A) G6Sulfur, B) SSP2-4.5, and C) SSP5-8.5 dry SO2 and SO42- deposition flux.</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_Toc184062925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137</w:t>
        </w:r>
        <w:r w:rsidRPr="00936B99">
          <w:rPr>
            <w:rFonts w:ascii="Times New Roman" w:hAnsi="Times New Roman" w:cs="Times New Roman"/>
            <w:noProof/>
            <w:webHidden/>
            <w:sz w:val="24"/>
            <w:szCs w:val="24"/>
          </w:rPr>
          <w:fldChar w:fldCharType="end"/>
        </w:r>
      </w:hyperlink>
    </w:p>
    <w:p w14:paraId="01148B23" w14:textId="390D8CCB"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26" w:history="1">
        <w:r w:rsidRPr="00936B99">
          <w:rPr>
            <w:rStyle w:val="Hyperlink"/>
            <w:rFonts w:ascii="Times New Roman" w:hAnsi="Times New Roman" w:cs="Times New Roman"/>
            <w:noProof/>
            <w:sz w:val="24"/>
            <w:szCs w:val="24"/>
          </w:rPr>
          <w:t>Figure S4.3. Precipitation flux from G6Sulfur GCM projections.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_Toc184062926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139</w:t>
        </w:r>
        <w:r w:rsidRPr="00936B99">
          <w:rPr>
            <w:rFonts w:ascii="Times New Roman" w:hAnsi="Times New Roman" w:cs="Times New Roman"/>
            <w:noProof/>
            <w:webHidden/>
            <w:sz w:val="24"/>
            <w:szCs w:val="24"/>
          </w:rPr>
          <w:fldChar w:fldCharType="end"/>
        </w:r>
      </w:hyperlink>
    </w:p>
    <w:p w14:paraId="0C2A7A1C" w14:textId="6ABC9052"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27" w:history="1">
        <w:r w:rsidRPr="00936B99">
          <w:rPr>
            <w:rStyle w:val="Hyperlink"/>
            <w:rFonts w:ascii="Times New Roman" w:hAnsi="Times New Roman" w:cs="Times New Roman"/>
            <w:noProof/>
            <w:sz w:val="24"/>
            <w:szCs w:val="24"/>
          </w:rPr>
          <w:t>Figure S4.4. Projected total S deposition (wet SO2, wet SO42-, dry SO2, dry SO42-) from each G6Sulfur model averaged over 20-year slices.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_Toc184062927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139</w:t>
        </w:r>
        <w:r w:rsidRPr="00936B99">
          <w:rPr>
            <w:rFonts w:ascii="Times New Roman" w:hAnsi="Times New Roman" w:cs="Times New Roman"/>
            <w:noProof/>
            <w:webHidden/>
            <w:sz w:val="24"/>
            <w:szCs w:val="24"/>
          </w:rPr>
          <w:fldChar w:fldCharType="end"/>
        </w:r>
      </w:hyperlink>
    </w:p>
    <w:p w14:paraId="549B4715" w14:textId="5E4D23CA"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28" w:history="1">
        <w:r w:rsidRPr="00936B99">
          <w:rPr>
            <w:rStyle w:val="Hyperlink"/>
            <w:rFonts w:ascii="Times New Roman" w:hAnsi="Times New Roman" w:cs="Times New Roman"/>
            <w:noProof/>
            <w:sz w:val="24"/>
            <w:szCs w:val="24"/>
          </w:rPr>
          <w:t>Figure S4.5. The percent change from SSP5-8.5 to G6Sulfur for CESM2-WACCM and UKESM1-0-LL SO2 and SO42- deposition by ecoregion, calculated as a difference in total deposition in Tg-S/yr.</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_Toc184062928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140</w:t>
        </w:r>
        <w:r w:rsidRPr="00936B99">
          <w:rPr>
            <w:rFonts w:ascii="Times New Roman" w:hAnsi="Times New Roman" w:cs="Times New Roman"/>
            <w:noProof/>
            <w:webHidden/>
            <w:sz w:val="24"/>
            <w:szCs w:val="24"/>
          </w:rPr>
          <w:fldChar w:fldCharType="end"/>
        </w:r>
      </w:hyperlink>
    </w:p>
    <w:p w14:paraId="6402DDD6" w14:textId="71520B28"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29" w:history="1">
        <w:r w:rsidRPr="00936B99">
          <w:rPr>
            <w:rStyle w:val="Hyperlink"/>
            <w:rFonts w:ascii="Times New Roman" w:hAnsi="Times New Roman" w:cs="Times New Roman"/>
            <w:noProof/>
            <w:sz w:val="24"/>
            <w:szCs w:val="24"/>
          </w:rPr>
          <w:t>Figure S4.6. Percent of total land area by ecoregion for CESM2-WACCM.</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_Toc184062929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141</w:t>
        </w:r>
        <w:r w:rsidRPr="00936B99">
          <w:rPr>
            <w:rFonts w:ascii="Times New Roman" w:hAnsi="Times New Roman" w:cs="Times New Roman"/>
            <w:noProof/>
            <w:webHidden/>
            <w:sz w:val="24"/>
            <w:szCs w:val="24"/>
          </w:rPr>
          <w:fldChar w:fldCharType="end"/>
        </w:r>
      </w:hyperlink>
    </w:p>
    <w:p w14:paraId="5D053DCC" w14:textId="15DDAACE"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0" w:history="1">
        <w:r w:rsidRPr="00936B99">
          <w:rPr>
            <w:rStyle w:val="Hyperlink"/>
            <w:rFonts w:ascii="Times New Roman" w:hAnsi="Times New Roman" w:cs="Times New Roman"/>
            <w:noProof/>
            <w:sz w:val="24"/>
            <w:szCs w:val="24"/>
          </w:rPr>
          <w:t>Figure S4.7 Ecoregion 3 (deciduous needleleaf forests) in orange and 8 in pink (woody savannas) according to the A) CESM-WACCM and B) UKESM1-0-LL IGBP ecoregion maps.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_Toc184062930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142</w:t>
        </w:r>
        <w:r w:rsidRPr="00936B99">
          <w:rPr>
            <w:rFonts w:ascii="Times New Roman" w:hAnsi="Times New Roman" w:cs="Times New Roman"/>
            <w:noProof/>
            <w:webHidden/>
            <w:sz w:val="24"/>
            <w:szCs w:val="24"/>
          </w:rPr>
          <w:fldChar w:fldCharType="end"/>
        </w:r>
      </w:hyperlink>
    </w:p>
    <w:p w14:paraId="2D2099E5" w14:textId="2614A30B"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1" w:history="1">
        <w:r w:rsidRPr="00936B99">
          <w:rPr>
            <w:rStyle w:val="Hyperlink"/>
            <w:rFonts w:ascii="Times New Roman" w:hAnsi="Times New Roman" w:cs="Times New Roman"/>
            <w:noProof/>
            <w:sz w:val="24"/>
            <w:szCs w:val="24"/>
          </w:rPr>
          <w:t>Figure S4.8 The difference in precipitation flux from 2020-2040 to 2080-2100 under G6 Sulfur according to the A) CESM-WACCM and B) UKESM1-0-LL IGBP models.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_Toc184062931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143</w:t>
        </w:r>
        <w:r w:rsidRPr="00936B99">
          <w:rPr>
            <w:rFonts w:ascii="Times New Roman" w:hAnsi="Times New Roman" w:cs="Times New Roman"/>
            <w:noProof/>
            <w:webHidden/>
            <w:sz w:val="24"/>
            <w:szCs w:val="24"/>
          </w:rPr>
          <w:fldChar w:fldCharType="end"/>
        </w:r>
      </w:hyperlink>
    </w:p>
    <w:p w14:paraId="56BCB76A" w14:textId="6DAE7AA4"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2" w:history="1">
        <w:r w:rsidRPr="00936B99">
          <w:rPr>
            <w:rStyle w:val="Hyperlink"/>
            <w:rFonts w:ascii="Times New Roman" w:hAnsi="Times New Roman" w:cs="Times New Roman"/>
            <w:noProof/>
            <w:sz w:val="24"/>
            <w:szCs w:val="24"/>
          </w:rPr>
          <w:t>Figure S4.9. The difference in precipitation flux from 2020-2040 to 2080-2100 under G6 Sulfur according to the CESM-WACCM and UKESM1-0-LL models by IGBP ecoregion.</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_Toc184062932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144</w:t>
        </w:r>
        <w:r w:rsidRPr="00936B99">
          <w:rPr>
            <w:rFonts w:ascii="Times New Roman" w:hAnsi="Times New Roman" w:cs="Times New Roman"/>
            <w:noProof/>
            <w:webHidden/>
            <w:sz w:val="24"/>
            <w:szCs w:val="24"/>
          </w:rPr>
          <w:fldChar w:fldCharType="end"/>
        </w:r>
      </w:hyperlink>
    </w:p>
    <w:p w14:paraId="20D53374" w14:textId="1DCE4C1B"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3" w:history="1">
        <w:r w:rsidRPr="00936B99">
          <w:rPr>
            <w:rStyle w:val="Hyperlink"/>
            <w:rFonts w:ascii="Times New Roman" w:hAnsi="Times New Roman" w:cs="Times New Roman"/>
            <w:noProof/>
            <w:sz w:val="24"/>
            <w:szCs w:val="24"/>
          </w:rPr>
          <w:t>Figure S5.1. Study Area: The Conterminous US (CONUS).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_Toc184062933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144</w:t>
        </w:r>
        <w:r w:rsidRPr="00936B99">
          <w:rPr>
            <w:rFonts w:ascii="Times New Roman" w:hAnsi="Times New Roman" w:cs="Times New Roman"/>
            <w:noProof/>
            <w:webHidden/>
            <w:sz w:val="24"/>
            <w:szCs w:val="24"/>
          </w:rPr>
          <w:fldChar w:fldCharType="end"/>
        </w:r>
      </w:hyperlink>
    </w:p>
    <w:p w14:paraId="2E23A9BB" w14:textId="3D96E93E"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4" w:history="1">
        <w:r w:rsidRPr="00936B99">
          <w:rPr>
            <w:rStyle w:val="Hyperlink"/>
            <w:rFonts w:ascii="Times New Roman" w:hAnsi="Times New Roman" w:cs="Times New Roman"/>
            <w:noProof/>
            <w:sz w:val="24"/>
            <w:szCs w:val="24"/>
          </w:rPr>
          <w:t>Figure S5.2. Predicted start day of the longest and hottest heat wave by threshold and window for each year in the US.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_Toc184062934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145</w:t>
        </w:r>
        <w:r w:rsidRPr="00936B99">
          <w:rPr>
            <w:rFonts w:ascii="Times New Roman" w:hAnsi="Times New Roman" w:cs="Times New Roman"/>
            <w:noProof/>
            <w:webHidden/>
            <w:sz w:val="24"/>
            <w:szCs w:val="24"/>
          </w:rPr>
          <w:fldChar w:fldCharType="end"/>
        </w:r>
      </w:hyperlink>
    </w:p>
    <w:p w14:paraId="29333471" w14:textId="305CD33F"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5" w:history="1">
        <w:r w:rsidRPr="00936B99">
          <w:rPr>
            <w:rStyle w:val="Hyperlink"/>
            <w:rFonts w:ascii="Times New Roman" w:hAnsi="Times New Roman" w:cs="Times New Roman"/>
            <w:noProof/>
            <w:sz w:val="24"/>
            <w:szCs w:val="24"/>
          </w:rPr>
          <w:t>Figure S5.3. Average annual maximum temperature trends in the US.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_Toc184062935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146</w:t>
        </w:r>
        <w:r w:rsidRPr="00936B99">
          <w:rPr>
            <w:rFonts w:ascii="Times New Roman" w:hAnsi="Times New Roman" w:cs="Times New Roman"/>
            <w:noProof/>
            <w:webHidden/>
            <w:sz w:val="24"/>
            <w:szCs w:val="24"/>
          </w:rPr>
          <w:fldChar w:fldCharType="end"/>
        </w:r>
      </w:hyperlink>
    </w:p>
    <w:p w14:paraId="2C6F8DCC" w14:textId="63125585"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6" w:history="1">
        <w:r w:rsidRPr="00936B99">
          <w:rPr>
            <w:rStyle w:val="Hyperlink"/>
            <w:rFonts w:ascii="Times New Roman" w:hAnsi="Times New Roman" w:cs="Times New Roman"/>
            <w:noProof/>
            <w:sz w:val="24"/>
            <w:szCs w:val="24"/>
          </w:rPr>
          <w:t>Figure S5.4. Average annual minimum temperature trends in the US.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_Toc184062936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147</w:t>
        </w:r>
        <w:r w:rsidRPr="00936B99">
          <w:rPr>
            <w:rFonts w:ascii="Times New Roman" w:hAnsi="Times New Roman" w:cs="Times New Roman"/>
            <w:noProof/>
            <w:webHidden/>
            <w:sz w:val="24"/>
            <w:szCs w:val="24"/>
          </w:rPr>
          <w:fldChar w:fldCharType="end"/>
        </w:r>
      </w:hyperlink>
    </w:p>
    <w:p w14:paraId="4E9F8E2B" w14:textId="08106509"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7" w:history="1">
        <w:r w:rsidRPr="00936B99">
          <w:rPr>
            <w:rStyle w:val="Hyperlink"/>
            <w:rFonts w:ascii="Times New Roman" w:hAnsi="Times New Roman" w:cs="Times New Roman"/>
            <w:noProof/>
            <w:sz w:val="24"/>
            <w:szCs w:val="24"/>
          </w:rPr>
          <w:t>Figure S6.1 A) Locations of the training dataset (80%). B) Locations of the validation dataset (20%).</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_Toc184062937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150</w:t>
        </w:r>
        <w:r w:rsidRPr="00936B99">
          <w:rPr>
            <w:rFonts w:ascii="Times New Roman" w:hAnsi="Times New Roman" w:cs="Times New Roman"/>
            <w:noProof/>
            <w:webHidden/>
            <w:sz w:val="24"/>
            <w:szCs w:val="24"/>
          </w:rPr>
          <w:fldChar w:fldCharType="end"/>
        </w:r>
      </w:hyperlink>
    </w:p>
    <w:p w14:paraId="5A1DF743" w14:textId="085776AD"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8" w:history="1">
        <w:r w:rsidRPr="00936B99">
          <w:rPr>
            <w:rStyle w:val="Hyperlink"/>
            <w:rFonts w:ascii="Times New Roman" w:hAnsi="Times New Roman" w:cs="Times New Roman"/>
            <w:noProof/>
            <w:sz w:val="24"/>
            <w:szCs w:val="24"/>
          </w:rPr>
          <w:t>Figure S6.2. Variable importance in the random forest model.</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_Toc184062938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151</w:t>
        </w:r>
        <w:r w:rsidRPr="00936B99">
          <w:rPr>
            <w:rFonts w:ascii="Times New Roman" w:hAnsi="Times New Roman" w:cs="Times New Roman"/>
            <w:noProof/>
            <w:webHidden/>
            <w:sz w:val="24"/>
            <w:szCs w:val="24"/>
          </w:rPr>
          <w:fldChar w:fldCharType="end"/>
        </w:r>
      </w:hyperlink>
    </w:p>
    <w:p w14:paraId="4AA3B7E8" w14:textId="16DB77C2"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39" w:history="1">
        <w:r w:rsidRPr="00936B99">
          <w:rPr>
            <w:rStyle w:val="Hyperlink"/>
            <w:rFonts w:ascii="Times New Roman" w:hAnsi="Times New Roman" w:cs="Times New Roman"/>
            <w:noProof/>
            <w:sz w:val="24"/>
            <w:szCs w:val="24"/>
          </w:rPr>
          <w:t>Figure S6.3. The fit of the random forest model.</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_Toc184062939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151</w:t>
        </w:r>
        <w:r w:rsidRPr="00936B99">
          <w:rPr>
            <w:rFonts w:ascii="Times New Roman" w:hAnsi="Times New Roman" w:cs="Times New Roman"/>
            <w:noProof/>
            <w:webHidden/>
            <w:sz w:val="24"/>
            <w:szCs w:val="24"/>
          </w:rPr>
          <w:fldChar w:fldCharType="end"/>
        </w:r>
      </w:hyperlink>
    </w:p>
    <w:p w14:paraId="05D30EB6" w14:textId="5ECB0E69"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40" w:history="1">
        <w:r w:rsidRPr="00936B99">
          <w:rPr>
            <w:rStyle w:val="Hyperlink"/>
            <w:rFonts w:ascii="Times New Roman" w:hAnsi="Times New Roman" w:cs="Times New Roman"/>
            <w:noProof/>
            <w:sz w:val="24"/>
            <w:szCs w:val="24"/>
          </w:rPr>
          <w:t>Figure S6.4. The change in annual SOC (kg/m2) in CONUS regions experiencing a wildfire, one year before the fire, one year after the fire, the year of the fire, and 5 years after the fire.</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_Toc184062940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152</w:t>
        </w:r>
        <w:r w:rsidRPr="00936B99">
          <w:rPr>
            <w:rFonts w:ascii="Times New Roman" w:hAnsi="Times New Roman" w:cs="Times New Roman"/>
            <w:noProof/>
            <w:webHidden/>
            <w:sz w:val="24"/>
            <w:szCs w:val="24"/>
          </w:rPr>
          <w:fldChar w:fldCharType="end"/>
        </w:r>
      </w:hyperlink>
    </w:p>
    <w:p w14:paraId="0CE7FDEA" w14:textId="6344ED12" w:rsidR="00340D41" w:rsidRPr="00936B99" w:rsidRDefault="00340D41" w:rsidP="00936B99">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84062941" w:history="1">
        <w:r w:rsidRPr="00936B99">
          <w:rPr>
            <w:rStyle w:val="Hyperlink"/>
            <w:rFonts w:ascii="Times New Roman" w:hAnsi="Times New Roman" w:cs="Times New Roman"/>
            <w:noProof/>
            <w:sz w:val="24"/>
            <w:szCs w:val="24"/>
          </w:rPr>
          <w:t xml:space="preserve"> Figure S6.5. The percentage of farmland in each USDA farm resource region under intensive tilling for all crops for 8 select years..</w:t>
        </w:r>
        <w:r w:rsidRPr="00936B99">
          <w:rPr>
            <w:rFonts w:ascii="Times New Roman" w:hAnsi="Times New Roman" w:cs="Times New Roman"/>
            <w:noProof/>
            <w:webHidden/>
            <w:sz w:val="24"/>
            <w:szCs w:val="24"/>
          </w:rPr>
          <w:tab/>
        </w:r>
        <w:r w:rsidRPr="00936B99">
          <w:rPr>
            <w:rFonts w:ascii="Times New Roman" w:hAnsi="Times New Roman" w:cs="Times New Roman"/>
            <w:noProof/>
            <w:webHidden/>
            <w:sz w:val="24"/>
            <w:szCs w:val="24"/>
          </w:rPr>
          <w:fldChar w:fldCharType="begin"/>
        </w:r>
        <w:r w:rsidRPr="00936B99">
          <w:rPr>
            <w:rFonts w:ascii="Times New Roman" w:hAnsi="Times New Roman" w:cs="Times New Roman"/>
            <w:noProof/>
            <w:webHidden/>
            <w:sz w:val="24"/>
            <w:szCs w:val="24"/>
          </w:rPr>
          <w:instrText xml:space="preserve"> PAGEREF _Toc184062941 \h </w:instrText>
        </w:r>
        <w:r w:rsidRPr="00936B99">
          <w:rPr>
            <w:rFonts w:ascii="Times New Roman" w:hAnsi="Times New Roman" w:cs="Times New Roman"/>
            <w:noProof/>
            <w:webHidden/>
            <w:sz w:val="24"/>
            <w:szCs w:val="24"/>
          </w:rPr>
        </w:r>
        <w:r w:rsidRPr="00936B99">
          <w:rPr>
            <w:rFonts w:ascii="Times New Roman" w:hAnsi="Times New Roman" w:cs="Times New Roman"/>
            <w:noProof/>
            <w:webHidden/>
            <w:sz w:val="24"/>
            <w:szCs w:val="24"/>
          </w:rPr>
          <w:fldChar w:fldCharType="separate"/>
        </w:r>
        <w:r w:rsidR="004F48FD">
          <w:rPr>
            <w:rFonts w:ascii="Times New Roman" w:hAnsi="Times New Roman" w:cs="Times New Roman"/>
            <w:noProof/>
            <w:webHidden/>
            <w:sz w:val="24"/>
            <w:szCs w:val="24"/>
          </w:rPr>
          <w:t>153</w:t>
        </w:r>
        <w:r w:rsidRPr="00936B99">
          <w:rPr>
            <w:rFonts w:ascii="Times New Roman" w:hAnsi="Times New Roman" w:cs="Times New Roman"/>
            <w:noProof/>
            <w:webHidden/>
            <w:sz w:val="24"/>
            <w:szCs w:val="24"/>
          </w:rPr>
          <w:fldChar w:fldCharType="end"/>
        </w:r>
      </w:hyperlink>
    </w:p>
    <w:p w14:paraId="0AFEBAA9" w14:textId="3B04AA6A" w:rsidR="00456CB7" w:rsidRPr="00936B99" w:rsidRDefault="004B4AC7" w:rsidP="00936B99">
      <w:pPr>
        <w:spacing w:after="0" w:line="360" w:lineRule="auto"/>
        <w:rPr>
          <w:rFonts w:ascii="Times New Roman" w:hAnsi="Times New Roman" w:cs="Times New Roman"/>
          <w:sz w:val="24"/>
          <w:szCs w:val="24"/>
        </w:rPr>
        <w:sectPr w:rsidR="00456CB7" w:rsidRPr="00936B99" w:rsidSect="00526405">
          <w:footerReference w:type="default" r:id="rId8"/>
          <w:pgSz w:w="12240" w:h="15840"/>
          <w:pgMar w:top="1440" w:right="1440" w:bottom="1440" w:left="1440" w:header="720" w:footer="720" w:gutter="0"/>
          <w:pgNumType w:fmt="lowerRoman"/>
          <w:cols w:space="720"/>
          <w:titlePg/>
          <w:docGrid w:linePitch="360"/>
        </w:sectPr>
      </w:pPr>
      <w:r w:rsidRPr="00936B99">
        <w:rPr>
          <w:rFonts w:ascii="Times New Roman" w:hAnsi="Times New Roman" w:cs="Times New Roman"/>
          <w:sz w:val="24"/>
          <w:szCs w:val="24"/>
        </w:rPr>
        <w:fldChar w:fldCharType="end"/>
      </w:r>
      <w:r w:rsidR="003F608C" w:rsidRPr="00936B99">
        <w:rPr>
          <w:rFonts w:ascii="Times New Roman" w:hAnsi="Times New Roman" w:cs="Times New Roman"/>
          <w:sz w:val="24"/>
          <w:szCs w:val="24"/>
        </w:rPr>
        <w:br w:type="page"/>
      </w:r>
    </w:p>
    <w:p w14:paraId="7BD56800" w14:textId="2EB29F8E" w:rsidR="00DE0569" w:rsidRPr="008E4EFB" w:rsidRDefault="00DE0569" w:rsidP="00936B99">
      <w:pPr>
        <w:pStyle w:val="Heading1"/>
        <w:spacing w:before="0" w:line="360" w:lineRule="auto"/>
        <w:rPr>
          <w:sz w:val="24"/>
          <w:szCs w:val="24"/>
        </w:rPr>
      </w:pPr>
      <w:bookmarkStart w:id="0" w:name="_Toc179917960"/>
      <w:r w:rsidRPr="008E4EFB">
        <w:rPr>
          <w:sz w:val="24"/>
          <w:szCs w:val="24"/>
        </w:rPr>
        <w:lastRenderedPageBreak/>
        <w:t>Introduction</w:t>
      </w:r>
      <w:bookmarkEnd w:id="0"/>
    </w:p>
    <w:p w14:paraId="03E00A0F" w14:textId="44F88B96" w:rsidR="00DE0569" w:rsidRPr="008E4EFB" w:rsidRDefault="00DE0569" w:rsidP="00936B99">
      <w:pPr>
        <w:pStyle w:val="Style3"/>
        <w:numPr>
          <w:ilvl w:val="1"/>
          <w:numId w:val="7"/>
        </w:numPr>
        <w:spacing w:before="0" w:line="360" w:lineRule="auto"/>
        <w:rPr>
          <w:rFonts w:cs="Times New Roman"/>
          <w:szCs w:val="24"/>
        </w:rPr>
      </w:pPr>
      <w:bookmarkStart w:id="1" w:name="_Toc179917961"/>
      <w:r w:rsidRPr="008E4EFB">
        <w:rPr>
          <w:rFonts w:cs="Times New Roman"/>
          <w:szCs w:val="24"/>
        </w:rPr>
        <w:t>Global Environmental Change</w:t>
      </w:r>
      <w:r w:rsidR="007E38BF" w:rsidRPr="008E4EFB">
        <w:rPr>
          <w:rFonts w:cs="Times New Roman"/>
          <w:szCs w:val="24"/>
        </w:rPr>
        <w:t>: Motivations for Research</w:t>
      </w:r>
      <w:bookmarkEnd w:id="1"/>
    </w:p>
    <w:p w14:paraId="7924922A" w14:textId="14FBAFFD" w:rsidR="004F3AC2" w:rsidRPr="008E4EFB" w:rsidRDefault="00DE0569" w:rsidP="00936B99">
      <w:pPr>
        <w:pStyle w:val="Subheading"/>
        <w:spacing w:after="0" w:line="360" w:lineRule="auto"/>
      </w:pPr>
      <w:r w:rsidRPr="008E4EFB">
        <w:t>Global environmental change</w:t>
      </w:r>
      <w:r w:rsidR="00DC1D59" w:rsidRPr="008E4EFB">
        <w:t xml:space="preserve"> is </w:t>
      </w:r>
      <w:r w:rsidR="0074228B" w:rsidRPr="008E4EFB">
        <w:t xml:space="preserve">the outcome of processes that operate on multiple spatial and temporal scales and </w:t>
      </w:r>
      <w:r w:rsidR="00417E0B" w:rsidRPr="008E4EFB">
        <w:t xml:space="preserve">have far-reaching consequences </w:t>
      </w:r>
      <w:r w:rsidR="00A3073F" w:rsidRPr="008E4EFB">
        <w:t>planetary</w:t>
      </w:r>
      <w:r w:rsidR="00FB61C9" w:rsidRPr="008E4EFB">
        <w:t xml:space="preserve">, ecosystem, and </w:t>
      </w:r>
      <w:r w:rsidR="00417E0B" w:rsidRPr="008E4EFB">
        <w:t xml:space="preserve">human health </w:t>
      </w:r>
      <w:r w:rsidR="00165793" w:rsidRPr="008E4EFB">
        <w:fldChar w:fldCharType="begin"/>
      </w:r>
      <w:r w:rsidR="00165793" w:rsidRPr="008E4EFB">
        <w:instrText xml:space="preserve"> ADDIN ZOTERO_ITEM CSL_CITATION {"citationID":"gnwbvaVK","properties":{"formattedCitation":"(Vitousek, 1992)","plainCitation":"(Vitousek, 1992)","noteIndex":0},"citationItems":[{"id":2843,"uris":["http://zotero.org/users/3110659/items/W7FFQBAZ"],"itemData":{"id":2843,"type":"article-journal","container-title":"Annual Review of Ecology and Systematics","DOI":"10.1146/annurev.es.23.110192.000245","issue":"1","note":"_eprint: https://doi.org/10.1146/annurev.es.23.110192.000245","page":"1-14","source":"Annual Reviews","title":"Global Environmental Change: An Introduction","title-short":"Global Environmental Change","volume":"23","author":[{"family":"Vitousek","given":"Peter M."}],"issued":{"date-parts":[["1992"]]}}}],"schema":"https://github.com/citation-style-language/schema/raw/master/csl-citation.json"} </w:instrText>
      </w:r>
      <w:r w:rsidR="00165793" w:rsidRPr="008E4EFB">
        <w:fldChar w:fldCharType="separate"/>
      </w:r>
      <w:r w:rsidR="00B864BC" w:rsidRPr="008E4EFB">
        <w:t>(Vitousek, 1992)</w:t>
      </w:r>
      <w:r w:rsidR="00165793" w:rsidRPr="008E4EFB">
        <w:fldChar w:fldCharType="end"/>
      </w:r>
      <w:r w:rsidR="00165793" w:rsidRPr="008E4EFB">
        <w:t xml:space="preserve">. While </w:t>
      </w:r>
      <w:r w:rsidR="00F00F13" w:rsidRPr="008E4EFB">
        <w:t>such change</w:t>
      </w:r>
      <w:r w:rsidR="00165793" w:rsidRPr="008E4EFB">
        <w:t xml:space="preserve"> has always been occurring because the Earth is not a static system, the specific phenomenon of anthropogenic climate change</w:t>
      </w:r>
      <w:r w:rsidR="006C3211" w:rsidRPr="008E4EFB">
        <w:t xml:space="preserve"> dates only to the </w:t>
      </w:r>
      <w:r w:rsidR="00213970" w:rsidRPr="008E4EFB">
        <w:t>industrialization of the mid-19</w:t>
      </w:r>
      <w:r w:rsidR="00213970" w:rsidRPr="008E4EFB">
        <w:rPr>
          <w:vertAlign w:val="superscript"/>
        </w:rPr>
        <w:t>th</w:t>
      </w:r>
      <w:r w:rsidR="00213970" w:rsidRPr="008E4EFB">
        <w:t xml:space="preserve"> century</w:t>
      </w:r>
      <w:r w:rsidR="00EC765A" w:rsidRPr="008E4EFB">
        <w:t xml:space="preserve"> </w:t>
      </w:r>
      <w:r w:rsidR="00FC5FCA" w:rsidRPr="008E4EFB">
        <w:t xml:space="preserve">when the burning and extraction of fossil fuels began on a large scale </w:t>
      </w:r>
      <w:r w:rsidR="00213970" w:rsidRPr="008E4EFB">
        <w:fldChar w:fldCharType="begin"/>
      </w:r>
      <w:r w:rsidR="00213970" w:rsidRPr="008E4EFB">
        <w:instrText xml:space="preserve"> ADDIN ZOTERO_ITEM CSL_CITATION {"citationID":"9DXe5yOf","properties":{"formattedCitation":"(Abram et al., 2016)","plainCitation":"(Abram et al., 2016)","noteIndex":0},"citationItems":[{"id":2845,"uris":["http://zotero.org/users/3110659/items/8JIH66HN"],"itemData":{"id":2845,"type":"article-journal","abstract":"The evolution of industrial-era warming across the continents and oceans provides a context for future climate change and is important for determining climate sensitivity and the processes that control regional warming. Here we use post-ad 1500 palaeoclimate records to show that sustained industrial-era warming of the tropical oceans first developed during the mid-nineteenth century and was nearly synchronous with Northern Hemisphere continental warming. The early onset of sustained, significant warming in palaeoclimate records and model simulations suggests that greenhouse forcing of industrial-era warming commenced as early as the mid-nineteenth century and included an enhanced equatorial ocean response mechanism. The development of Southern Hemisphere warming is delayed in reconstructions, but this apparent delay is not reproduced in climate simulations. Our findings imply that instrumental records are too short to comprehensively assess anthropogenic climate change and that, in some regions, about 180 years of industrial-era warming has already caused surface temperatures to emerge above pre-industrial values, even when taking natural variability into account.","container-title":"Nature","DOI":"10.1038/nature19082","ISSN":"1476-4687","issue":"7617","language":"en","license":"2016 Macmillan Publishers Limited, part of Springer Nature. All rights reserved.","note":"number: 7617\npublisher: Nature Publishing Group","page":"411-418","source":"www.nature.com","title":"Early onset of industrial-era warming across the oceans and continents","volume":"536","author":[{"family":"Abram","given":"Nerilie J."},{"family":"McGregor","given":"Helen V."},{"family":"Tierney","given":"Jessica E."},{"family":"Evans","given":"Michael N."},{"family":"McKay","given":"Nicholas P."},{"family":"Kaufman","given":"Darrell S."}],"issued":{"date-parts":[["2016",8]]}}}],"schema":"https://github.com/citation-style-language/schema/raw/master/csl-citation.json"} </w:instrText>
      </w:r>
      <w:r w:rsidR="00213970" w:rsidRPr="008E4EFB">
        <w:fldChar w:fldCharType="separate"/>
      </w:r>
      <w:r w:rsidR="00B864BC" w:rsidRPr="008E4EFB">
        <w:t>(Abram et al., 2016)</w:t>
      </w:r>
      <w:r w:rsidR="00213970" w:rsidRPr="008E4EFB">
        <w:fldChar w:fldCharType="end"/>
      </w:r>
      <w:r w:rsidR="00EC765A" w:rsidRPr="008E4EFB">
        <w:t xml:space="preserve">. </w:t>
      </w:r>
      <w:r w:rsidR="006C349C" w:rsidRPr="008E4EFB">
        <w:t xml:space="preserve">Anthropogenic climate change is speeding up </w:t>
      </w:r>
      <w:r w:rsidR="0082089A" w:rsidRPr="008E4EFB">
        <w:t>the rate of change of long-term processes</w:t>
      </w:r>
      <w:r w:rsidR="00C77427" w:rsidRPr="008E4EFB">
        <w:t xml:space="preserve"> </w:t>
      </w:r>
      <w:r w:rsidR="00C77427" w:rsidRPr="008E4EFB">
        <w:fldChar w:fldCharType="begin"/>
      </w:r>
      <w:r w:rsidR="00C77427" w:rsidRPr="008E4EFB">
        <w:instrText xml:space="preserve"> ADDIN ZOTERO_ITEM CSL_CITATION {"citationID":"wBIbg6fv","properties":{"formattedCitation":"(Lohmann et al., 2021)","plainCitation":"(Lohmann et al., 2021)","noteIndex":0},"citationItems":[{"id":2849,"uris":["http://zotero.org/users/3110659/items/I5HV9CAU"],"itemData":{"id":2849,"type":"article-journal","abstract":"We propose a conceptual model comprising a cascade of tipping points as a mechanism for past abrupt climate changes. In the model, changes in a control parameter, which could for instance be related to changes in the atmospheric circulation, induce sequential tipping of sea ice cover and the ocean's meridional overturning circulation. The ocean component, represented by the well-known Stommel box model, is shown to display so-called rate-induced tipping. Here, an abrupt resurgence of the overturning circulation is induced before a bifurcation point is reached due to the fast rate of change of the sea ice. Because of the multi-scale nature of the climate system, this type of tipping cascade may also be a risk concerning future global warming. The relatively short timescales involved make it challenging to detect these tipping points from observations. However, with our conceptual model we find that there can be a significant delay in the tipping because the system is attracted by the stable manifold of a saddle during the rate-induced transition before escaping towards the undesired state. This opens up the possibility for an early warning of the impending abrupt transition via detection of the changing linear stability in the vicinity of the saddle. To do so, we propose estimating the Jacobian from the noisy time series. This is shown to be a useful generic precursor to detect rate-induced tipping.","container-title":"Earth System Dynamics","DOI":"10.5194/esd-12-819-2021","ISSN":"2190-4979","issue":"3","language":"English","note":"publisher: Copernicus GmbH","page":"819-835","source":"Copernicus Online Journals","title":"Abrupt climate change as a rate-dependent cascading tipping point","volume":"12","author":[{"family":"Lohmann","given":"Johannes"},{"family":"Castellana","given":"Daniele"},{"family":"Ditlevsen","given":"Peter D."},{"family":"Dijkstra","given":"Henk A."}],"issued":{"date-parts":[["2021",7,28]]}}}],"schema":"https://github.com/citation-style-language/schema/raw/master/csl-citation.json"} </w:instrText>
      </w:r>
      <w:r w:rsidR="00C77427" w:rsidRPr="008E4EFB">
        <w:fldChar w:fldCharType="separate"/>
      </w:r>
      <w:r w:rsidR="00B864BC" w:rsidRPr="008E4EFB">
        <w:t>(Lohmann et al., 2021)</w:t>
      </w:r>
      <w:r w:rsidR="00C77427" w:rsidRPr="008E4EFB">
        <w:fldChar w:fldCharType="end"/>
      </w:r>
      <w:r w:rsidR="00C77427" w:rsidRPr="008E4EFB">
        <w:t xml:space="preserve"> and having devastatingly fast impact</w:t>
      </w:r>
      <w:r w:rsidR="004C3A11" w:rsidRPr="008E4EFB">
        <w:t>s</w:t>
      </w:r>
      <w:r w:rsidR="00C77427" w:rsidRPr="008E4EFB">
        <w:t xml:space="preserve"> on </w:t>
      </w:r>
      <w:r w:rsidRPr="008E4EFB">
        <w:t>the ecosystems and humans at risk from climate-related disasters.</w:t>
      </w:r>
    </w:p>
    <w:p w14:paraId="48F5ADFE" w14:textId="67F4BC72" w:rsidR="004275EB" w:rsidRPr="008E4EFB" w:rsidRDefault="00DE0569" w:rsidP="00936B99">
      <w:pPr>
        <w:pStyle w:val="Subheading"/>
        <w:spacing w:after="0" w:line="360" w:lineRule="auto"/>
      </w:pPr>
      <w:r w:rsidRPr="008E4EFB">
        <w:t>Because the impacts of climate change are inextricably linked to location and environment, mapping is a particularly meaningful way to convey results</w:t>
      </w:r>
      <w:r w:rsidR="00FE1F99" w:rsidRPr="008E4EFB">
        <w:t xml:space="preserve"> and explore data</w:t>
      </w:r>
      <w:r w:rsidRPr="008E4EFB">
        <w:t xml:space="preserve">. </w:t>
      </w:r>
      <w:r w:rsidR="006F131E" w:rsidRPr="008E4EFB">
        <w:t xml:space="preserve">However, </w:t>
      </w:r>
      <w:r w:rsidR="00485C11" w:rsidRPr="008E4EFB">
        <w:t xml:space="preserve">maps of </w:t>
      </w:r>
      <w:r w:rsidR="006C0113" w:rsidRPr="008E4EFB">
        <w:t>non-static</w:t>
      </w:r>
      <w:r w:rsidR="00485C11" w:rsidRPr="008E4EFB">
        <w:t xml:space="preserve"> climate variables</w:t>
      </w:r>
      <w:r w:rsidR="006F131E" w:rsidRPr="008E4EFB">
        <w:t xml:space="preserve"> </w:t>
      </w:r>
      <w:r w:rsidR="00485C11" w:rsidRPr="008E4EFB">
        <w:t>can often be</w:t>
      </w:r>
      <w:r w:rsidR="006F131E" w:rsidRPr="008E4EFB">
        <w:t xml:space="preserve"> misleading or incomplete due to</w:t>
      </w:r>
      <w:r w:rsidR="005A6058" w:rsidRPr="008E4EFB">
        <w:t xml:space="preserve"> </w:t>
      </w:r>
      <w:r w:rsidR="004B781A" w:rsidRPr="008E4EFB">
        <w:t xml:space="preserve">the lack of </w:t>
      </w:r>
      <w:r w:rsidR="005A6058" w:rsidRPr="008E4EFB">
        <w:t>ground-based ob</w:t>
      </w:r>
      <w:r w:rsidR="004B781A" w:rsidRPr="008E4EFB">
        <w:t>servations in many regions</w:t>
      </w:r>
      <w:r w:rsidR="00942951" w:rsidRPr="008E4EFB">
        <w:t xml:space="preserve">, </w:t>
      </w:r>
      <w:r w:rsidR="004B781A" w:rsidRPr="008E4EFB">
        <w:t>the difficulty of spatially interpolating in complex environments</w:t>
      </w:r>
      <w:r w:rsidR="00942951" w:rsidRPr="008E4EFB">
        <w:t>, and lack of uncertainty metrics</w:t>
      </w:r>
      <w:r w:rsidR="004B781A" w:rsidRPr="008E4EFB">
        <w:t xml:space="preserve">. </w:t>
      </w:r>
      <w:r w:rsidRPr="008E4EFB">
        <w:t xml:space="preserve">My research focuses on mapping techniques specifically for climate data – multidimensional, global </w:t>
      </w:r>
      <w:r w:rsidR="004B51E3" w:rsidRPr="008E4EFB">
        <w:t>time series</w:t>
      </w:r>
      <w:r w:rsidRPr="008E4EFB">
        <w:t xml:space="preserve"> of various environmental variables that are </w:t>
      </w:r>
      <w:r w:rsidR="004B51E3" w:rsidRPr="008E4EFB">
        <w:t xml:space="preserve">rapidly evolving </w:t>
      </w:r>
      <w:r w:rsidRPr="008E4EFB">
        <w:t>due to the amount of carbon dioxide in the atmosphere.</w:t>
      </w:r>
      <w:r w:rsidR="004F3AC2" w:rsidRPr="008E4EFB">
        <w:t xml:space="preserve"> I </w:t>
      </w:r>
      <w:r w:rsidR="00981EA5" w:rsidRPr="008E4EFB">
        <w:t>map</w:t>
      </w:r>
      <w:r w:rsidR="004F3AC2" w:rsidRPr="008E4EFB">
        <w:t xml:space="preserve"> </w:t>
      </w:r>
      <w:r w:rsidR="004B2AF2" w:rsidRPr="008E4EFB">
        <w:t>3 different phenomena</w:t>
      </w:r>
      <w:r w:rsidR="00981EA5" w:rsidRPr="008E4EFB">
        <w:t xml:space="preserve"> and investigate </w:t>
      </w:r>
      <w:r w:rsidR="00401E00" w:rsidRPr="008E4EFB">
        <w:t xml:space="preserve">methodological improvements and the associated uncertainty </w:t>
      </w:r>
      <w:r w:rsidR="00CB6254" w:rsidRPr="008E4EFB">
        <w:t xml:space="preserve">of </w:t>
      </w:r>
      <w:r w:rsidR="00C73A62" w:rsidRPr="008E4EFB">
        <w:t xml:space="preserve">1) </w:t>
      </w:r>
      <w:r w:rsidR="007A0F8E" w:rsidRPr="008E4EFB">
        <w:t xml:space="preserve">acid deposition, </w:t>
      </w:r>
      <w:r w:rsidR="00C73A62" w:rsidRPr="008E4EFB">
        <w:t xml:space="preserve">2) </w:t>
      </w:r>
      <w:r w:rsidR="007A0F8E" w:rsidRPr="008E4EFB">
        <w:t xml:space="preserve">heat waves, and </w:t>
      </w:r>
      <w:r w:rsidR="00C73A62" w:rsidRPr="008E4EFB">
        <w:t xml:space="preserve">3) </w:t>
      </w:r>
      <w:r w:rsidR="007A0F8E" w:rsidRPr="008E4EFB">
        <w:t xml:space="preserve">soil organic carbon at varying time scales, all </w:t>
      </w:r>
      <w:r w:rsidR="00F41054" w:rsidRPr="008E4EFB">
        <w:t>fundamentally</w:t>
      </w:r>
      <w:r w:rsidR="007A0F8E" w:rsidRPr="008E4EFB">
        <w:t xml:space="preserve"> related to global environmental change and </w:t>
      </w:r>
      <w:r w:rsidR="00F41054" w:rsidRPr="008E4EFB">
        <w:t>climate impacts.</w:t>
      </w:r>
    </w:p>
    <w:p w14:paraId="64940396" w14:textId="278F3776" w:rsidR="001F57A0" w:rsidRPr="008E4EFB" w:rsidRDefault="0098722F" w:rsidP="00B71A9A">
      <w:pPr>
        <w:pStyle w:val="Subheading"/>
        <w:spacing w:after="0" w:line="360" w:lineRule="auto"/>
      </w:pPr>
      <w:r w:rsidRPr="008E4EFB">
        <w:t xml:space="preserve">First, acid deposition. </w:t>
      </w:r>
      <w:r w:rsidR="00A7052E" w:rsidRPr="008E4EFB">
        <w:t>Carbon dioxide is not the only emission of concern</w:t>
      </w:r>
      <w:r w:rsidR="000458F3" w:rsidRPr="008E4EFB">
        <w:t xml:space="preserve"> related to anthropogenic climate change</w:t>
      </w:r>
      <w:r w:rsidR="00A7052E" w:rsidRPr="008E4EFB">
        <w:t xml:space="preserve">. </w:t>
      </w:r>
      <w:r w:rsidR="001F57A0" w:rsidRPr="008E4EFB">
        <w:t>While not a greenhouse gas, global reactive nitrogen (N) deposition has more than tripled since 1860 and is expected to remain high due to food production and fossil fuel consumption</w:t>
      </w:r>
      <w:r w:rsidR="00D77A5F" w:rsidRPr="008E4EFB">
        <w:t xml:space="preserve"> </w:t>
      </w:r>
      <w:r w:rsidR="00D77A5F" w:rsidRPr="008E4EFB">
        <w:fldChar w:fldCharType="begin"/>
      </w:r>
      <w:r w:rsidR="00D77A5F" w:rsidRPr="008E4EFB">
        <w:instrText xml:space="preserve"> ADDIN ZOTERO_ITEM CSL_CITATION {"citationID":"LiltDGS8","properties":{"formattedCitation":"(Vishwakarma et al., 2023)","plainCitation":"(Vishwakarma et al., 2023)","noteIndex":0},"citationItems":[{"id":2860,"uris":["http://zotero.org/users/3110659/items/Y5HC7GY7"],"itemData":{"id":2860,"type":"article-journal","abstract":"Nitrogen (N) deposition is a significant nutrient input to cropland and consequently important for the evaluation of N budgets and N use efficiency (NUE) at different scales and over time. However, the spatiotemporal coverage of N deposition measurements is limited globally, whereas modeled N deposition values carry uncertainties. Here, we reviewed existing methods and related data sources for quantifying N deposition inputs to crop production on a national scale. We utilized different data sources to estimate N deposition input to crop production at national scale and compared our estimates with 14 N budget datasets, as well as measured N deposition data from observation networks in 9 countries. We created four datasets of N deposition inputs on cropland during 1961–2020 for 236 countries. These products showed good agreement for the majority of countries and can be used in the modeling and assessment of NUE at national and global scales. One of the datasets is recommended for general use in regional to global N budget and NUE estimates.","container-title":"Scientific Data","DOI":"10.1038/s41597-023-02385-8","ISSN":"2052-4463","issue":"1","journalAbbreviation":"Sci Data","language":"en","license":"2023 The Author(s)","note":"number: 1\npublisher: Nature Publishing Group","page":"488","source":"www.nature.com","title":"Global nitrogen deposition inputs to cropland at national scale from 1961 to 2020","volume":"10","author":[{"family":"Vishwakarma","given":"Srishti"},{"family":"Zhang","given":"Xin"},{"family":"Dobermann","given":"Achim"},{"family":"Heffer","given":"Patrick"},{"family":"Zhou","given":"Feng"}],"issued":{"date-parts":[["2023",7,26]]}}}],"schema":"https://github.com/citation-style-language/schema/raw/master/csl-citation.json"} </w:instrText>
      </w:r>
      <w:r w:rsidR="00D77A5F" w:rsidRPr="008E4EFB">
        <w:fldChar w:fldCharType="separate"/>
      </w:r>
      <w:r w:rsidR="00B864BC" w:rsidRPr="008E4EFB">
        <w:t>(Vishwakarma et al., 2023)</w:t>
      </w:r>
      <w:r w:rsidR="00D77A5F" w:rsidRPr="008E4EFB">
        <w:fldChar w:fldCharType="end"/>
      </w:r>
      <w:r w:rsidR="001F57A0" w:rsidRPr="008E4EFB">
        <w:t xml:space="preserve">. </w:t>
      </w:r>
      <w:r w:rsidR="00FE1F99" w:rsidRPr="008E4EFB">
        <w:t>And g</w:t>
      </w:r>
      <w:r w:rsidR="001F57A0" w:rsidRPr="008E4EFB">
        <w:t>lobal sulfur emissions have been decreasing worldwide over the last 30 years, but many regions are still experiencing unhealthily high levels of deposition</w:t>
      </w:r>
      <w:r w:rsidR="00D40A7F" w:rsidRPr="008E4EFB">
        <w:t xml:space="preserve"> </w:t>
      </w:r>
      <w:r w:rsidR="00B4708A" w:rsidRPr="008E4EFB">
        <w:fldChar w:fldCharType="begin"/>
      </w:r>
      <w:r w:rsidR="0059488F" w:rsidRPr="008E4EFB">
        <w:instrText xml:space="preserve"> ADDIN ZOTERO_ITEM CSL_CITATION {"citationID":"0tSQnG26","properties":{"formattedCitation":"(X. Ge et al., 2023)","plainCitation":"(X. Ge et al., 2023)","noteIndex":0},"citationItems":[{"id":2802,"uris":["http://zotero.org/users/3110659/items/PMRQG88T"],"itemData":{"id":2802,"type":"article-journal","abstract":"The critical load concept is an important scientific guideline for acid deposition control. It was not only a crucial scientific basis to determine the emission reduction targets in Europe, but also used in China’s air pollution control, especially the designation of two control zones. Currently, critical loads of sulfur and nitrogen are still exceeded in Europe, America, and East Asia (mainly in China), and need to be continuously updated to meet the demands of further emission reductions. Critical loads of China were calculated and mapped in the 2000s, but are not sufficiently accurate due to methodological and data limitations. Here we present the latest high-quality critical loads for China, based on high-resolution basic data on soil, vegetation, and atmospheric base cations deposition, and up-to-date knowledge on important parameters. Our data, which is going to be included in GAINS-China, can be used to assess the ecological benefits of nitrogen and sulfur reductions in China at a regional or national scale, and to develop mitigation strategies in the future.","container-title":"Scientific Data","DOI":"10.1038/s41597-023-02178-z","ISSN":"2052-4463","issue":"1","journalAbbreviation":"Sci Data","language":"en","license":"2023 The Author(s)","note":"number: 1\npublisher: Nature Publishing Group","page":"339","source":"www.nature.com","title":"High-resolution maps of critical loads for sulfur and nitrogen in China","volume":"10","author":[{"family":"Ge","given":"Xiaodong"},{"family":"Yu","given":"Qian"},{"family":"Duan","given":"Lei"},{"family":"Zhao","given":"Yu"},{"family":"Posch","given":"Maximilian"},{"family":"Hao","given":"Jiming"}],"issued":{"date-parts":[["2023",5,31]]}}}],"schema":"https://github.com/citation-style-language/schema/raw/master/csl-citation.json"} </w:instrText>
      </w:r>
      <w:r w:rsidR="00B4708A" w:rsidRPr="008E4EFB">
        <w:fldChar w:fldCharType="separate"/>
      </w:r>
      <w:r w:rsidR="0059488F" w:rsidRPr="008E4EFB">
        <w:t>(X. Ge et al., 2023)</w:t>
      </w:r>
      <w:r w:rsidR="00B4708A" w:rsidRPr="008E4EFB">
        <w:fldChar w:fldCharType="end"/>
      </w:r>
      <w:r w:rsidR="001F57A0" w:rsidRPr="008E4EFB">
        <w:t xml:space="preserve">. </w:t>
      </w:r>
      <w:r w:rsidR="00B32474" w:rsidRPr="008E4EFB">
        <w:t>My work</w:t>
      </w:r>
      <w:r w:rsidR="001F57A0" w:rsidRPr="008E4EFB">
        <w:t xml:space="preserve"> update</w:t>
      </w:r>
      <w:r w:rsidR="00B32474" w:rsidRPr="008E4EFB">
        <w:t>s</w:t>
      </w:r>
      <w:r w:rsidR="001F57A0" w:rsidRPr="008E4EFB">
        <w:t xml:space="preserve"> the 2010 global deposition budget for reactive nitrogen and sulfur components with new regional wet deposition measurements from Asia, improving the ensemble results of eleven global chemistry transport models from the second phase of the United Nation’s Task Force on Hemispheric Transport of Air Pollution (HTAP-II). </w:t>
      </w:r>
      <w:r w:rsidR="00B32474" w:rsidRPr="008E4EFB">
        <w:t>This</w:t>
      </w:r>
      <w:r w:rsidR="001F57A0" w:rsidRPr="008E4EFB">
        <w:t xml:space="preserve"> study </w:t>
      </w:r>
      <w:r w:rsidR="00B32474" w:rsidRPr="008E4EFB">
        <w:t xml:space="preserve">will </w:t>
      </w:r>
      <w:r w:rsidR="001F57A0" w:rsidRPr="008E4EFB">
        <w:t xml:space="preserve">demonstrate that a global measurement-model fusion approach can improve N and S deposition model estimates at a regional scale, with sufficient </w:t>
      </w:r>
      <w:r w:rsidR="001F57A0" w:rsidRPr="008E4EFB">
        <w:lastRenderedPageBreak/>
        <w:t>availability of observations</w:t>
      </w:r>
      <w:r w:rsidR="00562493" w:rsidRPr="008E4EFB">
        <w:t>.</w:t>
      </w:r>
      <w:r w:rsidR="001F57A0" w:rsidRPr="008E4EFB">
        <w:t xml:space="preserve"> </w:t>
      </w:r>
      <w:r w:rsidR="00562493" w:rsidRPr="008E4EFB">
        <w:t>This</w:t>
      </w:r>
      <w:r w:rsidR="001F57A0" w:rsidRPr="008E4EFB">
        <w:t xml:space="preserve"> analysis represents a step forward toward the World Meteorological Organization’s goal of global fusion products for accurately mapping harmful air pollution deposition</w:t>
      </w:r>
      <w:r w:rsidR="00852A05" w:rsidRPr="008E4EFB">
        <w:t xml:space="preserve">, eventually using machine learning </w:t>
      </w:r>
      <w:r w:rsidR="00FE4429" w:rsidRPr="008E4EFB">
        <w:t xml:space="preserve">and satellite imagery </w:t>
      </w:r>
      <w:r w:rsidR="00852A05" w:rsidRPr="008E4EFB">
        <w:t>to fill gaps in regions that do not have observations</w:t>
      </w:r>
      <w:r w:rsidR="001F57A0" w:rsidRPr="008E4EFB">
        <w:t xml:space="preserve">. </w:t>
      </w:r>
    </w:p>
    <w:p w14:paraId="60C6FF32" w14:textId="1A4A73A2" w:rsidR="001F57A0" w:rsidRPr="008E4EFB" w:rsidRDefault="001F57A0" w:rsidP="00B71A9A">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Even with immediate global policy implementation, the impacts of climate change will continue to worsen over the next decades</w:t>
      </w:r>
      <w:r w:rsidR="00B37661" w:rsidRPr="008E4EFB">
        <w:rPr>
          <w:rFonts w:ascii="Times New Roman" w:hAnsi="Times New Roman" w:cs="Times New Roman"/>
          <w:sz w:val="24"/>
          <w:szCs w:val="24"/>
        </w:rPr>
        <w:t xml:space="preserve"> </w:t>
      </w:r>
      <w:r w:rsidR="00B37661" w:rsidRPr="008E4EFB">
        <w:rPr>
          <w:rFonts w:ascii="Times New Roman" w:hAnsi="Times New Roman" w:cs="Times New Roman"/>
          <w:sz w:val="24"/>
          <w:szCs w:val="24"/>
        </w:rPr>
        <w:fldChar w:fldCharType="begin"/>
      </w:r>
      <w:r w:rsidR="00B37661" w:rsidRPr="008E4EFB">
        <w:rPr>
          <w:rFonts w:ascii="Times New Roman" w:hAnsi="Times New Roman" w:cs="Times New Roman"/>
          <w:sz w:val="24"/>
          <w:szCs w:val="24"/>
        </w:rPr>
        <w:instrText xml:space="preserve"> ADDIN ZOTERO_ITEM CSL_CITATION {"citationID":"QQoKsq4D","properties":{"formattedCitation":"(IPCC, 2022)","plainCitation":"(IPCC, 2022)","noteIndex":0},"citationItems":[{"id":1979,"uris":["http://zotero.org/users/3110659/items/U94DTK8W"],"itemData":{"id":1979,"type":"report","collection-title":"Contributions of Working Group II teo the Sixth Assessment Report of the Intergovernemental Panel on Climate Change","event-place":"Cambridge University Press","genre":"Scientific Investigations Report","publisher":"IPCC","publisher-place":"Cambridge University Press","title":"Climate Change 2022: Impacts, Adaptation and Vulnerability","collection-editor":[{"family":"Pörtner","given":"H.-O."},{"family":"Roberts","given":"D.C."},{"family":"Tignor","given":"M."},{"family":"Poloczanska","given":"E.S."},{"family":"Mintenbeck","given":"K."},{"family":"Alegria","given":"A."},{"family":"Craig","given":"M."},{"family":"Langsdorf","given":"S."},{"family":"Löschke","given":"S."},{"family":"Möller","given":"V."},{"family":"Okem","given":"A."},{"family":"Rama","given":"B."}],"author":[{"family":"IPCC","given":""}],"issued":{"date-parts":[["2022"]]}}}],"schema":"https://github.com/citation-style-language/schema/raw/master/csl-citation.json"} </w:instrText>
      </w:r>
      <w:r w:rsidR="00B37661"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(IPCC, 2022)</w:t>
      </w:r>
      <w:r w:rsidR="00B37661" w:rsidRPr="008E4EFB">
        <w:rPr>
          <w:rFonts w:ascii="Times New Roman" w:hAnsi="Times New Roman" w:cs="Times New Roman"/>
          <w:sz w:val="24"/>
          <w:szCs w:val="24"/>
        </w:rPr>
        <w:fldChar w:fldCharType="end"/>
      </w:r>
      <w:r w:rsidRPr="008E4EFB">
        <w:rPr>
          <w:rFonts w:ascii="Times New Roman" w:hAnsi="Times New Roman" w:cs="Times New Roman"/>
          <w:sz w:val="24"/>
          <w:szCs w:val="24"/>
        </w:rPr>
        <w:t>. One potential response is stratospheric aerosol injection (SAI), where sulfur dioxide particles are released into the stratosphere to block incoming solar radiation and slow warming with the aim of giving the world more time to implement carbon reduction strategies</w:t>
      </w:r>
      <w:r w:rsidR="00562493" w:rsidRPr="008E4EFB">
        <w:rPr>
          <w:rFonts w:ascii="Times New Roman" w:hAnsi="Times New Roman" w:cs="Times New Roman"/>
          <w:sz w:val="24"/>
          <w:szCs w:val="24"/>
        </w:rPr>
        <w:t xml:space="preserve"> </w:t>
      </w:r>
      <w:r w:rsidR="00562493" w:rsidRPr="008E4EFB">
        <w:rPr>
          <w:rFonts w:ascii="Times New Roman" w:hAnsi="Times New Roman" w:cs="Times New Roman"/>
          <w:sz w:val="24"/>
          <w:szCs w:val="24"/>
        </w:rPr>
        <w:fldChar w:fldCharType="begin"/>
      </w:r>
      <w:r w:rsidR="00562493" w:rsidRPr="008E4EFB">
        <w:rPr>
          <w:rFonts w:ascii="Times New Roman" w:hAnsi="Times New Roman" w:cs="Times New Roman"/>
          <w:sz w:val="24"/>
          <w:szCs w:val="24"/>
        </w:rPr>
        <w:instrText xml:space="preserve"> ADDIN ZOTERO_ITEM CSL_CITATION {"citationID":"1AKrk00z","properties":{"formattedCitation":"(Crutzen, 2006)","plainCitation":"(Crutzen, 2006)","noteIndex":0},"citationItems":[{"id":2622,"uris":["http://zotero.org/users/3110659/items/LR2RRZWA"],"itemData":{"id":2622,"type":"article-journal","container-title":"Climatic Change","DOI":"10.1007/s10584-006-9101-y","ISSN":"1573-1480","issue":"3","journalAbbreviation":"Climatic Change","language":"en","page":"211-220","source":"Springer Link","title":"Albedo Enhancement by Stratospheric Sulfur Injections: A Contribution to Resolve a Policy Dilemma?","title-short":"Albedo Enhancement by Stratospheric Sulfur Injections","volume":"77","author":[{"family":"Crutzen","given":"Paul J."}],"issued":{"date-parts":[["2006",8,1]]}}}],"schema":"https://github.com/citation-style-language/schema/raw/master/csl-citation.json"} </w:instrText>
      </w:r>
      <w:r w:rsidR="00562493"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(Crutzen, 2006)</w:t>
      </w:r>
      <w:r w:rsidR="00562493" w:rsidRPr="008E4EFB">
        <w:rPr>
          <w:rFonts w:ascii="Times New Roman" w:hAnsi="Times New Roman" w:cs="Times New Roman"/>
          <w:sz w:val="24"/>
          <w:szCs w:val="24"/>
        </w:rPr>
        <w:fldChar w:fldCharType="end"/>
      </w:r>
      <w:r w:rsidRPr="008E4EFB">
        <w:rPr>
          <w:rFonts w:ascii="Times New Roman" w:hAnsi="Times New Roman" w:cs="Times New Roman"/>
          <w:sz w:val="24"/>
          <w:szCs w:val="24"/>
        </w:rPr>
        <w:t>. Sulfate aerosols have a lifetime of several years in the stratosphere but eventually they will be deposited back onto Earth’s surface</w:t>
      </w:r>
      <w:r w:rsidR="00B37661" w:rsidRPr="008E4EFB">
        <w:rPr>
          <w:rFonts w:ascii="Times New Roman" w:hAnsi="Times New Roman" w:cs="Times New Roman"/>
          <w:sz w:val="24"/>
          <w:szCs w:val="24"/>
        </w:rPr>
        <w:t xml:space="preserve"> </w:t>
      </w:r>
      <w:r w:rsidR="00B37661" w:rsidRPr="008E4EFB">
        <w:rPr>
          <w:rFonts w:ascii="Times New Roman" w:hAnsi="Times New Roman" w:cs="Times New Roman"/>
          <w:sz w:val="24"/>
          <w:szCs w:val="24"/>
        </w:rPr>
        <w:fldChar w:fldCharType="begin"/>
      </w:r>
      <w:r w:rsidR="00B37661" w:rsidRPr="008E4EFB">
        <w:rPr>
          <w:rFonts w:ascii="Times New Roman" w:hAnsi="Times New Roman" w:cs="Times New Roman"/>
          <w:sz w:val="24"/>
          <w:szCs w:val="24"/>
        </w:rPr>
        <w:instrText xml:space="preserve"> ADDIN ZOTERO_ITEM CSL_CITATION {"citationID":"fYUuNNHV","properties":{"formattedCitation":"(Visioni et al., 2020)","plainCitation":"(Visioni et al., 2020)","noteIndex":0},"citationItems":[{"id":2318,"uris":["http://zotero.org/users/3110659/items/XIKL2LEG"],"itemData":{"id":2318,"type":"article-journal","abstract":"The problem of reducing the impacts of rising anthropogenic greenhouse gas on warming temperatures has led to the proposal of using stratospheric aerosols to reflect some of the incoming solar radiation back to space. The deliberate injection of sulfur into the stratosphere to form stratospheric sulfate aerosols, emulating volcanoes, will result in sulfate deposition to the surface. We consider here an extreme sulfate geoengineering scenario necessary to maintain temperatures at 2020 levels while greenhouse gas emissions continue to grow unabated. We show that the amount of stratospheric sulfate needed could be globally balanced by the predicted decrease in tropospheric anthropogenic SO2 emissions, but the spatial distribution would move from industrialized regions to pristine areas. We show how these changes would affect ecosystems differently depending on present day observations of soil pH, which we use to infer the potential for acid-induced aluminum toxicity across the planet.","container-title":"Environmental Research Letters","DOI":"10.1088/1748-9326/ab94eb","ISSN":"1748-9326","issue":"9","journalAbbreviation":"Environ. Res. Lett.","language":"en","note":"publisher: IOP Publishing","page":"094063","source":"Institute of Physics","title":"What goes up must come down: impacts of deposition in a sulfate geoengineering scenario","title-short":"What goes up must come down","volume":"15","author":[{"family":"Visioni","given":"Daniele"},{"family":"Slessarev","given":"Eric"},{"family":"MacMartin","given":"Douglas G."},{"family":"Mahowald","given":"Natalie M."},{"family":"Goodale","given":"Christine L."},{"family":"Xia","given":"Lili"}],"issued":{"date-parts":[["2020",8]]}}}],"schema":"https://github.com/citation-style-language/schema/raw/master/csl-citation.json"} </w:instrText>
      </w:r>
      <w:r w:rsidR="00B37661"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(Visioni et al., 2020)</w:t>
      </w:r>
      <w:r w:rsidR="00B37661" w:rsidRPr="008E4EFB">
        <w:rPr>
          <w:rFonts w:ascii="Times New Roman" w:hAnsi="Times New Roman" w:cs="Times New Roman"/>
          <w:sz w:val="24"/>
          <w:szCs w:val="24"/>
        </w:rPr>
        <w:fldChar w:fldCharType="end"/>
      </w:r>
      <w:r w:rsidRPr="008E4EFB">
        <w:rPr>
          <w:rFonts w:ascii="Times New Roman" w:hAnsi="Times New Roman" w:cs="Times New Roman"/>
          <w:sz w:val="24"/>
          <w:szCs w:val="24"/>
        </w:rPr>
        <w:t>. While sulfate is an important nutrient for many ecosystems, high concentrations can cause acidification, eutrophication</w:t>
      </w:r>
      <w:r w:rsidR="00562493" w:rsidRPr="008E4EFB">
        <w:rPr>
          <w:rFonts w:ascii="Times New Roman" w:hAnsi="Times New Roman" w:cs="Times New Roman"/>
          <w:sz w:val="24"/>
          <w:szCs w:val="24"/>
        </w:rPr>
        <w:t>,</w:t>
      </w:r>
      <w:r w:rsidRPr="008E4EFB">
        <w:rPr>
          <w:rFonts w:ascii="Times New Roman" w:hAnsi="Times New Roman" w:cs="Times New Roman"/>
          <w:sz w:val="24"/>
          <w:szCs w:val="24"/>
        </w:rPr>
        <w:t xml:space="preserve"> and a loss of biodiversity</w:t>
      </w:r>
      <w:r w:rsidR="000B2CE9" w:rsidRPr="008E4EFB">
        <w:rPr>
          <w:rFonts w:ascii="Times New Roman" w:hAnsi="Times New Roman" w:cs="Times New Roman"/>
          <w:sz w:val="24"/>
          <w:szCs w:val="24"/>
        </w:rPr>
        <w:t xml:space="preserve"> </w:t>
      </w:r>
      <w:r w:rsidR="000B2CE9" w:rsidRPr="008E4EFB">
        <w:rPr>
          <w:rFonts w:ascii="Times New Roman" w:hAnsi="Times New Roman" w:cs="Times New Roman"/>
          <w:sz w:val="24"/>
          <w:szCs w:val="24"/>
        </w:rPr>
        <w:fldChar w:fldCharType="begin"/>
      </w:r>
      <w:r w:rsidR="000B2CE9" w:rsidRPr="008E4EFB">
        <w:rPr>
          <w:rFonts w:ascii="Times New Roman" w:hAnsi="Times New Roman" w:cs="Times New Roman"/>
          <w:sz w:val="24"/>
          <w:szCs w:val="24"/>
        </w:rPr>
        <w:instrText xml:space="preserve"> ADDIN ZOTERO_ITEM CSL_CITATION {"citationID":"xojBO3Ui","properties":{"formattedCitation":"(Larssen &amp; Carmichael, 2000)","plainCitation":"(Larssen &amp; Carmichael, 2000)","noteIndex":0},"citationItems":[{"id":2862,"uris":["http://zotero.org/users/3110659/items/N8EH3C8L"],"itemData":{"id":2862,"type":"article-journal","abstract":"Acid deposition has been recognized as a serious environmental problem in China. Most acid deposition studies have focused on sulfur deposition and the pH of precipitation. However, as high concentration of alkaline dust is an important feature of the atmosphere in large parts of China, base cation deposition must be taken into account when discussing possible effects on soils and vegetation from acid deposition. We estimate the deposition of sulfur as well as calcium, i.e. the dominating anion and cation, on a regional scale in China using data both from measurements and modeling. The ratio of sulfur/calcium in deposition is then used as an indicator for identifying areas where deposition acidity exceeds alkalinity, and where soils may be at risk to acidification. The dynamic soil acidification model MAGIC is applied with data from two sites receiving high deposition loads in southwest China. The model predictions indicate that considerable soil acidification has been going on for the last decades due to acid deposition inputs. Effects on the spatial distribution of acidic deposition in China, using different future deposition scenarios, are illustrated. As the size of the anthropogenic fraction of the base cation deposition is unknown, different possible future trends in calcium deposition were used. Soil response, according to the model, using different combinations of sulfur and calcium deposition scenarios is shown. Applying the most strict measures to reduce sulfur emission will almost eliminate the acid deposition problem; however, such a scenario is not economically feasible in the short term. A strict, but possibly realistic, future scenario for sulfur may be enough to keep the situation at the present level, assuming only moderate reductions in calcium deposition. With large decreases in base cation deposition, increased soil acidification can be expected even with considerable sulfur emission reductions.","container-title":"Environmental Pollution","DOI":"10.1016/S0269-7491(99)00279-1","ISSN":"0269-7491","issue":"1","journalAbbreviation":"Environmental Pollution","page":"89-102","source":"ScienceDirect","title":"Acid rain and acidification in China: the importance of base cation deposition","title-short":"Acid rain and acidification in China","volume":"110","author":[{"family":"Larssen","given":"T."},{"family":"Carmichael","given":"G. R."}],"issued":{"date-parts":[["2000",10,1]]}}}],"schema":"https://github.com/citation-style-language/schema/raw/master/csl-citation.json"} </w:instrText>
      </w:r>
      <w:r w:rsidR="000B2CE9"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(Larssen &amp; Carmichael, 2000)</w:t>
      </w:r>
      <w:r w:rsidR="000B2CE9"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r w:rsidR="00C73A62" w:rsidRPr="008E4EFB">
        <w:rPr>
          <w:rFonts w:ascii="Times New Roman" w:hAnsi="Times New Roman" w:cs="Times New Roman"/>
          <w:sz w:val="24"/>
          <w:szCs w:val="24"/>
        </w:rPr>
        <w:t>I will use</w:t>
      </w:r>
      <w:r w:rsidRPr="008E4EFB">
        <w:rPr>
          <w:rFonts w:ascii="Times New Roman" w:hAnsi="Times New Roman" w:cs="Times New Roman"/>
          <w:sz w:val="24"/>
          <w:szCs w:val="24"/>
        </w:rPr>
        <w:t xml:space="preserve"> model outputs from the Geoengineering Model Intercomparison Project (GeoMIP) to track the impacts of sulfur deposition from SAI to ecoregions through comparison with historical climate and two future Shared Socioeconomic Pathway (SSP) scenarios. </w:t>
      </w:r>
      <w:r w:rsidR="00C73A62" w:rsidRPr="008E4EFB">
        <w:rPr>
          <w:rFonts w:ascii="Times New Roman" w:hAnsi="Times New Roman" w:cs="Times New Roman"/>
          <w:sz w:val="24"/>
          <w:szCs w:val="24"/>
        </w:rPr>
        <w:t>My research</w:t>
      </w:r>
      <w:r w:rsidRPr="008E4EFB">
        <w:rPr>
          <w:rFonts w:ascii="Times New Roman" w:hAnsi="Times New Roman" w:cs="Times New Roman"/>
          <w:sz w:val="24"/>
          <w:szCs w:val="24"/>
        </w:rPr>
        <w:t xml:space="preserve"> emphasizes the lack of agreement between models and the importance of resolving these conflicts in order to improve </w:t>
      </w:r>
      <w:r w:rsidR="00C73A62" w:rsidRPr="008E4EFB">
        <w:rPr>
          <w:rFonts w:ascii="Times New Roman" w:hAnsi="Times New Roman" w:cs="Times New Roman"/>
          <w:sz w:val="24"/>
          <w:szCs w:val="24"/>
        </w:rPr>
        <w:t>our</w:t>
      </w:r>
      <w:r w:rsidRPr="008E4EFB">
        <w:rPr>
          <w:rFonts w:ascii="Times New Roman" w:hAnsi="Times New Roman" w:cs="Times New Roman"/>
          <w:sz w:val="24"/>
          <w:szCs w:val="24"/>
        </w:rPr>
        <w:t xml:space="preserve"> understanding of SAI impacts for future climate decision-making.</w:t>
      </w:r>
    </w:p>
    <w:p w14:paraId="495ECB73" w14:textId="4B61681F" w:rsidR="00B900E3" w:rsidRPr="008E4EFB" w:rsidRDefault="0098722F" w:rsidP="00B71A9A">
      <w:pPr>
        <w:pStyle w:val="Subheading"/>
        <w:spacing w:after="0" w:line="360" w:lineRule="auto"/>
      </w:pPr>
      <w:r w:rsidRPr="008E4EFB">
        <w:t>Second</w:t>
      </w:r>
      <w:r w:rsidR="00984331" w:rsidRPr="008E4EFB">
        <w:t>ly</w:t>
      </w:r>
      <w:r w:rsidRPr="008E4EFB">
        <w:t xml:space="preserve">, heat waves. </w:t>
      </w:r>
      <w:r w:rsidR="00DE0569" w:rsidRPr="008E4EFB">
        <w:t xml:space="preserve">Perhaps the most common and recognizable climate change indicators are those related to temperature and the increase in daily averages over the last 50 years </w:t>
      </w:r>
      <w:r w:rsidR="00DE0569" w:rsidRPr="008E4EFB">
        <w:fldChar w:fldCharType="begin"/>
      </w:r>
      <w:r w:rsidR="0004467C" w:rsidRPr="008E4EFB">
        <w:instrText xml:space="preserve"> ADDIN ZOTERO_ITEM CSL_CITATION {"citationID":"VaAk5z9l","properties":{"formattedCitation":"(Matthew Ballew et al., 2023; US EPA, 2015c)","plainCitation":"(Matthew Ballew et al., 2023; US EPA, 2015c)","noteIndex":0},"citationItems":[{"id":2851,"uris":["http://zotero.org/users/3110659/items/7Y3Q6WG7"],"itemData":{"id":2851,"type":"article-newspaper","abstract":"Americans' worry about extreme heat is growing faster than their worries about other climate impacts, including wildfires, droughts, and flooding.","container-title":"Yale Program on Climate Change Communication","event-place":"Yale University and George Mason University. New Haven, CT","language":"en-US","publisher-place":"Yale University and George Mason University. New Haven, CT","title":"Americans are growing more worried about extreme heat","URL":"https://climatecommunication.yale.edu/publications/worry-about-extreme-heat/","author":[{"family":"Matthew Ballew","given":""},{"family":"Marlon","given":"Jennifer"},{"family":"Rosenthal","given":"Seth"},{"family":"Carman","given":"Jennifer"},{"family":"Kotcher","given":"John"},{"family":"Maibach","given":"Edward"},{"family":"Leiserowitz","given":"Anthony"}],"accessed":{"date-parts":[["2023",9,20]]},"issued":{"date-parts":[["2023"]]}}},{"id":2641,"uris":["http://zotero.org/users/3110659/items/FTKK554I"],"itemData":{"id":2641,"type":"webpage","abstract":"Presents information, charts and graphs showing measured climate changes across 54 indicators related to greenhouse gases, weather and climate, oceans, snow and ice, heath and society, and ecosystems.","genre":"Reports and Assessments","language":"en","title":"Climate Change Indicators in the United States","URL":"https://www.epa.gov/climate-indicators","author":[{"family":"US EPA","given":"OAR"}],"accessed":{"date-parts":[["2023",8,1]]},"issued":{"date-parts":[["2015",11,6]]}}}],"schema":"https://github.com/citation-style-language/schema/raw/master/csl-citation.json"} </w:instrText>
      </w:r>
      <w:r w:rsidR="00DE0569" w:rsidRPr="008E4EFB">
        <w:fldChar w:fldCharType="separate"/>
      </w:r>
      <w:r w:rsidR="0004467C" w:rsidRPr="008E4EFB">
        <w:t>(Matthew Ballew et al., 2023; US EPA, 2015c)</w:t>
      </w:r>
      <w:r w:rsidR="00DE0569" w:rsidRPr="008E4EFB">
        <w:fldChar w:fldCharType="end"/>
      </w:r>
      <w:r w:rsidR="00DE0569" w:rsidRPr="008E4EFB">
        <w:t xml:space="preserve">. Heat waves are both common and deadly and as such measuring them provides an important metric to understanding climate change’s impact on human and environmental health. </w:t>
      </w:r>
      <w:r w:rsidR="005C2346" w:rsidRPr="008E4EFB">
        <w:rPr>
          <w:rFonts w:eastAsia="Times New Roman"/>
        </w:rPr>
        <w:t>The association between heat waves and mortality, morbidity, and ecosystem stress is well-established and as our world continues to warm, heat waves will become more frequent, more intense, and lengthier</w:t>
      </w:r>
      <w:r w:rsidR="009F1130" w:rsidRPr="008E4EFB">
        <w:rPr>
          <w:rFonts w:eastAsia="Times New Roman"/>
        </w:rPr>
        <w:t xml:space="preserve"> </w:t>
      </w:r>
      <w:r w:rsidR="009F1130" w:rsidRPr="008E4EFB">
        <w:rPr>
          <w:rFonts w:eastAsia="Times New Roman"/>
        </w:rPr>
        <w:fldChar w:fldCharType="begin"/>
      </w:r>
      <w:r w:rsidR="009F1130" w:rsidRPr="008E4EFB">
        <w:rPr>
          <w:rFonts w:eastAsia="Times New Roman"/>
        </w:rPr>
        <w:instrText xml:space="preserve"> ADDIN ZOTERO_ITEM CSL_CITATION {"citationID":"46mf1zyz","properties":{"formattedCitation":"(IPCC, 2022)","plainCitation":"(IPCC, 2022)","noteIndex":0},"citationItems":[{"id":1979,"uris":["http://zotero.org/users/3110659/items/U94DTK8W"],"itemData":{"id":1979,"type":"report","collection-title":"Contributions of Working Group II teo the Sixth Assessment Report of the Intergovernemental Panel on Climate Change","event-place":"Cambridge University Press","genre":"Scientific Investigations Report","publisher":"IPCC","publisher-place":"Cambridge University Press","title":"Climate Change 2022: Impacts, Adaptation and Vulnerability","collection-editor":[{"family":"Pörtner","given":"H.-O."},{"family":"Roberts","given":"D.C."},{"family":"Tignor","given":"M."},{"family":"Poloczanska","given":"E.S."},{"family":"Mintenbeck","given":"K."},{"family":"Alegria","given":"A."},{"family":"Craig","given":"M."},{"family":"Langsdorf","given":"S."},{"family":"Löschke","given":"S."},{"family":"Möller","given":"V."},{"family":"Okem","given":"A."},{"family":"Rama","given":"B."}],"author":[{"family":"IPCC","given":""}],"issued":{"date-parts":[["2022"]]}}}],"schema":"https://github.com/citation-style-language/schema/raw/master/csl-citation.json"} </w:instrText>
      </w:r>
      <w:r w:rsidR="009F1130" w:rsidRPr="008E4EFB">
        <w:rPr>
          <w:rFonts w:eastAsia="Times New Roman"/>
        </w:rPr>
        <w:fldChar w:fldCharType="separate"/>
      </w:r>
      <w:r w:rsidR="00B864BC" w:rsidRPr="008E4EFB">
        <w:t>(IPCC, 2022)</w:t>
      </w:r>
      <w:r w:rsidR="009F1130" w:rsidRPr="008E4EFB">
        <w:rPr>
          <w:rFonts w:eastAsia="Times New Roman"/>
        </w:rPr>
        <w:fldChar w:fldCharType="end"/>
      </w:r>
      <w:r w:rsidR="005C2346" w:rsidRPr="008E4EFB">
        <w:rPr>
          <w:rFonts w:eastAsia="Times New Roman"/>
        </w:rPr>
        <w:t xml:space="preserve">. However, in order to project future heat wave trends and </w:t>
      </w:r>
      <w:proofErr w:type="gramStart"/>
      <w:r w:rsidR="005C2346" w:rsidRPr="008E4EFB">
        <w:rPr>
          <w:rFonts w:eastAsia="Times New Roman"/>
        </w:rPr>
        <w:t>the human</w:t>
      </w:r>
      <w:proofErr w:type="gramEnd"/>
      <w:r w:rsidR="005C2346" w:rsidRPr="008E4EFB">
        <w:rPr>
          <w:rFonts w:eastAsia="Times New Roman"/>
        </w:rPr>
        <w:t xml:space="preserve"> and environmental impacts, most studies rely on either coarse-resolution climate models, which are not sufficient for regional analysis, a single dynamically downscaled model, which is computationally intensive and potentially biased, or an ensemble of statistically downscaled models, which may not be as accurate for modeling future conditions. </w:t>
      </w:r>
      <w:r w:rsidR="008804BC" w:rsidRPr="008E4EFB">
        <w:rPr>
          <w:rFonts w:eastAsia="Times New Roman"/>
        </w:rPr>
        <w:t>My</w:t>
      </w:r>
      <w:r w:rsidR="005C2346" w:rsidRPr="008E4EFB">
        <w:rPr>
          <w:rFonts w:eastAsia="Times New Roman"/>
        </w:rPr>
        <w:t xml:space="preserve"> work</w:t>
      </w:r>
      <w:r w:rsidR="008804BC" w:rsidRPr="008E4EFB">
        <w:rPr>
          <w:rFonts w:eastAsia="Times New Roman"/>
        </w:rPr>
        <w:t xml:space="preserve"> will</w:t>
      </w:r>
      <w:r w:rsidR="005C2346" w:rsidRPr="008E4EFB">
        <w:rPr>
          <w:rFonts w:eastAsia="Times New Roman"/>
        </w:rPr>
        <w:t xml:space="preserve"> evaluate projected future heat wave risk to the US on a regional scale with both an ensemble of 6 dynamically downscaled models and an ensemble of 6 statistically </w:t>
      </w:r>
      <w:r w:rsidR="005C2346" w:rsidRPr="008E4EFB">
        <w:rPr>
          <w:rFonts w:eastAsia="Times New Roman"/>
        </w:rPr>
        <w:lastRenderedPageBreak/>
        <w:t>downscaled models</w:t>
      </w:r>
      <w:r w:rsidR="005C2346" w:rsidRPr="008E4EFB">
        <w:t xml:space="preserve">. </w:t>
      </w:r>
      <w:r w:rsidR="008804BC" w:rsidRPr="008E4EFB">
        <w:t>My</w:t>
      </w:r>
      <w:r w:rsidR="005C2346" w:rsidRPr="008E4EFB">
        <w:t xml:space="preserve"> results emphasize the need for urgent preparations for a hotter future climate and the importance of state-of-the-science modeling techniques for fine-resolution, domain-specific climate projections.</w:t>
      </w:r>
      <w:r w:rsidR="00B900E3" w:rsidRPr="008E4EFB">
        <w:t xml:space="preserve"> </w:t>
      </w:r>
    </w:p>
    <w:p w14:paraId="332B7498" w14:textId="1B5A08F1" w:rsidR="000C137C" w:rsidRPr="008E4EFB" w:rsidRDefault="0098722F" w:rsidP="00B71A9A">
      <w:pPr>
        <w:pStyle w:val="Subheading"/>
        <w:spacing w:after="0" w:line="360" w:lineRule="auto"/>
      </w:pPr>
      <w:r w:rsidRPr="008E4EFB">
        <w:t xml:space="preserve">And </w:t>
      </w:r>
      <w:r w:rsidR="002D4B12" w:rsidRPr="008E4EFB">
        <w:t>finally</w:t>
      </w:r>
      <w:r w:rsidRPr="008E4EFB">
        <w:t xml:space="preserve">, </w:t>
      </w:r>
      <w:r w:rsidR="00BD4BAA" w:rsidRPr="008E4EFB">
        <w:t xml:space="preserve">soil </w:t>
      </w:r>
      <w:proofErr w:type="gramStart"/>
      <w:r w:rsidR="00BD4BAA" w:rsidRPr="008E4EFB">
        <w:t>organic</w:t>
      </w:r>
      <w:proofErr w:type="gramEnd"/>
      <w:r w:rsidR="00BD4BAA" w:rsidRPr="008E4EFB">
        <w:t xml:space="preserve"> carbon. </w:t>
      </w:r>
      <w:r w:rsidR="00B900E3" w:rsidRPr="008E4EFB">
        <w:t xml:space="preserve">In order to </w:t>
      </w:r>
      <w:r w:rsidR="00556638" w:rsidRPr="008E4EFB">
        <w:t>mitigate climate change</w:t>
      </w:r>
      <w:r w:rsidR="00C66696" w:rsidRPr="008E4EFB">
        <w:t xml:space="preserve"> with or without geoengineering</w:t>
      </w:r>
      <w:r w:rsidR="00E85D31" w:rsidRPr="008E4EFB">
        <w:t xml:space="preserve">, decarbonizing </w:t>
      </w:r>
      <w:r w:rsidR="00C66696" w:rsidRPr="008E4EFB">
        <w:t xml:space="preserve">many </w:t>
      </w:r>
      <w:r w:rsidR="00933B1E" w:rsidRPr="008E4EFB">
        <w:t xml:space="preserve">industries will need to be a priority. One such is aviation, which has contributed about 4% of the total global warming to date through a variety of mechanisms </w:t>
      </w:r>
      <w:r w:rsidR="00933B1E" w:rsidRPr="008E4EFB">
        <w:fldChar w:fldCharType="begin"/>
      </w:r>
      <w:r w:rsidR="00652E13" w:rsidRPr="008E4EFB">
        <w:instrText xml:space="preserve"> ADDIN ZOTERO_ITEM CSL_CITATION {"citationID":"sVtiuojS","properties":{"formattedCitation":"(Kl\\uc0\\u246{}wer et al., 2021; D. S. Lee et al., 2021)","plainCitation":"(Klöwer et al., 2021; D. S. Lee et al., 2021)","noteIndex":0},"citationItems":[{"id":2853,"uris":["http://zotero.org/users/3110659/items/P948KTCE"],"itemData":{"id":2853,"type":"article-journal","abstract":"Growth in aviation contributes more to global warming than is generally appreciated because of the mix of climate pollutants it generates. Here, we model the CO2 and non-CO2 effects like nitrogen oxide emissions and contrail formation to analyse aviation’s total warming footprint. Aviation contributed approximately 4% to observed human-induced global warming to date, despite being responsible for only 2.4% of global annual emissions of CO2. Aviation is projected to cause a total of about 0.1 °C of warming by 2050, half of it to date and the other half over the next three decades, should aviation’s pre-COVID growth resume. The industry would then contribute a 6%–17% share to the remaining 0.3 °C–0.8 °C to not exceed 1.5 °C–2 °C of global warming. Under this scenario, the reduction due to COVID-19 to date is small and is projected to only delay aviation’s warming contribution by about five years. But the leveraging impact of growth also represents an opportunity: aviation’s contribution to further warming would be immediately halted by either a sustained annual 2.5% decrease in air traffic under the existing fuel mix, or a transition to a 90% carbon-neutral fuel mix by 2050.","container-title":"Environmental Research Letters","DOI":"10.1088/1748-9326/ac286e","ISSN":"1748-9326","issue":"10","journalAbbreviation":"Environ. Res. Lett.","language":"en","note":"publisher: IOP Publishing","page":"104027","source":"Institute of Physics","title":"Quantifying aviation’s contribution to global warming","volume":"16","author":[{"family":"Klöwer","given":"M."},{"family":"Allen","given":"M. R."},{"family":"Lee","given":"D. S."},{"family":"Proud","given":"S. R."},{"family":"Gallagher","given":"L."},{"family":"Skowron","given":"A."}],"issued":{"date-parts":[["2021",11]]}}},{"id":2855,"uris":["http://zotero.org/users/3110659/items/5Z8GBLUG"],"itemData":{"id":2855,"type":"article-journal","abstract":"Global aviation operations contribute to anthropogenic climate change via a complex set of processes that lead to a net surface warming. Of importance are aviation emissions of carbon dioxide (CO2), nitrogen oxides (NOx), water vapor, soot and sulfate aerosols, and increased cloudiness due to contrail formation. Aviation grew strongly over the past decades (1960–2018) in terms of activity, with revenue passenger kilometers increasing from 109 to 8269 billion km yr−1, and in terms of climate change impacts, with CO2 emissions increasing by a factor of 6.8 to 1034 Tg CO2 yr−1. Over the period 2013–2018, the growth rates in both terms show a marked increase. Here, we present a new comprehensive and quantitative approach for evaluating aviation climate forcing terms. Both radiative forcing (RF) and effective radiative forcing (ERF) terms and their sums are calculated for the years 2000–2018. Contrail cirrus, consisting of linear contrails and the cirrus cloudiness arising from them, yields the largest positive net (warming) ERF term followed by CO2 and NOx emissions. The formation and emission of sulfate aerosol yields a negative (cooling) term. The mean contrail cirrus ERF/RF ratio of 0.42 indicates that contrail cirrus is less effective in surface warming than other terms. For 2018 the net aviation ERF is +100.9 milliwatts (mW) m−2 (5–95% likelihood range of (55, 145)) with major contributions from contrail cirrus (57.4 mW m−2), CO2 (34.3 mW m−2), and NOx (17.5 mW m−2). Non-CO2 terms sum to yield a net positive (warming) ERF that accounts for more than half (66%) of the aviation net ERF in 2018. Using normalization to aviation fuel use, the contribution of global aviation in 2011 was calculated to be 3.5 (4.0, 3.4) % of the net anthropogenic ERF of 2290 (1130, 3330) mW m−2. Uncertainty distributions (5%, 95%) show that non-CO2 forcing terms contribute about 8 times more than CO2 to the uncertainty in the aviation net ERF in 2018. The best estimates of the ERFs from aviation aerosol-cloud interactions for soot and sulfate remain undetermined. CO2-warming-equivalent emissions based on global warming potentials (GWP* method) indicate that aviation emissions are currently warming the climate at approximately three times the rate of that associated with aviation CO2 emissions alone. CO2 and NOx aviation emissions and cloud effects remain a continued focus of anthropogenic climate change research and policy discussions.","container-title":"Atmospheric Environment","DOI":"10.1016/j.atmosenv.2020.117834","ISSN":"1352-2310","journalAbbreviation":"Atmospheric Environment","page":"117834","source":"ScienceDirect","title":"The contribution of global aviation to anthropogenic climate forcing for 2000 to 2018","volume":"244","author":[{"family":"Lee","given":"D. S."},{"family":"Fahey","given":"D. W."},{"family":"Skowron","given":"A."},{"family":"Allen","given":"M. R."},{"family":"Burkhardt","given":"U."},{"family":"Chen","given":"Q."},{"family":"Doherty","given":"S. J."},{"family":"Freeman","given":"S."},{"family":"Forster","given":"P. M."},{"family":"Fuglestvedt","given":"J."},{"family":"Gettelman","given":"A."},{"family":"De León","given":"R. R."},{"family":"Lim","given":"L. L."},{"family":"Lund","given":"M. T."},{"family":"Millar","given":"R. J."},{"family":"Owen","given":"B."},{"family":"Penner","given":"J. E."},{"family":"Pitari","given":"G."},{"family":"Prather","given":"M. J."},{"family":"Sausen","given":"R."},{"family":"Wilcox","given":"L. J."}],"issued":{"date-parts":[["2021",1,1]]}}}],"schema":"https://github.com/citation-style-language/schema/raw/master/csl-citation.json"} </w:instrText>
      </w:r>
      <w:r w:rsidR="00933B1E" w:rsidRPr="008E4EFB">
        <w:fldChar w:fldCharType="separate"/>
      </w:r>
      <w:r w:rsidR="00B864BC" w:rsidRPr="008E4EFB">
        <w:t>(Klöwer et al., 2021; D. S. Lee et al., 2021)</w:t>
      </w:r>
      <w:r w:rsidR="00933B1E" w:rsidRPr="008E4EFB">
        <w:fldChar w:fldCharType="end"/>
      </w:r>
      <w:r w:rsidR="00B900E3" w:rsidRPr="008E4EFB">
        <w:t>.</w:t>
      </w:r>
      <w:r w:rsidR="00EC376A" w:rsidRPr="008E4EFB">
        <w:t xml:space="preserve"> In the US, the Federal Aviation </w:t>
      </w:r>
      <w:r w:rsidR="006752F3" w:rsidRPr="008E4EFB">
        <w:t>Administration</w:t>
      </w:r>
      <w:r w:rsidR="00EC376A" w:rsidRPr="008E4EFB">
        <w:t xml:space="preserve"> (FAA) is </w:t>
      </w:r>
      <w:r w:rsidR="006752F3" w:rsidRPr="008E4EFB">
        <w:t xml:space="preserve">funding </w:t>
      </w:r>
      <w:r w:rsidR="008D78F9" w:rsidRPr="008E4EFB">
        <w:t>research into methods of making sustainable aviation fuel</w:t>
      </w:r>
      <w:r w:rsidR="0040617D" w:rsidRPr="008E4EFB">
        <w:t xml:space="preserve"> (SAF)</w:t>
      </w:r>
      <w:r w:rsidR="008D78F9" w:rsidRPr="008E4EFB">
        <w:t xml:space="preserve">. </w:t>
      </w:r>
      <w:r w:rsidR="0040617D" w:rsidRPr="008E4EFB">
        <w:t>Making SAF involves growing</w:t>
      </w:r>
      <w:r w:rsidR="00D44350" w:rsidRPr="008E4EFB">
        <w:t xml:space="preserve"> and managing</w:t>
      </w:r>
      <w:r w:rsidR="0040617D" w:rsidRPr="008E4EFB">
        <w:t xml:space="preserve"> biofuel crops </w:t>
      </w:r>
      <w:r w:rsidR="00D44350" w:rsidRPr="008E4EFB">
        <w:t xml:space="preserve">on a large scale. In order to determine site suitability and management practices, </w:t>
      </w:r>
      <w:r w:rsidR="00736918" w:rsidRPr="008E4EFB">
        <w:t>a model, POLYSIS</w:t>
      </w:r>
      <w:r w:rsidR="00F748C9" w:rsidRPr="008E4EFB">
        <w:t xml:space="preserve"> (</w:t>
      </w:r>
      <w:hyperlink r:id="rId9" w:history="1">
        <w:r w:rsidR="00F748C9" w:rsidRPr="008E4EFB">
          <w:rPr>
            <w:rStyle w:val="Hyperlink"/>
            <w:color w:val="auto"/>
          </w:rPr>
          <w:t>https://bioenergymodels.nrel.gov/models/37/</w:t>
        </w:r>
      </w:hyperlink>
      <w:r w:rsidR="00F748C9" w:rsidRPr="008E4EFB">
        <w:t>),</w:t>
      </w:r>
      <w:r w:rsidR="00736918" w:rsidRPr="008E4EFB">
        <w:t xml:space="preserve"> is required to </w:t>
      </w:r>
      <w:r w:rsidR="00F748C9" w:rsidRPr="008E4EFB">
        <w:t xml:space="preserve">simulate the agriculture sector and </w:t>
      </w:r>
      <w:r w:rsidR="00E6699F" w:rsidRPr="008E4EFB">
        <w:t xml:space="preserve">project resource allocation. One of the important inputs is high </w:t>
      </w:r>
      <w:r w:rsidR="00C63915" w:rsidRPr="008E4EFB">
        <w:t xml:space="preserve">quality </w:t>
      </w:r>
      <w:r w:rsidR="00E6699F" w:rsidRPr="008E4EFB">
        <w:t>maps of soil organic carbon (SOC), as a baseline for agricultural productivity</w:t>
      </w:r>
      <w:r w:rsidR="00C63915" w:rsidRPr="008E4EFB">
        <w:t>.</w:t>
      </w:r>
      <w:r w:rsidR="00E6699F" w:rsidRPr="008E4EFB">
        <w:t xml:space="preserve"> </w:t>
      </w:r>
      <w:r w:rsidR="00C63915" w:rsidRPr="008E4EFB">
        <w:t xml:space="preserve">My research focuses on mapping SOC in the US from the 1980s to the present day and elucidating </w:t>
      </w:r>
      <w:r w:rsidR="005A1E22" w:rsidRPr="008E4EFB">
        <w:t>long term trends in SO</w:t>
      </w:r>
      <w:r w:rsidR="00403CA0" w:rsidRPr="008E4EFB">
        <w:t>C</w:t>
      </w:r>
      <w:r w:rsidR="005A1E22" w:rsidRPr="008E4EFB">
        <w:t xml:space="preserve">. </w:t>
      </w:r>
      <w:r w:rsidR="00997FDB" w:rsidRPr="008E4EFB">
        <w:t xml:space="preserve">I will incorporate satellite imagery as well as multiple climatic land use variables and </w:t>
      </w:r>
      <w:r w:rsidR="00403CA0" w:rsidRPr="008E4EFB">
        <w:t>apply machine learning methods to produce high resolution, temporally and spatially continuous maps of SOC dynamics</w:t>
      </w:r>
      <w:r w:rsidR="00C20E88" w:rsidRPr="008E4EFB">
        <w:t xml:space="preserve"> in the US</w:t>
      </w:r>
      <w:r w:rsidR="00403CA0" w:rsidRPr="008E4EFB">
        <w:t xml:space="preserve">. </w:t>
      </w:r>
      <w:r w:rsidR="00BD4BAA" w:rsidRPr="008E4EFB">
        <w:t xml:space="preserve">Overall, </w:t>
      </w:r>
      <w:r w:rsidR="00C20E88" w:rsidRPr="008E4EFB">
        <w:t>my</w:t>
      </w:r>
      <w:r w:rsidR="00BD4BAA" w:rsidRPr="008E4EFB">
        <w:t xml:space="preserve"> research aims to </w:t>
      </w:r>
      <w:r w:rsidR="00F95F1E" w:rsidRPr="008E4EFB">
        <w:t>bring clarity to complex, multidimensional data through mapping techniques and thorough analysis.</w:t>
      </w:r>
      <w:r w:rsidR="00C20E88" w:rsidRPr="008E4EFB">
        <w:t xml:space="preserve"> </w:t>
      </w:r>
    </w:p>
    <w:p w14:paraId="7C734BEC" w14:textId="77777777" w:rsidR="002D1742" w:rsidRDefault="002D1742">
      <w:pPr>
        <w:rPr>
          <w:rFonts w:ascii="Times New Roman" w:eastAsiaTheme="majorEastAsia" w:hAnsi="Times New Roman" w:cs="Times New Roman"/>
          <w:sz w:val="24"/>
          <w:szCs w:val="24"/>
        </w:rPr>
      </w:pPr>
      <w:bookmarkStart w:id="2" w:name="_Toc179917962"/>
      <w:r>
        <w:rPr>
          <w:sz w:val="24"/>
          <w:szCs w:val="24"/>
        </w:rPr>
        <w:br w:type="page"/>
      </w:r>
    </w:p>
    <w:p w14:paraId="02ECA89F" w14:textId="2D99B2F6" w:rsidR="00E26C6C" w:rsidRPr="008E4EFB" w:rsidRDefault="00E26C6C" w:rsidP="00936B99">
      <w:pPr>
        <w:pStyle w:val="Heading1"/>
        <w:spacing w:before="0" w:line="360" w:lineRule="auto"/>
        <w:rPr>
          <w:sz w:val="24"/>
          <w:szCs w:val="24"/>
        </w:rPr>
      </w:pPr>
      <w:r w:rsidRPr="008E4EFB">
        <w:rPr>
          <w:sz w:val="24"/>
          <w:szCs w:val="24"/>
        </w:rPr>
        <w:lastRenderedPageBreak/>
        <w:t>Global Nitrogen and Sulfur Mapping Using a Measurement-Model Fusion Approach</w:t>
      </w:r>
      <w:bookmarkEnd w:id="2"/>
    </w:p>
    <w:p w14:paraId="5B63A526" w14:textId="3E84FFB5" w:rsidR="00AF1249" w:rsidRPr="008E4EFB" w:rsidRDefault="00AF1249" w:rsidP="00936B99">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A version of this chapter has been published as:</w:t>
      </w:r>
    </w:p>
    <w:p w14:paraId="344BA144" w14:textId="13ADC5CE" w:rsidR="00AF1249" w:rsidRPr="008E4EFB" w:rsidRDefault="00AF1249" w:rsidP="00936B99">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Rubin, H. J., Fu, J. S., </w:t>
      </w:r>
      <w:proofErr w:type="spellStart"/>
      <w:r w:rsidRPr="008E4EFB">
        <w:rPr>
          <w:rFonts w:ascii="Times New Roman" w:hAnsi="Times New Roman" w:cs="Times New Roman"/>
          <w:sz w:val="24"/>
          <w:szCs w:val="24"/>
        </w:rPr>
        <w:t>Dentener</w:t>
      </w:r>
      <w:proofErr w:type="spellEnd"/>
      <w:r w:rsidRPr="008E4EFB">
        <w:rPr>
          <w:rFonts w:ascii="Times New Roman" w:hAnsi="Times New Roman" w:cs="Times New Roman"/>
          <w:sz w:val="24"/>
          <w:szCs w:val="24"/>
        </w:rPr>
        <w:t>, F., Li, R., Huang, K., and Fu, H.: Global nitrogen and sulfur deposition mapping using a measurement–model fusion approach, Atmos. Chem. Phys., 23, 7091–7102, https://doi.org/10.5194/acp-23-7091-2023, 2023.</w:t>
      </w:r>
    </w:p>
    <w:p w14:paraId="02B28525" w14:textId="3C5627FF" w:rsidR="001D4ED4" w:rsidRPr="008E4EFB" w:rsidRDefault="001D4ED4" w:rsidP="00936B99">
      <w:pPr>
        <w:pStyle w:val="Style3"/>
        <w:numPr>
          <w:ilvl w:val="1"/>
          <w:numId w:val="9"/>
        </w:numPr>
        <w:spacing w:before="0" w:line="360" w:lineRule="auto"/>
        <w:rPr>
          <w:rFonts w:cs="Times New Roman"/>
          <w:szCs w:val="24"/>
        </w:rPr>
      </w:pPr>
      <w:bookmarkStart w:id="3" w:name="_Toc179917963"/>
      <w:r w:rsidRPr="008E4EFB">
        <w:rPr>
          <w:rFonts w:cs="Times New Roman"/>
          <w:szCs w:val="24"/>
        </w:rPr>
        <w:t>Nitrogen and Sulfur Deposition</w:t>
      </w:r>
      <w:bookmarkEnd w:id="3"/>
    </w:p>
    <w:p w14:paraId="15AA9038" w14:textId="7ECC22A1" w:rsidR="001D4ED4" w:rsidRPr="008E4EFB" w:rsidRDefault="001D4ED4" w:rsidP="00936B99">
      <w:pPr>
        <w:pStyle w:val="Text"/>
        <w:spacing w:before="0" w:line="360" w:lineRule="auto"/>
        <w:ind w:firstLine="0"/>
      </w:pPr>
      <w:r w:rsidRPr="008E4EFB">
        <w:t xml:space="preserve">Atmospheric nitrogen and sulfur deposition from human activities related to the use of fossils and land use have significant implications for ecosystem and human health. Elevated levels of nitrogen and sulfur can lead to eutrophication </w:t>
      </w:r>
      <w:r w:rsidRPr="008E4EFB">
        <w:fldChar w:fldCharType="begin"/>
      </w:r>
      <w:r w:rsidR="0004467C" w:rsidRPr="008E4EFB">
        <w:instrText xml:space="preserve"> ADDIN ZOTERO_ITEM CSL_CITATION {"citationID":"MtM0gbWJ","properties":{"formattedCitation":"(Anderson et al., 2008; Heisler et al., 2008)","plainCitation":"(Anderson et al., 2008; Heisler et al., 2008)","noteIndex":0},"citationItems":[{"id":597,"uris":["http://zotero.org/users/3110659/items/B6DGS6PL",["http://zotero.org/users/3110659/items/B6DGS6PL"]],"itemData":{"id":597,"type":"article-journal","abstract":"Coastal waters of the United States (U.S.) are subject to many of the major harmful algal bloom (HAB) poisoning syndromes and impacts. These include paralytic shellfish poisoning (PSP), neurotoxic shellfish poisoning (NSP), amnesic shellfish poisoning (ASP), ciguatera fish poisoning (CFP) and various other HAB phenomena such as fish kills, loss of submerged vegetation, shellfish mortalities, and widespread marine mammal mortalities. Here, the occurrences of selected HABs in a selected set of regions are described in terms of their relationship to eutrophication, illustrating a range of responses. Evidence suggestive of changes in the frequency, extent or magnitude of HABs in these areas is explored in the context of the nutrient sources underlying those blooms, both natural and anthropogenic. In some regions of the U.S., the linkages between HABs and eutrophication are clear and well documented, whereas in others, information is limited, thereby highlighting important areas for further research.","collection-title":"HABs and Eutrophication","container-title":"Harmful Algae","DOI":"10.1016/j.hal.2008.08.017","ISSN":"1568-9883","issue":"1","journalAbbreviation":"Harmful Algae","language":"en","page":"39-53","source":"ScienceDirect","title":"Harmful algal blooms and eutrophication: Examining linkages from selected coastal regions of the United States","title-short":"Harmful algal blooms and eutrophication","volume":"8","author":[{"family":"Anderson","given":"Donald M."},{"family":"Burkholder","given":"Joann M."},{"family":"Cochlan","given":"William P."},{"family":"Glibert","given":"Patricia M."},{"family":"Gobler","given":"Christopher J."},{"family":"Heil","given":"Cynthia A."},{"family":"Kudela","given":"Raphael M."},{"family":"Parsons","given":"Michael L."},{"family":"Rensel","given":"J. E. Jack"},{"family":"Townsend","given":"David W."},{"family":"Trainer","given":"Vera L."},{"family":"Vargo","given":"Gabriel A."}],"issued":{"date-parts":[["2008",12,1]]}}},{"id":1053,"uris":["http://zotero.org/users/3110659/items/T9SS3W7M",["http://zotero.org/users/3110659/items/T9SS3W7M"]],"itemData":{"id":1053,"type":"article-journal","abstract":"In January 2003, the US Environmental Protection Agency sponsored a “roundtable discussion” to develop a consensus on the relationship between eutrophication and harmful algal blooms (HABs), specifically targeting those relationships for which management actions may be appropriate. Academic, federal, and state agency representatives were in attendance. The following seven statements were unanimously adopted by attendees based on review and analysis of current as well as pertinent previous data:(1)Degraded water quality from increased nutrient pollution promotes the development and persistence of many HABs and is one of the reasons for their expansion in the U.S. and other nations;(2)The composition–not just the total quantity–of the nutrient pool impacts HABs;(3)High-biomass blooms must have exogenous nutrients to be sustained;(4)Both chronic and episodic nutrient delivery promote HAB development;(5)Recently developed tools and techniques are already improving the detection of some HABs, and emerging technologies are rapidly advancing toward operational status for the prediction of HABs and their toxins;(6)Experimental studies are critical to further the understanding about the role of nutrients in HABs expression, and will strengthen prediction and mitigation of HABs; and(7)Management of nutrient inputs to the watershed can lead to significant reduction in HABs. Supporting evidence and pertinent examples for each consensus statement are provided herein.","container-title":"Harmful Algae","DOI":"10.1016/j.hal.2008.08.006","ISSN":"15689883","issue":"1","page":"3–13","title":"Eutrophication and harmful algal blooms: A scientific consensus","volume":"8","author":[{"family":"Heisler","given":"J."},{"family":"Glibert","given":"P.M."},{"family":"Burkholder","given":"J.M."},{"family":"Anderson","given":"D.M."},{"family":"Cochlan","given":"W."},{"family":"Dennison","given":"W.C."},{"family":"Dortch","given":"Q."},{"family":"Gobler","given":"C.J."},{"family":"Heil","given":"C.A."},{"family":"Humphries","given":"E."},{"family":"Lewitus","given":"A."},{"family":"Magnien","given":"R."},{"family":"Marshall","given":"H.G."},{"family":"Sellner","given":"K."},{"family":"Stockwell","given":"D.A."},{"family":"Stoecker","given":"D.K."},{"family":"Suddleson","given":"M."}],"issued":{"date-parts":[["2008"]]}}}],"schema":"https://github.com/citation-style-language/schema/raw/master/csl-citation.json"} </w:instrText>
      </w:r>
      <w:r w:rsidRPr="008E4EFB">
        <w:fldChar w:fldCharType="separate"/>
      </w:r>
      <w:r w:rsidR="00B864BC" w:rsidRPr="008E4EFB">
        <w:t>(Anderson et al., 2008; Heisler et al., 2008)</w:t>
      </w:r>
      <w:r w:rsidRPr="008E4EFB">
        <w:fldChar w:fldCharType="end"/>
      </w:r>
      <w:r w:rsidRPr="008E4EFB">
        <w:t xml:space="preserve">, changes in carbon sequestration </w:t>
      </w:r>
      <w:r w:rsidRPr="008E4EFB">
        <w:fldChar w:fldCharType="begin"/>
      </w:r>
      <w:r w:rsidR="0004467C" w:rsidRPr="008E4EFB">
        <w:instrText xml:space="preserve"> ADDIN ZOTERO_ITEM CSL_CITATION {"citationID":"4pUaLJMA","properties":{"formattedCitation":"(Kicklighter et al., 2019; de Vries et al., 2009; Zhu et al., 2020)","plainCitation":"(Kicklighter et al., 2019; de Vries et al., 2009; Zhu et al., 2020)","noteIndex":0},"citationItems":[{"id":93,"uris":["http://zotero.org/users/local/UDk7s0H0/items/D8RRZSSX",["http://zotero.org/users/local/UDk7s0H0/items/D8RRZSSX"],"http://zotero.org/users/3110659/items/D8RRZSSX"],"itemData":{"id":93,"type":"article-journal","abstract":"Nitrogen (N) availability exerts strong control on carbon storage in the forests of Northern Eurasia. Here, using a process-based model, we explore how three factors that alter N availability—permafrost degradation, atmospheric N deposition, and the abandonment of agricultural land to forest regrowth (land-use legacy)—affect carbon storage in the region’s forest vegetation over the 21st century within the context of two IPCC global-change scenarios (RCPs 4.5 and 8.5). For RCP4.5, enhanced N availability results in increased tree carbon storage of 27.8 Pg C, with land-use legacy being the most important factor. For RCP8.5, enhanced N availability results in increased carbon storage in trees of 13.4 Pg C, with permafrost degradation being the most important factor. Our analysis reveals complex spatial and temporal patterns of regional carbon storage. This study underscores the importance of considering carbon-nitrogen interactions when assessing regional and sub-regional impacts of global change policies.","container-title":"Nature Communications","DOI":"10.1038/s41467-019-10944-0","ISSN":"2041-1723","issue":"1","journalAbbreviation":"Nat Commun","language":"en","license":"2019 The Author(s)","note":"Bandiera_abtest: a\nCc_license_type: cc_by\nCg_type: Nature Research Journals\nnumber: 1\nPrimary_atype: Research\npublisher: Nature Publishing Group\nSubject_term: Carbon cycle;Environmental impact\nSubject_term_id: carbon-cycle;environmental-impact","page":"3024","source":"www.nature.com","title":"Future nitrogen availability and its effect on carbon sequestration in Northern Eurasia","volume":"10","author":[{"family":"Kicklighter","given":"David W."},{"family":"Melillo","given":"Jerry M."},{"family":"Monier","given":"Erwan"},{"family":"Sokolov","given":"Andrei P."},{"family":"Zhuang","given":"Qianlai"}],"issued":{"date-parts":[["2019",7,9]]}}},{"id":1209,"uris":["http://zotero.org/users/3110659/items/DP3K5JYL",["http://zotero.org/users/3110659/items/DP3K5JYL"]],"itemData":{"id":1209,"type":"article-journal","abstract":"In this study, we present estimated ranges in carbon (C) sequestration per kg nitrogen (N) addition in above-ground biomass and in soil organic matter for forests and heathlands, based on: (i) empirical relations between spatial patterns of carbon uptake and influencing environmental factors including nitrogen deposition (forests only), (ii) 15N field experiments, (iii) long-term low-dose N fertilizer experiments and (iv) results from ecosystem models. The results of the various studies are in close agreement and show that above-ground accumulation of carbon in forests is generally within the range 15–40kgC/kgN. For heathlands, a range of 5–15kgC/kgN has been observed based on low-dose N fertilizer experiments. The uncertainty in C sequestration per kgN addition in soils is larger than for above-ground biomass and varies on average between 5 and 35kgC/kgN for both forests and heathlands. All together these data indicate a total carbon sequestration range of 5–75kgC/kgN deposition for forest and heathlands, with a most common range of 20–40kgC/kgN. Results cannot be extrapolated to systems with very high N inputs, nor to other ecosystems, such as peatlands, where the impact of N is much more variable, and may range from C sequestration to C losses.","collection-title":"The relative importance of nitrogen deposition and climate change on the sequestration of carbon by forests in Europe.","container-title":"Forest Ecology and Management","DOI":"10.1016/j.foreco.2009.02.034","ISSN":"0378-1127","issue":"8","journalAbbreviation":"Forest Ecology and Management","language":"en","page":"1814-1823","source":"ScienceDirect","title":"The impact of nitrogen deposition on carbon sequestration by European forests and heathlands","volume":"258","author":[{"family":"Vries","given":"W.","non-dropping-particle":"de"},{"family":"Solberg","given":"S."},{"family":"Dobbertin","given":"M."},{"family":"Sterba","given":"H."},{"family":"Laubhann","given":"D."},{"family":"Oijen","given":"M.","non-dropping-particle":"van"},{"family":"Evans","given":"C."},{"family":"Gundersen","given":"P."},{"family":"Kros","given":"J."},{"family":"Wamelink","given":"G. W. W."},{"family":"Reinds","given":"G. J."},{"family":"Sutton","given":"M. A."}],"issued":{"date-parts":[["2009",9,25]]}}},{"id":587,"uris":["http://zotero.org/users/3110659/items/X96AFDEI",["http://zotero.org/users/3110659/items/X96AFDEI"]],"itemData":{"id":587,"type":"article-journal","abstract":"Nitrogen (N) deposition in China may increase due to urbanization and economic growth. Current research has considered the ecological significance under the assumption of increasing N deposition. Atmospheric N deposition tending toward levelling or declining has been observed in China. Such potential recovery and responses of high N loads ecosystems under decreasing atmospheric N deposition scenarios have yet to be adequately investigated. This work reviews existing literature to consider possible responses of carbon (C) sequestration, biodiversity and species composition, soil acidification, and greenhouse emissions in ecosystems responding to recent patterns of N deposition. Potential effects of N composition and internal ratios may be further explored through state-of-the-art N addition experiments and model development.","container-title":"Environmental Pollution","DOI":"10.1016/j.envpol.2019.113739","ISSN":"0269-7491","journalAbbreviation":"Environmental Pollution","language":"en","page":"113739","source":"ScienceDirect","title":"Potential transition in the effects of atmospheric nitrogen deposition in China","volume":"258","author":[{"family":"Zhu","given":"Jianxing"},{"family":"Chen","given":"Zhi"},{"family":"Wang","given":"Qiufeng"},{"family":"Xu","given":"Li"},{"family":"He","given":"Niangpeng"},{"family":"Jia","given":"Yanlong"},{"family":"Zhang","given":"Qiongyu"},{"family":"Yu","given":"Guirui"}],"issued":{"date-parts":[["2020",3,1]]}}}],"schema":"https://github.com/citation-style-language/schema/raw/master/csl-citation.json"} </w:instrText>
      </w:r>
      <w:r w:rsidRPr="008E4EFB">
        <w:fldChar w:fldCharType="separate"/>
      </w:r>
      <w:r w:rsidR="00B864BC" w:rsidRPr="008E4EFB">
        <w:t>(Kicklighter et al., 2019; de Vries et al., 2009; Zhu et al., 2020)</w:t>
      </w:r>
      <w:r w:rsidRPr="008E4EFB">
        <w:fldChar w:fldCharType="end"/>
      </w:r>
      <w:r w:rsidRPr="008E4EFB">
        <w:t xml:space="preserve">, loss of biodiversity </w:t>
      </w:r>
      <w:r w:rsidRPr="008E4EFB">
        <w:fldChar w:fldCharType="begin"/>
      </w:r>
      <w:r w:rsidR="0004467C" w:rsidRPr="008E4EFB">
        <w:instrText xml:space="preserve"> ADDIN ZOTERO_ITEM CSL_CITATION {"citationID":"i8eijDvK","properties":{"formattedCitation":"(C. M. Clark et al., 2013; Dise &amp; Stevens, 2005)","plainCitation":"(C. M. Clark et al., 2013; Dise &amp; Stevens, 2005)","noteIndex":0},"citationItems":[{"id":1251,"uris":["http://zotero.org/users/3110659/items/BBKRU2C8",["http://zotero.org/users/3110659/items/BBKRU2C8"]],"itemData":{"id":1251,"type":"chapter","container-title":"Encyclopedia of Biodiversity","ISBN":"978-0-12-384720-1","language":"en","note":"DOI: 10.1016/B978-0-12-384719-5.00366-X","page":"519-536","publisher":"Elsevier","source":"DOI.org (Crossref)","title":"Nitrogen Deposition and Terrestrial Biodiversity","URL":"https://linkinghub.elsevier.com/retrieve/pii/B978012384719500366X","author":[{"family":"Clark","given":"Christopher M."},{"family":"Bai","given":"Yongfei"},{"family":"Bowman","given":"William D."},{"family":"Cowles","given":"Jane M."},{"family":"Fenn","given":"Mark E."},{"family":"Gilliam","given":"Frank S."},{"family":"Phoenix","given":"Gareth K."},{"family":"Siddique","given":"Ilyas"},{"family":"Stevens","given":"Carly J."},{"family":"Sverdrup","given":"Harald U."},{"family":"Throop","given":"Heather L."}],"accessed":{"date-parts":[["2021",2,18]]},"issued":{"date-parts":[["2013"]]}}},{"id":1248,"uris":["http://zotero.org/users/3110659/items/G93NJHK5",["http://zotero.org/users/3110659/items/G93NJHK5"]],"itemData":{"id":1248,"type":"article-journal","abstract":"Biodiversity is thought to be essential for ecosystem stability, function and long-term sustainability. Since nitrogen is the limiting nutrient for plant growth in many terrestrial ecosystems, reactive nitrogen has the potential to reduce the diversity of terrestrial vegetation and associated biota through favouring species adapted to quickly exploiting available nutrients. Although the potential has long been recognised, only recently has enough evidence come together to show beyond reasonable doubt that these changes are already occurring. Linked together, experimental, regional/empirical, and time-series research provide a powerful argument that enhanced deposition of reactive nitrogen across Great Britain, and potentially the rest of Europe, has resulted in a significant and ongoing decline in grassland species richness and diversity.","container-title":"Science in China Series C: Life Sciences","DOI":"10.1007/BF03187112","ISSN":"1862-2798","issue":"2","journalAbbreviation":"Sci. China Ser. C.-Life Sci.","language":"en","page":"720-728","source":"Springer Link","title":"Nitrogen deposition and reduction of terrestrial biodiversity: Evidence from temperate grasslands","title-short":"Nitrogen deposition and reduction of terrestrial biodiversity","volume":"48","author":[{"family":"Dise","given":"Nancy B."},{"family":"Stevens","given":"J."}],"issued":{"date-parts":[["2005",9,1]]}}}],"schema":"https://github.com/citation-style-language/schema/raw/master/csl-citation.json"} </w:instrText>
      </w:r>
      <w:r w:rsidRPr="008E4EFB">
        <w:fldChar w:fldCharType="separate"/>
      </w:r>
      <w:r w:rsidR="00B864BC" w:rsidRPr="008E4EFB">
        <w:t>(C. M. Clark et al., 2013; Dise &amp; Stevens, 2005)</w:t>
      </w:r>
      <w:r w:rsidRPr="008E4EFB">
        <w:fldChar w:fldCharType="end"/>
      </w:r>
      <w:r w:rsidRPr="008E4EFB">
        <w:t xml:space="preserve">, and acidification </w:t>
      </w:r>
      <w:r w:rsidRPr="008E4EFB">
        <w:fldChar w:fldCharType="begin"/>
      </w:r>
      <w:r w:rsidR="0004467C" w:rsidRPr="008E4EFB">
        <w:instrText xml:space="preserve"> ADDIN ZOTERO_ITEM CSL_CITATION {"citationID":"qFzIMuvv","properties":{"formattedCitation":"(Bowman et al., 2008)","plainCitation":"(Bowman et al., 2008)","noteIndex":0},"citationItems":[{"id":1244,"uris":["http://zotero.org/users/3110659/items/MIW29BZV",["http://zotero.org/users/3110659/items/MIW29BZV"]],"itemData":{"id":1244,"type":"article-journal","abstract":"Sustained nitrogen deposition has had a detrimental effect on ecosystems in Europe and North America. Now a grassland in Slovakia is showing symptoms of extreme soil acidification not previously observed in association with nitrogen deposition.","container-title":"Nature Geoscience","DOI":"10.1038/ngeo339","ISSN":"1752-0908","issue":"11","language":"en","license":"2008 Nature Publishing Group","note":"number: 11\npublisher: Nature Publishing Group","page":"767-770","source":"www.nature.com","title":"Negative impact of nitrogen deposition on soil buffering capacity","volume":"1","author":[{"family":"Bowman","given":"William D."},{"family":"Cleveland","given":"Cory C."},{"family":"Halada","given":"Ĺuboš"},{"family":"Hreško","given":"Juraj"},{"family":"Baron","given":"Jill S."}],"issued":{"date-parts":[["2008",11]]}}}],"schema":"https://github.com/citation-style-language/schema/raw/master/csl-citation.json"} </w:instrText>
      </w:r>
      <w:r w:rsidRPr="008E4EFB">
        <w:fldChar w:fldCharType="separate"/>
      </w:r>
      <w:r w:rsidR="00B864BC" w:rsidRPr="008E4EFB">
        <w:t>(Bowman et al., 2008)</w:t>
      </w:r>
      <w:r w:rsidRPr="008E4EFB">
        <w:fldChar w:fldCharType="end"/>
      </w:r>
      <w:r w:rsidRPr="008E4EFB">
        <w:t xml:space="preserve">. While sulfur deposition is expected to decrease over the next 80 years </w:t>
      </w:r>
      <w:r w:rsidRPr="008E4EFB">
        <w:fldChar w:fldCharType="begin"/>
      </w:r>
      <w:r w:rsidRPr="008E4EFB">
        <w:instrText xml:space="preserve"> ADDIN ZOTERO_ITEM CSL_CITATION {"citationID":"dih0BOsJ","properties":{"formattedCitation":"(Lamarque et al., 2013)","plainCitation":"(Lamarque et al., 2013)","noteIndex":0},"citationItems":[{"id":9,"uris":["http://zotero.org/users/3110659/items/MHQ84C5D"],"itemData":{"id":9,"type":"article-journal","abstract":"Abstract. We present multi-model global datasets of nitrogen and sulfate deposition covering time periods from 1850 to 2100, calculated within the Atmospheric Chemistry and Climate Model Intercomparison Project (ACCMIP). The computed deposition fluxes are compared to surface wet deposition and ice core measurements. We use a new dataset of wet deposition for 2000–2002 based on critical assessment of the quality of existing regional network data. We show that for present day (year 2000 ACCMIP time slice), the ACCMIP results perform similarly to previously published multi-model assessments. For this time slice, we find a multi-model mean deposition of approximately 50 Tg(N) yr−1 from nitrogen oxide emissions, 60 Tg(N) yr−1 from ammonia emissions, and 83 Tg(S) yr−1 from sulfur emissions. The analysis of changes between 1980 and 2000 indicates significant differences between model and measurements over the United States but less so over Europe. This difference points towards a potential misrepresentation of 1980 NH3 emissions over North America. Based on ice core records, the 1850 deposition fluxes agree well with Greenland ice cores, but the change between 1850 and 2000 seems to be overestimated in the Northern Hemisphere for both nitrogen and sulfur species. Using the Representative Concentration Pathways (RCPs) to define the projected climate and atmospheric chemistry related emissions and concentrations, we find large regional nitrogen deposition increases in 2100 in Latin America, Africa and parts of Asia under some of the scenarios considered. Increases in South Asia are especially large, and are seen in all scenarios, with 2100 values more than double their 2000 counterpart in some scenarios and reaching &gt; 1300 mg(N) m−2 yr−1 averaged over regional to continental-scale regions in RCP 2.6 and 8.5, ~ 30–50% larger than the values in any region currently (circa 2000). However, sulfur deposition rates in 2100 are in all regions lower than in 2000 in all the RCPs. The new ACCMIP multi-model deposition dataset provides state-of-the-science, consistent and evaluated time slice (spanning 1850–2100) global gridded deposition fields for use in a wide range of climate and ecological studies.","container-title":"Atmospheric Chemistry and Physics","DOI":"10.5194/acp-13-7997-2013","ISSN":"1680-7324","issue":"16","journalAbbreviation":"Atmos. Chem. Phys.","language":"en","page":"7997-8018","source":"DOI.org (Crossref)","title":"Multi-model mean nitrogen and sulfur deposition from the Atmospheric Chemistry and Climate Model Intercomparison Project (ACCMIP): evaluation of historical and projected future changes","title-short":"Multi-model mean nitrogen and sulfur deposition from the Atmospheric Chemistry and Climate Model Intercomparison Project (ACCMIP)","volume":"13","author":[{"family":"Lamarque","given":"J.-F."},{"family":"Dentener","given":"F."},{"family":"McConnell","given":"J."},{"family":"Ro","given":"C.-U."},{"family":"Shaw","given":"M."},{"family":"Vet","given":"R."},{"family":"Bergmann","given":"D."},{"family":"Cameron-Smith","given":"P."},{"family":"Dalsoren","given":"S."},{"family":"Doherty","given":"R."},{"family":"Faluvegi","given":"G."},{"family":"Ghan","given":"S. J."},{"family":"Josse","given":"B."},{"family":"Lee","given":"Y. H."},{"family":"MacKenzie","given":"I. A."},{"family":"Plummer","given":"D."},{"family":"Shindell","given":"D. T."},{"family":"Skeie","given":"R. B."},{"family":"Stevenson","given":"D. S."},{"family":"Strode","given":"S."},{"family":"Zeng","given":"G."},{"family":"Curran","given":"M."},{"family":"Dahl-Jensen","given":"D."},{"family":"Das","given":"S."},{"family":"Fritzsche","given":"D."},{"family":"Nolan","given":"M."}],"issued":{"date-parts":[["2013",8,20]]}}}],"schema":"https://github.com/citation-style-language/schema/raw/master/csl-citation.json"} </w:instrText>
      </w:r>
      <w:r w:rsidRPr="008E4EFB">
        <w:fldChar w:fldCharType="separate"/>
      </w:r>
      <w:r w:rsidR="00B864BC" w:rsidRPr="008E4EFB">
        <w:t>(Lamarque et al., 2013)</w:t>
      </w:r>
      <w:r w:rsidRPr="008E4EFB">
        <w:fldChar w:fldCharType="end"/>
      </w:r>
      <w:r w:rsidRPr="008E4EFB">
        <w:t xml:space="preserve">, it will remain a serious hazard in many emerging economies. For instance, sulfur deposition in East Asia peaked in 2006 </w:t>
      </w:r>
      <w:r w:rsidRPr="008E4EFB">
        <w:fldChar w:fldCharType="begin"/>
      </w:r>
      <w:r w:rsidRPr="008E4EFB">
        <w:instrText xml:space="preserve"> ADDIN ZOTERO_ITEM CSL_CITATION {"citationID":"NHrHeFSq","properties":{"formattedCitation":"(Lu et al., 2010)","plainCitation":"(Lu et al., 2010)","noteIndex":0},"citationItems":[{"id":11,"uris":["http://zotero.org/users/3110659/items/IH2FCAI2"],"itemData":{"id":11,"type":"article-journal","abstract":"Abstract. With the rapid development of the economy, the sulfur dioxide (SO2) emission from China since 2000 is of increasing concern. In this study, we estimate the annual SO2 emission in China after 2000 using a technology-based methodology specifically for China. From 2000 to 2006, total SO2 emission in China increased by 53%, from 21.7 Tg to 33.2 Tg, at an annual growth rate of 7.3%. Emissions from power plants are the main sources of SO2 in China and they increased from 10.6 Tg to 18.6 Tg in the same period. Geographically, emission from north China increased by 85%, whereas that from the south increased by only 28%. The emission growth rate slowed around 2005, and emissions began to decrease after 2006 mainly due to the wide application of flue-gas desulfurization (FGD) devices in power plants in response to a new policy of China's government. This paper shows that the trend of estimated SO2 emission in China is consistent with the trends of SO2 concentration and acid rain pH and frequency in China, as well as with the increasing trends of background SO2 and sulfate concentration in East Asia. A longitudinal gradient in the percentage change of urban SO2 concentration in Japan is found during 2000–2007, indicating that the decrease of urban SO2 is lower in areas close to the Asian continent. This implies that the transport of increasing SO2 from the Asian continent partially counteracts the local reduction of SO2 emission downwind. The aerosol optical depth (AOD) products of Moderate Resolution Imaging Spectroradiometer (MODIS) are found to be highly correlated with the surface solar radiation (SSR) measurements in East Asia. Using MODIS AOD data as a surrogate of SSR, we found that China and East Asia excluding Japan underwent a continuous dimming after 2000, which is in line with the dramatic increase in SO2 emission in East Asia. The trends of AOD from both satellite retrievals and model over East Asia are also consistent with the trend of SO2 emission in China, especially during the second half of the year, when sulfur contributes the largest fraction of AOD. The arrested growth in SO2 emissions since 2006 is also reflected in the decreasing trends of SO2 and SO42− concentrations, acid rain pH values and frequencies, and AOD over East Asia.","container-title":"Atmospheric Chemistry and Physics","DOI":"10.5194/acp-10-6311-2010","ISSN":"1680-7324","issue":"13","journalAbbreviation":"Atmos. Chem. Phys.","language":"en","page":"6311-6331","source":"DOI.org (Crossref)","title":"Sulfur dioxide emissions in China and sulfur trends in East Asia since 2000","volume":"10","author":[{"family":"Lu","given":"Z."},{"family":"Streets","given":"D. G."},{"family":"Zhang","given":"Q."},{"family":"Wang","given":"S."},{"family":"Carmichael","given":"G. R."},{"family":"Cheng","given":"Y. F."},{"family":"Wei","given":"C."},{"family":"Chin","given":"M."},{"family":"Diehl","given":"T."},{"family":"Tan","given":"Q."}],"issued":{"date-parts":[["2010",7,13]]}}}],"schema":"https://github.com/citation-style-language/schema/raw/master/csl-citation.json"} </w:instrText>
      </w:r>
      <w:r w:rsidRPr="008E4EFB">
        <w:fldChar w:fldCharType="separate"/>
      </w:r>
      <w:r w:rsidR="00B864BC" w:rsidRPr="008E4EFB">
        <w:t>(Lu et al., 2010)</w:t>
      </w:r>
      <w:r w:rsidRPr="008E4EFB">
        <w:fldChar w:fldCharType="end"/>
      </w:r>
      <w:r w:rsidRPr="008E4EFB">
        <w:t xml:space="preserve"> but is still high enough to be concerning, especially in natural and semi-natural regions </w:t>
      </w:r>
      <w:r w:rsidRPr="008E4EFB">
        <w:fldChar w:fldCharType="begin"/>
      </w:r>
      <w:r w:rsidRPr="008E4EFB">
        <w:instrText xml:space="preserve"> ADDIN ZOTERO_ITEM CSL_CITATION {"citationID":"DvVxCQAJ","properties":{"formattedCitation":"(Doney et al., 2007; X. S. Luo et al., 2014)","plainCitation":"(Doney et al., 2007; X. S. Luo et al., 2014)","noteIndex":0},"citationItems":[{"id":4,"uris":["http://zotero.org/users/3110659/items/RRRF84Q3"],"itemData":{"id":4,"type":"article-journal","abstract":"Fossil fuel combustion and agriculture result in atmospheric deposition of 0.8 Tmol/yr reactive sulfur and 2.7 Tmol/yr nitrogen to the coastal and open ocean near major source regions in North America, Europe, and South and East Asia. Atmospheric inputs of dissociation products of strong acids (HNO3 and H2SO4) and bases (NH3) alter surface seawater alkalinity, pH, and inorganic carbon storage. We quantify the biogeochemical impacts by using atmosphere and ocean models. The direct acid/base flux to the ocean is predominately acidic (reducing total alkalinity) in the temperate Northern Hemisphere and alkaline in the tropics because of ammonia inputs. However, because most of the excess ammonia is nitrified to nitrate (NO3 −) in the upper ocean, the effective net atmospheric input is acidic almost everywhere. The decrease in surface alkalinity drives a net air–sea efflux of CO2, reducing surface dissolved inorganic carbon (DIC); the alkalinity and DIC changes mostly offset each other, and the decline in surface pH is small. Additional impacts arise from nitrogen fertilization, leading to elevated primary production and biological DIC drawdown that reverses in some places the sign of the surface pH and air–sea CO2 flux perturbations. On a global scale, the alterations in surface water chemistry from anthropogenic nitrogen and sulfur deposition are a few percent of the acidification and DIC increases due to the oceanic uptake of anthropogenic CO2. However, the impacts are more substantial in coastal waters, where the ecosystem responses to ocean acidification could have the most severe implications for mankind.","container-title":"Proceedings of the National Academy of Sciences","DOI":"10.1073/pnas.0702218104","ISSN":"0027-8424, 1091-6490","issue":"37","journalAbbreviation":"PNAS","language":"en","license":"© 2007 by The National Academy of Sciences of the USA.                    Freely available online through the PNAS open access option.","note":"publisher: National Academy of Sciences\nsection: Physical Sciences\nPMID: 17804807","page":"14580-14585","source":"www.pnas.org","title":"Impact of anthropogenic atmospheric nitrogen and sulfur deposition on ocean acidification and the inorganic carbon system","volume":"104","author":[{"family":"Doney","given":"Scott C."},{"family":"Mahowald","given":"Natalie"},{"family":"Lima","given":"Ivan"},{"family":"Feely","given":"Richard A."},{"family":"Mackenzie","given":"Fred T."},{"family":"Lamarque","given":"Jean-Francois"},{"family":"Rasch","given":"Phil J."}],"issued":{"date-parts":[["2007",9,11]]}}},{"id":588,"uris":["http://zotero.org/users/3110659/items/B8I5RKBH"],"itemData":{"id":588,"type":"article-journal","abstract":"As the amount of reactive nitrogen (N) generated and emitted increases the amount of N deposition and its contribution to eutrophication or harmful algal blooms in the coastal zones are becoming issues of environmental concern. To quantify N deposition in coastal seas of China we selected six typical coastal sites from North to South in 2011. Concentrations of NH3, HNO3, NO2, particulate NH4+ (pNH4+) and pNO3− ranged from 1.97– 4.88, 0.46 –1.22, 3.03 –7.09, 2.24 – 4.90 and 1.13–2.63 μg N m−3 at Dalian (DL), Changdao (CD), Linshandao (LS), Fenghua (FH), Fuzhou (FZ), and Zhanjiang (ZJ) sites, respectively. Volume-weighted NO3−–N and NH4+–N concentrations in precipitation varied from 0.46 to 1.67 and 0.47 to 1.31 mg N L−1 at the six sites. Dry, wet and total deposition rates of N were 7.8–23.1, 14.2–25.2 and 22.0 – 44.6 kg N ha−1 yr−1 across the six coastal sites. Average N dry deposition accounted for 45.4% of the total deposition and NH3 and pNH4+ contributed to 76.6% of the dry deposition. If we extrapolate our total N deposition of 33.9 kg N ha−1 yr−1 to the whole Chinese coastal sea area (0.40 million km2), total N deposition amounts to 1.36 Tg N yr−1, a large external N input to surrounding marine ecosystems.","container-title":"Environmental Research Letters","DOI":"10.1088/1748-9326/9/9/095007","ISSN":"1748-9326","issue":"9","journalAbbreviation":"Environ. Res. Lett.","language":"en","note":"publisher: IOP Publishing","page":"095007","source":"Institute of Physics","title":"Chinese coastal seas are facing heavy atmospheric nitrogen deposition","volume":"9","author":[{"family":"Luo","given":"X. S."},{"family":"Tang","given":"A. H."},{"family":"Shi","given":"K."},{"family":"Wu","given":"L. H."},{"family":"Li","given":"W. Q."},{"family":"Shi","given":"W. Q."},{"family":"Shi","given":"X. K."},{"family":"Erisman","given":"J. W."},{"family":"Zhang","given":"F. S."},{"family":"Liu","given":"X. J."}],"issued":{"date-parts":[["2014",9]]}}}],"schema":"https://github.com/citation-style-language/schema/raw/master/csl-citation.json"} </w:instrText>
      </w:r>
      <w:r w:rsidRPr="008E4EFB">
        <w:fldChar w:fldCharType="separate"/>
      </w:r>
      <w:r w:rsidR="00B864BC" w:rsidRPr="008E4EFB">
        <w:t>(Doney et al., 2007; X. S. Luo et al., 2014)</w:t>
      </w:r>
      <w:r w:rsidRPr="008E4EFB">
        <w:fldChar w:fldCharType="end"/>
      </w:r>
      <w:r w:rsidRPr="008E4EFB">
        <w:t xml:space="preserve">. </w:t>
      </w:r>
    </w:p>
    <w:p w14:paraId="4B6B7B87" w14:textId="684CB700" w:rsidR="001D4ED4" w:rsidRPr="008E4EFB" w:rsidRDefault="001D4ED4" w:rsidP="00B71A9A">
      <w:pPr>
        <w:pStyle w:val="Text"/>
        <w:spacing w:before="0" w:line="360" w:lineRule="auto"/>
        <w:ind w:firstLine="0"/>
      </w:pPr>
      <w:r w:rsidRPr="008E4EFB">
        <w:t>Oxidized nitrogen (</w:t>
      </w:r>
      <w:proofErr w:type="spellStart"/>
      <w:r w:rsidRPr="008E4EFB">
        <w:t>NO</w:t>
      </w:r>
      <w:r w:rsidRPr="008E4EFB">
        <w:rPr>
          <w:vertAlign w:val="subscript"/>
        </w:rPr>
        <w:t>y</w:t>
      </w:r>
      <w:proofErr w:type="spellEnd"/>
      <w:r w:rsidRPr="008E4EFB">
        <w:t>) and reduced nitrogen (</w:t>
      </w:r>
      <w:proofErr w:type="spellStart"/>
      <w:r w:rsidRPr="008E4EFB">
        <w:t>NH</w:t>
      </w:r>
      <w:r w:rsidRPr="008E4EFB">
        <w:rPr>
          <w:vertAlign w:val="subscript"/>
        </w:rPr>
        <w:t>x</w:t>
      </w:r>
      <w:proofErr w:type="spellEnd"/>
      <w:r w:rsidRPr="008E4EFB">
        <w:t>), together called reactive nitrogen (Nr), and oxidized sulfur (</w:t>
      </w:r>
      <w:proofErr w:type="spellStart"/>
      <w:r w:rsidRPr="008E4EFB">
        <w:t>SO</w:t>
      </w:r>
      <w:r w:rsidRPr="008E4EFB">
        <w:rPr>
          <w:vertAlign w:val="subscript"/>
        </w:rPr>
        <w:t>x</w:t>
      </w:r>
      <w:proofErr w:type="spellEnd"/>
      <w:r w:rsidRPr="008E4EFB">
        <w:t xml:space="preserve">) deposition occur as wet and dry processes </w:t>
      </w:r>
      <w:r w:rsidRPr="008E4EFB">
        <w:fldChar w:fldCharType="begin"/>
      </w:r>
      <w:r w:rsidRPr="008E4EFB">
        <w:instrText xml:space="preserve"> ADDIN ZOTERO_ITEM CSL_CITATION {"citationID":"ytUBOrfP","properties":{"formattedCitation":"(Dentener et al., 2006)","plainCitation":"(Dentener et al., 2006)","noteIndex":0},"citationItems":[{"id":593,"uris":["http://zotero.org/users/3110659/items/3TPEF9ZL"],"itemData":{"id":593,"type":"article-journal","abstract":"We use 23 atmospheric chemistry transport models to calculate current and future (2030) deposition of reactive nitrogen (NOy, NHx) and sulfate (SOx) to land and ocean surfaces. The models are driven by three emission scenarios: (1) current air quality legislation (CLE); (2) an optimistic case of the maximum emissions reductions currently technologically feasible (MFR); and (3) the contrasting pessimistic IPCC SRES A2 scenario. An extensive evaluation of the present-day deposition using nearly all information on wet deposition available worldwide shows a good agreement with observations in Europe and North America, where 60–70% of the model-calculated wet deposition rates agree to within ±50% with quality-controlled measurements. Models systematically overestimate NHx deposition in South Asia, and underestimate NOy deposition in East Asia. We show that there are substantial differences among models for the removal mechanisms of NOy, NHx, and SOx, leading to ±1 σ variance in total deposition fluxes of about 30% in the anthropogenic emissions regions, and up to a factor of 2 outside. In all cases the mean model constructed from the ensemble calculations is among the best when comparing to measurements. Currently, 36–51% of all NOy, NHx, and SOx is deposited over the ocean, and 50–80% of the fraction of deposition on land falls on natural (nonagricultural) vegetation. Currently, 11% of the world's natural vegetation receives nitrogen deposition in excess of the “critical load” threshold of 1000 mg(N) m−2 yr−1. The regions most affected are the United States (20% of vegetation), western Europe (30%), eastern Europe (80%), South Asia (60%), East Asia (40%), southeast Asia (30%), and Japan (50%). Future deposition fluxes are mainly driven by changes in emissions, and less importantly by changes in atmospheric chemistry and climate. The global fraction of vegetation exposed to nitrogen loads in excess of 1000 mg(N) m−2 yr−1 increases globally to 17% for CLE and 25% for A2. In MFR, the reductions in NOy are offset by further increases for NHx deposition. The regions most affected by exceedingly high nitrogen loads for CLE and A2 are Europe and Asia, but also parts of Africa.","container-title":"Global Biogeochemical Cycles","DOI":"10.1029/2005GB002672","ISSN":"1944-9224","issue":"4","language":"en","note":"_eprint: https://agupubs.onlinelibrary.wiley.com/doi/pdf/10.1029/2005GB002672","source":"Wiley Online Library","title":"Nitrogen and sulfur deposition on regional and global scales: A multimodel evaluation","title-short":"Nitrogen and sulfur deposition on regional and global scales","URL":"https://agupubs.onlinelibrary.wiley.com/doi/abs/10.1029/2005GB002672","volume":"20","author":[{"family":"Dentener","given":"F."},{"family":"Drevet","given":"J."},{"family":"Lamarque","given":"J. F."},{"family":"Bey","given":"I."},{"family":"Eickhout","given":"B."},{"family":"Fiore","given":"A. M."},{"family":"Hauglustaine","given":"D."},{"family":"Horowitz","given":"L. W."},{"family":"Krol","given":"M."},{"family":"Kulshrestha","given":"U. C."},{"family":"Lawrence","given":"M."},{"family":"Galy-Lacaux","given":"C."},{"family":"Rast","given":"S."},{"family":"Shindell","given":"D."},{"family":"Stevenson","given":"D."},{"family":"Noije","given":"T. Van"},{"family":"Atherton","given":"C."},{"family":"Bell","given":"N."},{"family":"Bergman","given":"D."},{"family":"Butler","given":"T."},{"family":"Cofala","given":"J."},{"family":"Collins","given":"B."},{"family":"Doherty","given":"R."},{"family":"Ellingsen","given":"K."},{"family":"Galloway","given":"J."},{"family":"Gauss","given":"M."},{"family":"Montanaro","given":"V."},{"family":"Müller","given":"J. F."},{"family":"Pitari","given":"G."},{"family":"Rodriguez","given":"J."},{"family":"Sanderson","given":"M."},{"family":"Solmon","given":"F."},{"family":"Strahan","given":"S."},{"family":"Schultz","given":"M."},{"family":"Sudo","given":"K."},{"family":"Szopa","given":"S."},{"family":"Wild","given":"O."}],"accessed":{"date-parts":[["2021",7,13]]},"issued":{"date-parts":[["2006"]]}}}],"schema":"https://github.com/citation-style-language/schema/raw/master/csl-citation.json"} </w:instrText>
      </w:r>
      <w:r w:rsidRPr="008E4EFB">
        <w:fldChar w:fldCharType="separate"/>
      </w:r>
      <w:r w:rsidR="00B864BC" w:rsidRPr="008E4EFB">
        <w:t>(Dentener et al., 2006)</w:t>
      </w:r>
      <w:r w:rsidRPr="008E4EFB">
        <w:fldChar w:fldCharType="end"/>
      </w:r>
      <w:r w:rsidRPr="008E4EFB">
        <w:t xml:space="preserve">. Wet deposition is measured at hundreds of locations in Europe, North America, and Asia, but dry deposition is harder to measure and is often instead derived from ambient concentrations and modeled deposition velocities </w:t>
      </w:r>
      <w:r w:rsidRPr="008E4EFB">
        <w:fldChar w:fldCharType="begin"/>
      </w:r>
      <w:r w:rsidRPr="008E4EFB">
        <w:instrText xml:space="preserve"> ADDIN ZOTERO_ITEM CSL_CITATION {"citationID":"jUXFl7qq","properties":{"formattedCitation":"(W. Xu et al., 2015)","plainCitation":"(W. Xu et al., 2015)","noteIndex":0},"citationItems":[{"id":585,"uris":["http://zotero.org/users/3110659/items/XLE4MREP"],"itemData":{"id":585,"type":"article-journal","abstract":"A Nationwide Nitrogen Deposition Monitoring Network (NNDMN) containing 43 monitoring sites was established in China to measure gaseous NH3, NO2, and HNO3 and particulate NH+4 and NO−3 in air and/or precipitation from 2010 to 2014. Wet/bulk deposition ﬂuxes of Nr species were collected by precipitation gauge method and measured by continuous-ﬂow analyzer; dry deposition ﬂuxes were estimated using airborne concentration measurements and inferential models. Our observations reveal large spatial variations of atmospheric Nr concentrations and dry and wet/bulk Nr deposition. On a national basis, the annual average concentrations (1.3–47.0 µg N m−3) and dry plus wet/bulk deposition ﬂuxes (2.9–83.3 kg N ha−1 yr−1) of inorganic Nr species are ranked by land use as urban &gt; rural &gt; background sites and by regions as north China &gt; southeast China &gt; southwest China &gt; northeast China &gt; northwest China &gt; Tibetan Plateau, reﬂecting the impact of anthropogenic Nr emission. Average dry and wet/bulk N deposition ﬂuxes were 20.6 ± 11.2 (mean ± standard deviation) and 19.3 ± 9.2 kg N ha−1 yr−1 across China, with reduced N deposition dominating both dry and wet/bulk deposition. Our results suggest atmospheric dry N deposition is equally important to wet/bulk N deposition at the national scale. Therefore, both deposition forms should be included when considering the impacts of N deposition on environment and ecosystem health.","container-title":"Atmospheric Chemistry and Physics","DOI":"10.5194/acp-15-12345-2015","ISSN":"1680-7324","issue":"21","journalAbbreviation":"Atmos. Chem. Phys.","language":"en","page":"12345-12360","source":"DOI.org (Crossref)","title":"Quantifying atmospheric nitrogen deposition through a nationwide monitoring network across China","volume":"15","author":[{"family":"Xu","given":"W."},{"family":"Luo","given":"X. S."},{"family":"Pan","given":"Y. P."},{"family":"Zhang","given":"L."},{"family":"Tang","given":"A. H."},{"family":"Shen","given":"J. L."},{"family":"Zhang","given":"Y."},{"family":"Li","given":"K. H."},{"family":"Wu","given":"Q. H."},{"family":"Yang","given":"D. W."},{"family":"Zhang","given":"Y. Y."},{"family":"Xue","given":"J."},{"family":"Li","given":"W. Q."},{"family":"Li","given":"Q. Q."},{"family":"Tang","given":"L."},{"family":"Lu","given":"S. H."},{"family":"Liang","given":"T."},{"family":"Tong","given":"Y. A."},{"family":"Liu","given":"P."},{"family":"Zhang","given":"Q."},{"family":"Xiong","given":"Z. Q."},{"family":"Shi","given":"X. J."},{"family":"Wu","given":"L. H."},{"family":"Shi","given":"W. Q."},{"family":"Tian","given":"K."},{"family":"Zhong","given":"X. H."},{"family":"Shi","given":"K."},{"family":"Tang","given":"Q. Y."},{"family":"Zhang","given":"L. J."},{"family":"Huang","given":"J. L."},{"family":"He","given":"C. E."},{"family":"Kuang","given":"F. H."},{"family":"Zhu","given":"B."},{"family":"Liu","given":"H."},{"family":"Jin","given":"X."},{"family":"Xin","given":"Y. J."},{"family":"Shi","given":"X. K."},{"family":"Du","given":"E. Z."},{"family":"Dore","given":"A. J."},{"family":"Tang","given":"S."},{"family":"Collett","given":"J. L."},{"family":"Goulding","given":"K."},{"family":"Sun","given":"Y. X."},{"family":"Ren","given":"J."},{"family":"Zhang","given":"F. S."},{"family":"Liu","given":"X. J."}],"issued":{"date-parts":[["2015",11,9]]}}}],"schema":"https://github.com/citation-style-language/schema/raw/master/csl-citation.json"} </w:instrText>
      </w:r>
      <w:r w:rsidRPr="008E4EFB">
        <w:fldChar w:fldCharType="separate"/>
      </w:r>
      <w:r w:rsidR="00B864BC" w:rsidRPr="008E4EFB">
        <w:t>(W. Xu et al., 2015)</w:t>
      </w:r>
      <w:r w:rsidRPr="008E4EFB">
        <w:fldChar w:fldCharType="end"/>
      </w:r>
      <w:r w:rsidRPr="008E4EFB">
        <w:t xml:space="preserve">. For example, dry deposition is inferred from continuous concentration measurements combined with modeled dry deposition velocities at a few locations in North America </w:t>
      </w:r>
      <w:r w:rsidRPr="008E4EFB">
        <w:fldChar w:fldCharType="begin"/>
      </w:r>
      <w:r w:rsidRPr="008E4EFB">
        <w:instrText xml:space="preserve"> ADDIN ZOTERO_ITEM CSL_CITATION {"citationID":"3srf9cmX","properties":{"formattedCitation":"(US EPA, 2015a)","plainCitation":"(US EPA, 2015a)","noteIndex":0},"citationItems":[{"id":225,"uris":["http://zotero.org/users/3110659/items/2ELKM99B"],"itemData":{"id":225,"type":"webpage","abstract":"The Clean Air Status and Trends Network (CASTNET) is a national air quality monitoring network designed to provide data to assess trends in air quality, atmospheric deposition, and ecological effects due to changes in air pollutant emissions.","container-title":"The Clean Air Status and Trends Network (CASTNET)","genre":"Collections and Lists","language":"en","title":"Clean Air Status and Trends Network (CASTNET)","URL":"https://www.epa.gov/castnet","author":[{"family":"US EPA","given":""}],"accessed":{"date-parts":[["2021",11,18]]},"issued":{"date-parts":[["2015",6,18]]}}}],"schema":"https://github.com/citation-style-language/schema/raw/master/csl-citation.json"} </w:instrText>
      </w:r>
      <w:r w:rsidRPr="008E4EFB">
        <w:fldChar w:fldCharType="separate"/>
      </w:r>
      <w:r w:rsidR="00B864BC" w:rsidRPr="008E4EFB">
        <w:t>(US EPA, 2015a)</w:t>
      </w:r>
      <w:r w:rsidRPr="008E4EFB">
        <w:fldChar w:fldCharType="end"/>
      </w:r>
      <w:r w:rsidRPr="008E4EFB">
        <w:t xml:space="preserve"> and Asia </w:t>
      </w:r>
      <w:r w:rsidRPr="008E4EFB">
        <w:fldChar w:fldCharType="begin"/>
      </w:r>
      <w:r w:rsidRPr="008E4EFB">
        <w:instrText xml:space="preserve"> ADDIN ZOTERO_ITEM CSL_CITATION {"citationID":"rTiSRzgx","properties":{"formattedCitation":"(Asia Center for Air Pollution Research, 2021)","plainCitation":"(Asia Center for Air Pollution Research, 2021)","noteIndex":0},"citationItems":[{"id":227,"uris":["http://zotero.org/users/3110659/items/MK6C7YWG"],"itemData":{"id":227,"type":"webpage","container-title":"Acid Deposition Monitoring Network in East Asia (EANET)","language":"en-US","title":"Acid Deposition Monitoring Network in East Asia (EANET)","URL":"https://www.eanet.asia/","author":[{"family":"Asia Center for Air Pollution Research","given":""}],"accessed":{"date-parts":[["2021",11,18]]},"issued":{"date-parts":[["2021"]]}}}],"schema":"https://github.com/citation-style-language/schema/raw/master/csl-citation.json"} </w:instrText>
      </w:r>
      <w:r w:rsidRPr="008E4EFB">
        <w:fldChar w:fldCharType="separate"/>
      </w:r>
      <w:r w:rsidR="00B864BC" w:rsidRPr="008E4EFB">
        <w:t>(Asia Center for Air Pollution Research, 2021)</w:t>
      </w:r>
      <w:r w:rsidRPr="008E4EFB">
        <w:fldChar w:fldCharType="end"/>
      </w:r>
      <w:r w:rsidRPr="008E4EFB">
        <w:t xml:space="preserve">. </w:t>
      </w:r>
    </w:p>
    <w:p w14:paraId="756EC9F3" w14:textId="77777777" w:rsidR="001D4ED4" w:rsidRPr="008E4EFB" w:rsidRDefault="001D4ED4" w:rsidP="00B71A9A">
      <w:pPr>
        <w:pStyle w:val="Text"/>
        <w:spacing w:before="0" w:line="360" w:lineRule="auto"/>
        <w:ind w:firstLine="0"/>
      </w:pPr>
      <w:r w:rsidRPr="008E4EFB">
        <w:t xml:space="preserve">The United Nations Economic Commission for Europe’s Task Force on Hemispheric Transport of Air Pollution (HTAP) is an international effort to improve the understanding of air pollution transport science with emissions models. The second phase of HTAP was launched in 2012. Tan et al. </w:t>
      </w:r>
      <w:r w:rsidRPr="008E4EFB">
        <w:fldChar w:fldCharType="begin"/>
      </w:r>
      <w:r w:rsidRPr="008E4EFB">
        <w:instrText xml:space="preserve"> ADDIN ZOTERO_ITEM CSL_CITATION {"citationID":"DLmv3ngz","properties":{"formattedCitation":"(Tan et al., 2018)","plainCitation":"(Tan et al., 2018)","dontUpdate":true,"noteIndex":0},"citationItems":[{"id":1231,"uris":["http://zotero.org/users/3110659/items/GSC9KE5I"],"itemData":{"id":1231,"type":"article-journal","abstract":"&lt;p&gt;&lt;strong class=\"journal-contentHeaderColor\"&gt;Abstract.&lt;/strong&gt; This study uses multi-model ensemble results of 11 models from the second phase of Task Force Hemispheric Transport of Air Pollution (HTAP II) to calculate the global sulfur (S) and nitrogen (N) deposition in 2010. Modeled wet deposition is evaluated with observation networks in North America, Europe and East Asia. The modeled results agree well with observations, with 76–83&amp;thinsp;% of stations being predicted within &lt;span class=\"inline-formula\"&gt;±&lt;/span&gt;50&amp;thinsp;% of observations. The models underestimate SO&lt;span class=\"inline-formula\"&gt;&lt;math xmlns=\"http://www.w3.org/1998/Math/MathML\" id=\"M2\" display=\"inline\" overflow=\"scroll\" dspmath=\"mathml\"&gt;&lt;mrow&gt;&lt;msubsup&gt;&lt;mi/&gt;&lt;mn mathvariant=\"normal\"&gt;4&lt;/mn&gt;&lt;mrow&gt;&lt;mn mathvariant=\"normal\"&gt;2&lt;/mn&gt;&lt;mo&gt;-&lt;/mo&gt;&lt;/mrow&gt;&lt;/msubsup&gt;&lt;/mrow&gt;&lt;/math&gt;&lt;span&gt;&lt;svg:svg xmlns:svg=\"http://www.w3.org/2000/svg\" width=\"13pt\" height=\"17pt\" class=\"svg-formula\" dspmath=\"mathimg\" md5hash=\"63f11f9b60a09208ebeae789905b238b\"&gt;&lt;svg:image xmlns:xlink=\"http://www.w3.org/1999/xlink\" xlink:href=\"acp-18-6847-2018-ie00001.svg\" width=\"13pt\" height=\"17pt\" src=\"acp-18-6847-2018-ie00001.png\"/&gt;&lt;/svg:svg&gt;&lt;/span&gt;&lt;/span&gt;, NO&lt;span class=\"inline-formula\"&gt;&lt;math xmlns=\"http://www.w3.org/1998/Math/MathML\" id=\"M3\" display=\"inline\" overflow=\"scroll\" dspmath=\"mathml\"&gt;&lt;mrow&gt;&lt;msubsup&gt;&lt;mi/&gt;&lt;mn mathvariant=\"normal\"&gt;3&lt;/mn&gt;&lt;mo&gt;-&lt;/mo&gt;&lt;/msubsup&gt;&lt;/mrow&gt;&lt;/math&gt;&lt;span&gt;&lt;svg:svg xmlns:svg=\"http://www.w3.org/2000/svg\" width=\"9pt\" height=\"16pt\" class=\"svg-formula\" dspmath=\"mathimg\" md5hash=\"0aaab3ee324d7a9ba8e4b96f67d8036e\"&gt;&lt;svg:image xmlns:xlink=\"http://www.w3.org/1999/xlink\" xlink:href=\"acp-18-6847-2018-ie00002.svg\" width=\"9pt\" height=\"16pt\" src=\"acp-18-6847-2018-ie00002.png\"/&gt;&lt;/svg:svg&gt;&lt;/span&gt;&lt;/span&gt; and NH&lt;span class=\"inline-formula\"&gt;&lt;math xmlns=\"http://www.w3.org/1998/Math/MathML\" id=\"M4\" display=\"inline\" overflow=\"scroll\" dspmath=\"mathml\"&gt;&lt;mrow&gt;&lt;msubsup&gt;&lt;mi/&gt;&lt;mn mathvariant=\"normal\"&gt;4&lt;/mn&gt;&lt;mo&gt;+&lt;/mo&gt;&lt;/msubsup&gt;&lt;/mrow&gt;&lt;/math&gt;&lt;span&gt;&lt;svg:svg xmlns:svg=\"http://www.w3.org/2000/svg\" width=\"8pt\" height=\"15pt\" class=\"svg-formula\" dspmath=\"mathimg\" md5hash=\"310866e2e55ea172cf2d52bb7208ba35\"&gt;&lt;svg:image xmlns:xlink=\"http://www.w3.org/1999/xlink\" xlink:href=\"acp-18-6847-2018-ie00003.svg\" width=\"8pt\" height=\"15pt\" src=\"acp-18-6847-2018-ie00003.png\"/&gt;&lt;/svg:svg&gt;&lt;/span&gt;&lt;/span&gt; wet depositions in some European and East Asian stations but overestimate NO&lt;span class=\"inline-formula\"&gt;&lt;math xmlns=\"http://www.w3.org/1998/Math/MathML\" id=\"M5\" display=\"inline\" overflow=\"scroll\" dspmath=\"mathml\"&gt;&lt;mrow&gt;&lt;msubsup&gt;&lt;mi/&gt;&lt;mn mathvariant=\"normal\"&gt;3&lt;/mn&gt;&lt;mo&gt;-&lt;/mo&gt;&lt;/msubsup&gt;&lt;/mrow&gt;&lt;/math&gt;&lt;span&gt;&lt;svg:svg xmlns:svg=\"http://www.w3.org/2000/svg\" width=\"9pt\" height=\"16pt\" class=\"svg-formula\" dspmath=\"mathimg\" md5hash=\"8c72af1edd6d67ed562efcaf5163d22b\"&gt;&lt;svg:image xmlns:xlink=\"http://www.w3.org/1999/xlink\" xlink:href=\"acp-18-6847-2018-ie00004.svg\" width=\"9pt\" height=\"16pt\" src=\"acp-18-6847-2018-ie00004.png\"/&gt;&lt;/svg:svg&gt;&lt;/span&gt;&lt;/span&gt; wet deposition in the eastern United States. Intercomparison with previous projects (PhotoComp, ACCMIP and HTAP I) shows that HTPA II has considerably improved the estimation of deposition at European and East Asian stations. Modeled dry deposition is generally higher than the “inferential” data calculated by observed concentration and modeled velocity in North America, but the inferential data have high uncertainty, too. The global S deposition is 84&amp;thinsp;Tg(S) in 2010, with 49&amp;thinsp;% in continental regions and 51&amp;thinsp;% in the ocean (19&amp;thinsp;% of which coastal). The global N deposition consists of 59&amp;thinsp;Tg(N) oxidized nitrogen (NO&lt;span class=\"inline-formula\"&gt;&lt;sub&gt;&lt;i&gt;y&lt;/i&gt;&lt;/sub&gt;)&lt;/span&gt; deposition and 64&amp;thinsp;Tg(N) reduced nitrogen (NH&lt;span class=\"inline-formula\"&gt;&lt;sub&gt;&lt;i&gt;x&lt;/i&gt;&lt;/sub&gt;)&lt;/span&gt; deposition in 2010. About 65&amp;thinsp;% of N is deposited in continental regions, and 35&amp;thinsp;% in the ocean (15&amp;thinsp;% of which coastal). The estimated outflow of pollution from land to ocean is about 4&amp;thinsp;Tg(S) for S deposition and 18&amp;thinsp;Tg(N) for N deposition. Comparing our results to the results in 2001 from HTAP I, we find that the global distributions of S and N deposition have changed considerably during the last 10 years. The global S deposition decreases 2&amp;thinsp;Tg(S) (3&amp;thinsp;%) from 2001 to 2010, with significant decreases in Europe (5&amp;thinsp;Tg(S) and 55&amp;thinsp;%), North America (3&amp;thinsp;Tg(S) and 29&amp;thinsp;%) and Russia (2&amp;thinsp;Tg(S) and 26&amp;thinsp;%), and increases in South Asia (2&amp;thinsp;Tg(S) and 42&amp;thinsp;%) and the Middle East (1&amp;thinsp;Tg(S) and 44&amp;thinsp;%). The global N deposition increases by 7&amp;thinsp;Tg(N) (6&amp;thinsp;%), mainly contributed by South Asia (5&amp;thinsp;Tg(N) and 39&amp;thinsp;%), East Asia (4&amp;thinsp;Tg(N) and 21&amp;thinsp;%) and Southeast Asia (2&amp;thinsp;Tg(N) and 21&amp;thinsp;%). The NH&lt;span class=\"inline-formula\"&gt;&lt;sub&gt;&lt;i&gt;x&lt;/i&gt;&lt;/sub&gt;&lt;/span&gt; deposition increases with no control policy on NH&lt;span class=\"inline-formula\"&gt;&lt;sub&gt;3&lt;/sub&gt;&lt;/span&gt; emission in North America. On the other hand, NO&lt;span class=\"inline-formula\"&gt;&lt;sub&gt;&lt;i&gt;y&lt;/i&gt;&lt;/sub&gt;&lt;/span&gt; deposition has started to dominate in East Asia (especially China) due to boosted NO&lt;span class=\"inline-formula\"&gt;&lt;sub&gt;&lt;i&gt;x&lt;/i&gt;&lt;/sub&gt;&lt;/span&gt; emission.&lt;/p&gt;","container-title":"Atmospheric Chemistry and Physics","DOI":"https://doi.org/10.5194/acp-18-6847-2018","ISSN":"1680-7316","issue":"9","language":"English","note":"publisher: Copernicus GmbH","page":"6847-6866","source":"acp.copernicus.org","title":"Multi-model study of HTAP II on sulfur and nitrogen deposition","volume":"18","author":[{"family":"Tan","given":"Jiani"},{"family":"Fu","given":"Joshua S."},{"family":"Dentener","given":"Frank"},{"family":"Sun","given":"Jian"},{"family":"Emmons","given":"Louisa"},{"family":"Tilmes","given":"Simone"},{"family":"Sudo","given":"Kengo"},{"family":"Flemming","given":"Johannes"},{"family":"Jonson","given":"Jan Eiof"},{"family":"Gravel","given":"Sylvie"},{"family":"Bian","given":"Huisheng"},{"family":"Davila","given":"Yanko"},{"family":"Henze","given":"Daven K."},{"family":"Lund","given":"Marianne T."},{"family":"Kucsera","given":"Tom"},{"family":"Takemura","given":"Toshihiko"},{"family":"Keating","given":"Terry"}],"issued":{"date-parts":[["2018",5,16]]}}}],"schema":"https://github.com/citation-style-language/schema/raw/master/csl-citation.json"} </w:instrText>
      </w:r>
      <w:r w:rsidRPr="008E4EFB">
        <w:fldChar w:fldCharType="separate"/>
      </w:r>
      <w:r w:rsidRPr="008E4EFB">
        <w:t>(2018)</w:t>
      </w:r>
      <w:r w:rsidRPr="008E4EFB">
        <w:fldChar w:fldCharType="end"/>
      </w:r>
      <w:r w:rsidRPr="008E4EFB">
        <w:t xml:space="preserve"> used the multi-model mean (MMM) of 11 HTAP II chemistry transport models to estimate the sulfur and nitrogen deposition budgets for 2010. Significant uncertainty remained due to a lack of station measurements, especially in East Asia, a large contributor to the overall budget. Tan et al. </w:t>
      </w:r>
      <w:r w:rsidRPr="008E4EFB">
        <w:fldChar w:fldCharType="begin"/>
      </w:r>
      <w:r w:rsidRPr="008E4EFB">
        <w:instrText xml:space="preserve"> ADDIN ZOTERO_ITEM CSL_CITATION {"citationID":"IwiZfm60","properties":{"formattedCitation":"(Tan et al., 2018)","plainCitation":"(Tan et al., 2018)","dontUpdate":true,"noteIndex":0},"citationItems":[{"id":1231,"uris":["http://zotero.org/users/3110659/items/GSC9KE5I"],"itemData":{"id":1231,"type":"article-journal","abstract":"&lt;p&gt;&lt;strong class=\"journal-contentHeaderColor\"&gt;Abstract.&lt;/strong&gt; This study uses multi-model ensemble results of 11 models from the second phase of Task Force Hemispheric Transport of Air Pollution (HTAP II) to calculate the global sulfur (S) and nitrogen (N) deposition in 2010. Modeled wet deposition is evaluated with observation networks in North America, Europe and East Asia. The modeled results agree well with observations, with 76–83&amp;thinsp;% of stations being predicted within &lt;span class=\"inline-formula\"&gt;±&lt;/span&gt;50&amp;thinsp;% of observations. The models underestimate SO&lt;span class=\"inline-formula\"&gt;&lt;math xmlns=\"http://www.w3.org/1998/Math/MathML\" id=\"M2\" display=\"inline\" overflow=\"scroll\" dspmath=\"mathml\"&gt;&lt;mrow&gt;&lt;msubsup&gt;&lt;mi/&gt;&lt;mn mathvariant=\"normal\"&gt;4&lt;/mn&gt;&lt;mrow&gt;&lt;mn mathvariant=\"normal\"&gt;2&lt;/mn&gt;&lt;mo&gt;-&lt;/mo&gt;&lt;/mrow&gt;&lt;/msubsup&gt;&lt;/mrow&gt;&lt;/math&gt;&lt;span&gt;&lt;svg:svg xmlns:svg=\"http://www.w3.org/2000/svg\" width=\"13pt\" height=\"17pt\" class=\"svg-formula\" dspmath=\"mathimg\" md5hash=\"63f11f9b60a09208ebeae789905b238b\"&gt;&lt;svg:image xmlns:xlink=\"http://www.w3.org/1999/xlink\" xlink:href=\"acp-18-6847-2018-ie00001.svg\" width=\"13pt\" height=\"17pt\" src=\"acp-18-6847-2018-ie00001.png\"/&gt;&lt;/svg:svg&gt;&lt;/span&gt;&lt;/span&gt;, NO&lt;span class=\"inline-formula\"&gt;&lt;math xmlns=\"http://www.w3.org/1998/Math/MathML\" id=\"M3\" display=\"inline\" overflow=\"scroll\" dspmath=\"mathml\"&gt;&lt;mrow&gt;&lt;msubsup&gt;&lt;mi/&gt;&lt;mn mathvariant=\"normal\"&gt;3&lt;/mn&gt;&lt;mo&gt;-&lt;/mo&gt;&lt;/msubsup&gt;&lt;/mrow&gt;&lt;/math&gt;&lt;span&gt;&lt;svg:svg xmlns:svg=\"http://www.w3.org/2000/svg\" width=\"9pt\" height=\"16pt\" class=\"svg-formula\" dspmath=\"mathimg\" md5hash=\"0aaab3ee324d7a9ba8e4b96f67d8036e\"&gt;&lt;svg:image xmlns:xlink=\"http://www.w3.org/1999/xlink\" xlink:href=\"acp-18-6847-2018-ie00002.svg\" width=\"9pt\" height=\"16pt\" src=\"acp-18-6847-2018-ie00002.png\"/&gt;&lt;/svg:svg&gt;&lt;/span&gt;&lt;/span&gt; and NH&lt;span class=\"inline-formula\"&gt;&lt;math xmlns=\"http://www.w3.org/1998/Math/MathML\" id=\"M4\" display=\"inline\" overflow=\"scroll\" dspmath=\"mathml\"&gt;&lt;mrow&gt;&lt;msubsup&gt;&lt;mi/&gt;&lt;mn mathvariant=\"normal\"&gt;4&lt;/mn&gt;&lt;mo&gt;+&lt;/mo&gt;&lt;/msubsup&gt;&lt;/mrow&gt;&lt;/math&gt;&lt;span&gt;&lt;svg:svg xmlns:svg=\"http://www.w3.org/2000/svg\" width=\"8pt\" height=\"15pt\" class=\"svg-formula\" dspmath=\"mathimg\" md5hash=\"310866e2e55ea172cf2d52bb7208ba35\"&gt;&lt;svg:image xmlns:xlink=\"http://www.w3.org/1999/xlink\" xlink:href=\"acp-18-6847-2018-ie00003.svg\" width=\"8pt\" height=\"15pt\" src=\"acp-18-6847-2018-ie00003.png\"/&gt;&lt;/svg:svg&gt;&lt;/span&gt;&lt;/span&gt; wet depositions in some European and East Asian stations but overestimate NO&lt;span class=\"inline-formula\"&gt;&lt;math xmlns=\"http://www.w3.org/1998/Math/MathML\" id=\"M5\" display=\"inline\" overflow=\"scroll\" dspmath=\"mathml\"&gt;&lt;mrow&gt;&lt;msubsup&gt;&lt;mi/&gt;&lt;mn mathvariant=\"normal\"&gt;3&lt;/mn&gt;&lt;mo&gt;-&lt;/mo&gt;&lt;/msubsup&gt;&lt;/mrow&gt;&lt;/math&gt;&lt;span&gt;&lt;svg:svg xmlns:svg=\"http://www.w3.org/2000/svg\" width=\"9pt\" height=\"16pt\" class=\"svg-formula\" dspmath=\"mathimg\" md5hash=\"8c72af1edd6d67ed562efcaf5163d22b\"&gt;&lt;svg:image xmlns:xlink=\"http://www.w3.org/1999/xlink\" xlink:href=\"acp-18-6847-2018-ie00004.svg\" width=\"9pt\" height=\"16pt\" src=\"acp-18-6847-2018-ie00004.png\"/&gt;&lt;/svg:svg&gt;&lt;/span&gt;&lt;/span&gt; wet deposition in the eastern United States. Intercomparison with previous projects (PhotoComp, ACCMIP and HTAP I) shows that HTPA II has considerably improved the estimation of deposition at European and East Asian stations. Modeled dry deposition is generally higher than the “inferential” data calculated by observed concentration and modeled velocity in North America, but the inferential data have high uncertainty, too. The global S deposition is 84&amp;thinsp;Tg(S) in 2010, with 49&amp;thinsp;% in continental regions and 51&amp;thinsp;% in the ocean (19&amp;thinsp;% of which coastal). The global N deposition consists of 59&amp;thinsp;Tg(N) oxidized nitrogen (NO&lt;span class=\"inline-formula\"&gt;&lt;sub&gt;&lt;i&gt;y&lt;/i&gt;&lt;/sub&gt;)&lt;/span&gt; deposition and 64&amp;thinsp;Tg(N) reduced nitrogen (NH&lt;span class=\"inline-formula\"&gt;&lt;sub&gt;&lt;i&gt;x&lt;/i&gt;&lt;/sub&gt;)&lt;/span&gt; deposition in 2010. About 65&amp;thinsp;% of N is deposited in continental regions, and 35&amp;thinsp;% in the ocean (15&amp;thinsp;% of which coastal). The estimated outflow of pollution from land to ocean is about 4&amp;thinsp;Tg(S) for S deposition and 18&amp;thinsp;Tg(N) for N deposition. Comparing our results to the results in 2001 from HTAP I, we find that the global distributions of S and N deposition have changed considerably during the last 10 years. The global S deposition decreases 2&amp;thinsp;Tg(S) (3&amp;thinsp;%) from 2001 to 2010, with significant decreases in Europe (5&amp;thinsp;Tg(S) and 55&amp;thinsp;%), North America (3&amp;thinsp;Tg(S) and 29&amp;thinsp;%) and Russia (2&amp;thinsp;Tg(S) and 26&amp;thinsp;%), and increases in South Asia (2&amp;thinsp;Tg(S) and 42&amp;thinsp;%) and the Middle East (1&amp;thinsp;Tg(S) and 44&amp;thinsp;%). The global N deposition increases by 7&amp;thinsp;Tg(N) (6&amp;thinsp;%), mainly contributed by South Asia (5&amp;thinsp;Tg(N) and 39&amp;thinsp;%), East Asia (4&amp;thinsp;Tg(N) and 21&amp;thinsp;%) and Southeast Asia (2&amp;thinsp;Tg(N) and 21&amp;thinsp;%). The NH&lt;span class=\"inline-formula\"&gt;&lt;sub&gt;&lt;i&gt;x&lt;/i&gt;&lt;/sub&gt;&lt;/span&gt; deposition increases with no control policy on NH&lt;span class=\"inline-formula\"&gt;&lt;sub&gt;3&lt;/sub&gt;&lt;/span&gt; emission in North America. On the other hand, NO&lt;span class=\"inline-formula\"&gt;&lt;sub&gt;&lt;i&gt;y&lt;/i&gt;&lt;/sub&gt;&lt;/span&gt; deposition has started to dominate in East Asia (especially China) due to boosted NO&lt;span class=\"inline-formula\"&gt;&lt;sub&gt;&lt;i&gt;x&lt;/i&gt;&lt;/sub&gt;&lt;/span&gt; emission.&lt;/p&gt;","container-title":"Atmospheric Chemistry and Physics","DOI":"https://doi.org/10.5194/acp-18-6847-2018","ISSN":"1680-7316","issue":"9","language":"English","note":"publisher: Copernicus GmbH","page":"6847-6866","source":"acp.copernicus.org","title":"Multi-model study of HTAP II on sulfur and nitrogen deposition","volume":"18","author":[{"family":"Tan","given":"Jiani"},{"family":"Fu","given":"Joshua S."},{"family":"Dentener","given":"Frank"},{"family":"Sun","given":"Jian"},{"family":"Emmons","given":"Louisa"},{"family":"Tilmes","given":"Simone"},{"family":"Sudo","given":"Kengo"},{"family":"Flemming","given":"Johannes"},{"family":"Jonson","given":"Jan Eiof"},{"family":"Gravel","given":"Sylvie"},{"family":"Bian","given":"Huisheng"},{"family":"Davila","given":"Yanko"},{"family":"Henze","given":"Daven K."},{"family":"Lund","given":"Marianne T."},{"family":"Kucsera","given":"Tom"},{"family":"Takemura","given":"Toshihiko"},{"family":"Keating","given":"Terry"}],"issued":{"date-parts":[["2018",5,16]]}}}],"schema":"https://github.com/citation-style-language/schema/raw/master/csl-citation.json"} </w:instrText>
      </w:r>
      <w:r w:rsidRPr="008E4EFB">
        <w:fldChar w:fldCharType="separate"/>
      </w:r>
      <w:r w:rsidRPr="008E4EFB">
        <w:t>(2018)</w:t>
      </w:r>
      <w:r w:rsidRPr="008E4EFB">
        <w:fldChar w:fldCharType="end"/>
      </w:r>
      <w:r w:rsidRPr="008E4EFB">
        <w:t xml:space="preserve"> compared Acid Deposition Monitoring Network in East Asia (EANET) </w:t>
      </w:r>
      <w:r w:rsidRPr="008E4EFB">
        <w:fldChar w:fldCharType="begin"/>
      </w:r>
      <w:r w:rsidRPr="008E4EFB">
        <w:instrText xml:space="preserve"> ADDIN ZOTERO_ITEM CSL_CITATION {"citationID":"wZWNGHu4","properties":{"formattedCitation":"(Acid Deposition Monitoring Network in East Asia (EANET), 2021)","plainCitation":"(Acid Deposition Monitoring Network in East Asia (EANET), 2021)","dontUpdate":true,"noteIndex":0},"citationItems":[{"id":227,"uris":["http://zotero.org/users/3110659/items/MK6C7YWG"],"itemData":{"id":227,"type":"webpage","container-title":"Acid Deposition Monitoring Network in East Asia (EANET)","language":"en-US","title":"Acid Deposition Monitoring Network in East Asia (EANET)","URL":"https://www.eanet.asia/","author":[{"family":"Asia Center for Air Pollution Research","given":""}],"accessed":{"date-parts":[["2021",11,18]]},"issued":{"date-parts":[["2021"]]}}}],"schema":"https://github.com/citation-style-language/schema/raw/master/csl-citation.json"} </w:instrText>
      </w:r>
      <w:r w:rsidRPr="008E4EFB">
        <w:fldChar w:fldCharType="separate"/>
      </w:r>
      <w:r w:rsidRPr="008E4EFB">
        <w:t>(Acid Deposition Monitoring Network in East Asia, 2021)</w:t>
      </w:r>
      <w:r w:rsidRPr="008E4EFB">
        <w:fldChar w:fldCharType="end"/>
      </w:r>
      <w:r w:rsidRPr="008E4EFB">
        <w:t xml:space="preserve"> measurements to the MMM output </w:t>
      </w:r>
      <w:r w:rsidRPr="008E4EFB">
        <w:lastRenderedPageBreak/>
        <w:t>but there were very few measurements in East Asia and all were located along the southeastern coast. In contrast, the highest emissions and modeled deposition were inland and north, making it challenging to evaluate model performance.</w:t>
      </w:r>
    </w:p>
    <w:p w14:paraId="36465C4D" w14:textId="4CDE1AE3" w:rsidR="001D4ED4" w:rsidRPr="008E4EFB" w:rsidRDefault="001D4ED4" w:rsidP="00B71A9A">
      <w:pPr>
        <w:pStyle w:val="Text"/>
        <w:spacing w:before="0" w:line="360" w:lineRule="auto"/>
        <w:ind w:firstLine="0"/>
      </w:pPr>
      <w:r w:rsidRPr="008E4EFB">
        <w:t xml:space="preserve">Combining measurements and model estimates in a “measurement-model fusion” (MMF) approach has the advantage of retaining the broad spatial coverage of models while accurately matching observations. Generally speaking, MMF takes model estimates of concentrations or fluxes for a region and modifies them based on in-situ point measurements to force the model towards the observed values </w:t>
      </w:r>
      <w:r w:rsidRPr="008E4EFB">
        <w:fldChar w:fldCharType="begin"/>
      </w:r>
      <w:r w:rsidRPr="008E4EFB">
        <w:instrText xml:space="preserve"> ADDIN ZOTERO_ITEM CSL_CITATION {"citationID":"wyRqsEYy","properties":{"formattedCitation":"(Labrador et al., 2020)","plainCitation":"(Labrador et al., 2020)","noteIndex":0},"citationItems":[{"id":2178,"uris":["http://zotero.org/users/3110659/items/YWUTRJKK"],"itemData":{"id":2178,"type":"report","abstract":"The Earth’s atmosphere's main cleansing mechanism removes chemicals from the air and deposits them onto land and water surfaces. While the effects of these removal processes are mostly beneficial, some can have negative impacts on human health, ecosystems and food security. For example, acid rain – the acidification of rainwater due to nitrogen and sulfur emissions – damages forests, kills insects, corrodes industrial metal structures, etc. Such adverse impacts of deposition are of great interest to society as a whole and more particularly to policymakers, thus, WMO decided to undertake the Measurement-Model Fusion for Global Total Atmospheric Deposition Initiative.","genre":"Factsheet","language":"en","number":"69","publisher":"World Meteorological Organization","title":"Measurement-Model Fusion for Global Total Atmospheric Deposition, a WMO initiative","URL":"https://public.wmo.int/en/resources/bulletin/measurement-model-fusion-global-total-atmospheric-deposition-wmo-initiative","author":[{"family":"Labrador","given":"Lorenzo"},{"family":"Volosciuk","given":"Claudia"},{"family":"Cole","given":"Amanda"}],"accessed":{"date-parts":[["2022",8,22]]},"issued":{"date-parts":[["2020",3,23]]}}}],"schema":"https://github.com/citation-style-language/schema/raw/master/csl-citation.json"} </w:instrText>
      </w:r>
      <w:r w:rsidRPr="008E4EFB">
        <w:fldChar w:fldCharType="separate"/>
      </w:r>
      <w:r w:rsidR="00B864BC" w:rsidRPr="008E4EFB">
        <w:t>(Labrador et al., 2020)</w:t>
      </w:r>
      <w:r w:rsidRPr="008E4EFB">
        <w:fldChar w:fldCharType="end"/>
      </w:r>
      <w:r w:rsidRPr="008E4EFB">
        <w:t xml:space="preserve">. One global MMF approach for wet deposition combined measurements with HTAP I ensemble model values for 2000-2002 </w:t>
      </w:r>
      <w:r w:rsidRPr="008E4EFB">
        <w:fldChar w:fldCharType="begin"/>
      </w:r>
      <w:r w:rsidR="0004467C" w:rsidRPr="008E4EFB">
        <w:instrText xml:space="preserve"> ADDIN ZOTERO_ITEM CSL_CITATION {"citationID":"uP0aNhHX","properties":{"formattedCitation":"(Vet et al., 2014)","plainCitation":"(Vet et al., 2014)","noteIndex":0},"citationItems":[{"id":"La0QkTYw/eTbbuvzw","uris":["http://zotero.org/users/local/UDk7s0H0/items/7Q7RBD3U"],"itemData":{"id":12,"type":"article-journal","abstract":"A global assessment of precipitation chemistry and deposition has been carried out under the direction of the World Meteorological Organization (WMO) Global Atmosphere Watch (GAW) Scientific Advisory Group for Precipitation Chemistry (SAG-PC). The assessment addressed three questions: (1) what do measurements and model estimates of precipitation chemistry and wet, dry and total deposition of sulfur, nitrogen, sea salt, base cations, organic acids, acidity, and phosphorus show globally and regionally? (2) has the wet deposition of major ions changed since 2000 (and, where information and data are available, since 1990) and (3) what are the major gaps and uncertainties in our knowledge? To that end, regionally-representative measurements for two 3-year-averaging periods, 2000–2002 and 2005–2007, were compiled worldwide. Data from the 2000–2002 averaging period were combined with 2001 ensemble-mean modeling results from 21 global chemical transport models produced in Phase 1 of the Coordinated Model Studies Activities of the Task Force on Hemispheric Transport of Air Pollution (TF HTAP). The measurement data and modeling results were used to generate global and regional maps of major ion concentrations in precipitation and deposition. A major product of the assessment is a database of quality assured ion concentration and wet deposition data gathered from regional and national monitoring networks. The database is available for download from the World Data Centre for Precipitation Chemistry (http://wdcpc.org/). The assessment concludes that global concentrations and deposition of sulfur and nitrogen are reasonably well characterized with levels generally highest near emission sources and more than an order of magnitude lower in areas largely free of anthropogenic influences. In many parts of the world, wet deposition of reduced nitrogen exceeds that of oxidized nitrogen and is increasing. Sulfur and nitrogen concentrations and deposition in North America and Europe have declined significantly in line with emission reduction policies. Major regions of the world, including South America, the more remote areas of North America, much of Asia, Africa, Oceania, polar regions, and all of the oceans, are inadequately sampled for all of the major ions in wet and dry deposition, and particularly so for phosphorus, organic forms of nitrogen, and weak acids including carbonates and organic acids. Measurement-based inferential estimates of dry deposition are limited to sulfur and some nitrogen in only a few regions of the world and methods are highly uncertain. The assessment concludes with recommendations to address major gaps and uncertainties in global ion concentration and deposition measurements.","collection-title":"A global assessment of precipitation chemistry and deposition of sulfur, nitrogen, sea salt, base cations, organic acids, acidity and pH, and phosphorus","container-title":"Atmospheric Environment","DOI":"10.1016/j.atmosenv.2013.10.060","ISSN":"1352-2310","journalAbbreviation":"Atmospheric Environment","language":"en","page":"3-100","source":"ScienceDirect","title":"A global assessment of precipitation chemistry and deposition of sulfur, nitrogen, sea salt, base cations, organic acids, acidity and pH, and phosphorus","volume":"93","author":[{"family":"Vet","given":"Robert"},{"family":"Artz","given":"Richard S."},{"family":"Carou","given":"Silvina"},{"family":"Shaw","given":"Mike"},{"family":"Ro","given":"Chul-Un"},{"family":"Aas","given":"Wenche"},{"family":"Baker","given":"Alex"},{"family":"Bowersox","given":"Van C."},{"family":"Dentener","given":"Frank"},{"family":"Galy-Lacaux","given":"Corinne"},{"family":"Hou","given":"Amy"},{"family":"Pienaar","given":"Jacobus J."},{"family":"Gillett","given":"Robert"},{"family":"Forti","given":"M. Cristina"},{"family":"Gromov","given":"Sergey"},{"family":"Hara","given":"Hiroshi"},{"family":"Khodzher","given":"Tamara"},{"family":"Mahowald","given":"Natalie M."},{"family":"Nickovic","given":"Slobodan"},{"family":"Rao","given":"P. S. P."},{"family":"Reid","given":"Neville W."}],"issued":{"date-parts":[["2014",8,1]]}}}],"schema":"https://github.com/citation-style-language/schema/raw/master/csl-citation.json"} </w:instrText>
      </w:r>
      <w:r w:rsidRPr="008E4EFB">
        <w:fldChar w:fldCharType="separate"/>
      </w:r>
      <w:r w:rsidR="00B864BC" w:rsidRPr="008E4EFB">
        <w:t>(Vet et al., 2014)</w:t>
      </w:r>
      <w:r w:rsidRPr="008E4EFB">
        <w:fldChar w:fldCharType="end"/>
      </w:r>
      <w:r w:rsidRPr="008E4EFB">
        <w:t xml:space="preserve"> where model estimates filled empty grid cells lacking a 3-year observed mean. Another MMF approach in North America (Atmospheric Deposition Analysis Generated from optimal Interpolation from Observations, “ADAGIO”) used observed concentrations to adjust predicted concentrations from the Global Environmental Multiscale-Modelling Air Quality and Chemistry (GEM-MACH) model </w:t>
      </w:r>
      <w:r w:rsidRPr="008E4EFB">
        <w:fldChar w:fldCharType="begin"/>
      </w:r>
      <w:r w:rsidRPr="008E4EFB">
        <w:instrText xml:space="preserve"> ADDIN ZOTERO_ITEM CSL_CITATION {"citationID":"pDEseAG2","properties":{"formattedCitation":"(D. Schwede et al., 2019)","plainCitation":"(D. Schwede et al., 2019)","noteIndex":0},"citationItems":[{"id":19,"uris":["http://zotero.org/users/3110659/items/YU5MVLTW"],"itemData":{"id":19,"type":"article-journal","language":"en","page":"5","source":"Zotero","title":"Ongoing U.S. - Canada Collaboration on Nitrogen and Sulfur Deposition","author":[{"family":"Schwede","given":"Donna"},{"family":"Cole","given":"Amanda"},{"family":"Vet","given":"Robert"},{"family":"Lear","given":"Gary"}],"issued":{"date-parts":[["2019"]]}}}],"schema":"https://github.com/citation-style-language/schema/raw/master/csl-citation.json"} </w:instrText>
      </w:r>
      <w:r w:rsidRPr="008E4EFB">
        <w:fldChar w:fldCharType="separate"/>
      </w:r>
      <w:r w:rsidR="00B864BC" w:rsidRPr="008E4EFB">
        <w:t>(D. Schwede et al., 2019)</w:t>
      </w:r>
      <w:r w:rsidRPr="008E4EFB">
        <w:fldChar w:fldCharType="end"/>
      </w:r>
      <w:r w:rsidRPr="008E4EFB">
        <w:t xml:space="preserve">. Recent work in the US </w:t>
      </w:r>
      <w:r w:rsidRPr="008E4EFB">
        <w:fldChar w:fldCharType="begin"/>
      </w:r>
      <w:r w:rsidRPr="008E4EFB">
        <w:instrText xml:space="preserve"> ADDIN ZOTERO_ITEM CSL_CITATION {"citationID":"qF528lKm","properties":{"formattedCitation":"(D. B. Schwede &amp; Lear, 2014; Y. Zhang et al., 2019)","plainCitation":"(D. B. Schwede &amp; Lear, 2014; Y. Zhang et al., 2019)","noteIndex":0},"citationItems":[{"id":1267,"uris":["http://zotero.org/users/3110659/items/3Z72C2D5"],"itemData":{"id":1267,"type":"article-journal","container-title":"Atmospheric Environment","DOI":"10.1016/j.atmosenv.2014.04.008","page":"207-220","title":"A novel hybrid approach for estimating total deposition in the United States","volume":"92","author":[{"family":"Schwede","given":"Donna B."},{"family":"Lear","given":"Gary G."}],"issued":{"date-parts":[["2014"]]}}},{"id":605,"uris":["http://zotero.org/users/3110659/items/F7RTR8IR"],"itemData":{"id":605,"type":"article-journal","abstract":"Air quality models provide spatial fields of wet deposition (WD) and dry deposition that explicitly account for the transport and transformation of emissions from thousands of sources. However, many sources of uncertainty in the air quality model including errors in emissions and meteorological inputs (particularly precipitation) and incomplete descriptions of the chemical and physical processes governing deposition can lead to bias and error in the simulation of WD. We present an approach to bias correct Community Multiscale Air Quality model output over the contiguous United States using observation-based gridded precipitation data generated by the Parameter-elevation Regressions on Independent Slopes Model and WD observations at the National Atmospheric Deposition Program National Trends Network sites. A cross-validation analysis shows that the adjusted annual accumulated WD for NO3−, NH4+, and SO42− from 2002 to 2012 has less bias and higher correlation with observed values than the base model output without adjustment. Temporal trends in observed WD are captured well by the adjusted model simulations across the entire contiguous United States. Consistent with previous trend analyses, WD NO3− and SO42− are shown to decrease during this period in the eastern half of the United States, particularly in the Northeast, while remaining nearly constant in the West. Trends in WD of NH4+ are more spatially and temporally heterogeneous, with some positive trends in the Great Plains and Central Valley of CA and slightly negative trends in the south.","container-title":"Journal of Geophysical Research: Atmospheres","DOI":"10.1029/2018JD029051","ISSN":"2169-8996","issue":"7","language":"en","license":"©2019. The Authors.","note":"_eprint: https://agupubs.onlinelibrary.wiley.com/doi/pdf/10.1029/2018JD029051","page":"4237-4251","source":"Wiley Online Library","title":"A Measurement-Model Fusion Approach for Improved Wet Deposition Maps and Trends","volume":"124","author":[{"family":"Zhang","given":"Yuqiang"},{"family":"Foley","given":"Kristen M."},{"family":"Schwede","given":"Donna B."},{"family":"Bash","given":"Jesse O."},{"family":"Pinto","given":"Joseph P."},{"family":"Dennis","given":"Robin L."}],"issued":{"date-parts":[["2019"]]}}}],"schema":"https://github.com/citation-style-language/schema/raw/master/csl-citation.json"} </w:instrText>
      </w:r>
      <w:r w:rsidRPr="008E4EFB">
        <w:fldChar w:fldCharType="separate"/>
      </w:r>
      <w:r w:rsidR="00B864BC" w:rsidRPr="008E4EFB">
        <w:t>(D. B. Schwede &amp; Lear, 2014; Y. Zhang et al., 2019)</w:t>
      </w:r>
      <w:r w:rsidRPr="008E4EFB">
        <w:fldChar w:fldCharType="end"/>
      </w:r>
      <w:r w:rsidRPr="008E4EFB">
        <w:t xml:space="preserve"> incorporates Community Multiscale Air Quality (CMAQ) model output and precipitation data generated by the Parameter-elevation Regressions on Independent Slopes Model (PRISM, </w:t>
      </w:r>
      <w:hyperlink r:id="rId10" w:history="1">
        <w:r w:rsidRPr="008E4EFB">
          <w:rPr>
            <w:rStyle w:val="Hyperlink"/>
            <w:color w:val="auto"/>
          </w:rPr>
          <w:t>https://prism.oregonstate.edu/</w:t>
        </w:r>
      </w:hyperlink>
      <w:r w:rsidRPr="008E4EFB">
        <w:t xml:space="preserve">, Accessed: 10/01/22), as well as observations using inverse distance weighting to create total deposition (“TDep”, </w:t>
      </w:r>
      <w:hyperlink r:id="rId11" w:anchor="tdep-maps" w:history="1">
        <w:r w:rsidRPr="008E4EFB">
          <w:rPr>
            <w:rStyle w:val="Hyperlink"/>
            <w:color w:val="auto"/>
          </w:rPr>
          <w:t>https://nadp.slh.wisc.edu/committees/tdep/#tdep-maps</w:t>
        </w:r>
      </w:hyperlink>
      <w:r w:rsidRPr="008E4EFB">
        <w:t xml:space="preserve">) maps that are publicly available. </w:t>
      </w:r>
    </w:p>
    <w:p w14:paraId="40054B1B" w14:textId="1081C26D" w:rsidR="0062719E" w:rsidRDefault="001D4ED4" w:rsidP="00936B99">
      <w:pPr>
        <w:pStyle w:val="Text"/>
        <w:spacing w:before="0" w:line="360" w:lineRule="auto"/>
        <w:ind w:firstLine="0"/>
      </w:pPr>
      <w:r w:rsidRPr="008E4EFB">
        <w:t xml:space="preserve">More details of the MMF approach are described in Fu et al. </w:t>
      </w:r>
      <w:r w:rsidRPr="008E4EFB">
        <w:fldChar w:fldCharType="begin"/>
      </w:r>
      <w:r w:rsidRPr="008E4EFB">
        <w:instrText xml:space="preserve"> ADDIN ZOTERO_ITEM CSL_CITATION {"citationID":"TG6f3pfl","properties":{"formattedCitation":"(Fu et al., 2022)","plainCitation":"(Fu et al., 2022)","dontUpdate":true,"noteIndex":0},"citationItems":[{"id":454,"uris":["http://zotero.org/users/3110659/items/53JIKTTS"],"itemData":{"id":454,"type":"article-journal","abstract":"Earth system and environmental impact studies need high quality and up-to-date estimates of atmospheric deposition. This study demonstrates the methodological beneﬁts of multimodel ensemble and measurement-model fusion mapping approaches for atmospheric deposition focusing on 2010, a year for which several studies were conducted. Global model-only deposition assessment can be further improved by integrating new model-measurement techniques, including expanded capabilities of satellite observations of atmospheric composition. We identify research and implementation priorities for timely estimates of deposition globally as implemented by the World Meteorological Organization.","container-title":"Environmental Science &amp; Technology","DOI":"10.1021/acs.est.1c05929","ISSN":"0013-936X, 1520-5851","issue":"4","journalAbbreviation":"Environ. Sci. Technol.","language":"en","page":"2134-2142","source":"DOI.org (Crossref)","title":"Improving Estimates of Sulfur, Nitrogen, and Ozone Total Deposition through Multi-Model and Measurement-Model Fusion Approaches","volume":"56","author":[{"family":"Fu","given":"Joshua S."},{"family":"Carmichael","given":"Gregory R."},{"family":"Dentener","given":"Frank"},{"family":"Aas","given":"Wenche"},{"family":"Andersson","given":"Camilla"},{"family":"Barrie","given":"Leonard A."},{"family":"Cole","given":"Amanda"},{"family":"Galy-Lacaux","given":"Corinne"},{"family":"Geddes","given":"Jeffrey"},{"family":"Itahashi","given":"Syuichi"},{"family":"Kanakidou","given":"Maria"},{"family":"Labrador","given":"Lorenzo"},{"family":"Paulot","given":"Fabien"},{"family":"Schwede","given":"Donna"},{"family":"Tan","given":"Jiani"},{"family":"Vet","given":"Robert"}],"issued":{"date-parts":[["2022",2,15]]}}}],"schema":"https://github.com/citation-style-language/schema/raw/master/csl-citation.json"} </w:instrText>
      </w:r>
      <w:r w:rsidRPr="008E4EFB">
        <w:fldChar w:fldCharType="separate"/>
      </w:r>
      <w:r w:rsidRPr="008E4EFB">
        <w:t>(2022)</w:t>
      </w:r>
      <w:r w:rsidRPr="008E4EFB">
        <w:fldChar w:fldCharType="end"/>
      </w:r>
      <w:r w:rsidRPr="008E4EFB">
        <w:t xml:space="preserve"> as they lay out a roadmap for future work, following the World Meteorological Organization’s Global Atmosphere Watch Program (WMO GAW) and the intended role of the MMF Global Total Atmospheric Deposition (MMF-GTAD) project. This study updates Tan et al.’s </w:t>
      </w:r>
      <w:r w:rsidRPr="008E4EFB">
        <w:fldChar w:fldCharType="begin"/>
      </w:r>
      <w:r w:rsidRPr="008E4EFB">
        <w:instrText xml:space="preserve"> ADDIN ZOTERO_ITEM CSL_CITATION {"citationID":"w5Iq5Krr","properties":{"formattedCitation":"(Tan et al., 2018)","plainCitation":"(Tan et al., 2018)","dontUpdate":true,"noteIndex":0},"citationItems":[{"id":1231,"uris":["http://zotero.org/users/3110659/items/GSC9KE5I"],"itemData":{"id":1231,"type":"article-journal","abstract":"&lt;p&gt;&lt;strong class=\"journal-contentHeaderColor\"&gt;Abstract.&lt;/strong&gt; This study uses multi-model ensemble results of 11 models from the second phase of Task Force Hemispheric Transport of Air Pollution (HTAP II) to calculate the global sulfur (S) and nitrogen (N) deposition in 2010. Modeled wet deposition is evaluated with observation networks in North America, Europe and East Asia. The modeled results agree well with observations, with 76–83&amp;thinsp;% of stations being predicted within &lt;span class=\"inline-formula\"&gt;±&lt;/span&gt;50&amp;thinsp;% of observations. The models underestimate SO&lt;span class=\"inline-formula\"&gt;&lt;math xmlns=\"http://www.w3.org/1998/Math/MathML\" id=\"M2\" display=\"inline\" overflow=\"scroll\" dspmath=\"mathml\"&gt;&lt;mrow&gt;&lt;msubsup&gt;&lt;mi/&gt;&lt;mn mathvariant=\"normal\"&gt;4&lt;/mn&gt;&lt;mrow&gt;&lt;mn mathvariant=\"normal\"&gt;2&lt;/mn&gt;&lt;mo&gt;-&lt;/mo&gt;&lt;/mrow&gt;&lt;/msubsup&gt;&lt;/mrow&gt;&lt;/math&gt;&lt;span&gt;&lt;svg:svg xmlns:svg=\"http://www.w3.org/2000/svg\" width=\"13pt\" height=\"17pt\" class=\"svg-formula\" dspmath=\"mathimg\" md5hash=\"63f11f9b60a09208ebeae789905b238b\"&gt;&lt;svg:image xmlns:xlink=\"http://www.w3.org/1999/xlink\" xlink:href=\"acp-18-6847-2018-ie00001.svg\" width=\"13pt\" height=\"17pt\" src=\"acp-18-6847-2018-ie00001.png\"/&gt;&lt;/svg:svg&gt;&lt;/span&gt;&lt;/span&gt;, NO&lt;span class=\"inline-formula\"&gt;&lt;math xmlns=\"http://www.w3.org/1998/Math/MathML\" id=\"M3\" display=\"inline\" overflow=\"scroll\" dspmath=\"mathml\"&gt;&lt;mrow&gt;&lt;msubsup&gt;&lt;mi/&gt;&lt;mn mathvariant=\"normal\"&gt;3&lt;/mn&gt;&lt;mo&gt;-&lt;/mo&gt;&lt;/msubsup&gt;&lt;/mrow&gt;&lt;/math&gt;&lt;span&gt;&lt;svg:svg xmlns:svg=\"http://www.w3.org/2000/svg\" width=\"9pt\" height=\"16pt\" class=\"svg-formula\" dspmath=\"mathimg\" md5hash=\"0aaab3ee324d7a9ba8e4b96f67d8036e\"&gt;&lt;svg:image xmlns:xlink=\"http://www.w3.org/1999/xlink\" xlink:href=\"acp-18-6847-2018-ie00002.svg\" width=\"9pt\" height=\"16pt\" src=\"acp-18-6847-2018-ie00002.png\"/&gt;&lt;/svg:svg&gt;&lt;/span&gt;&lt;/span&gt; and NH&lt;span class=\"inline-formula\"&gt;&lt;math xmlns=\"http://www.w3.org/1998/Math/MathML\" id=\"M4\" display=\"inline\" overflow=\"scroll\" dspmath=\"mathml\"&gt;&lt;mrow&gt;&lt;msubsup&gt;&lt;mi/&gt;&lt;mn mathvariant=\"normal\"&gt;4&lt;/mn&gt;&lt;mo&gt;+&lt;/mo&gt;&lt;/msubsup&gt;&lt;/mrow&gt;&lt;/math&gt;&lt;span&gt;&lt;svg:svg xmlns:svg=\"http://www.w3.org/2000/svg\" width=\"8pt\" height=\"15pt\" class=\"svg-formula\" dspmath=\"mathimg\" md5hash=\"310866e2e55ea172cf2d52bb7208ba35\"&gt;&lt;svg:image xmlns:xlink=\"http://www.w3.org/1999/xlink\" xlink:href=\"acp-18-6847-2018-ie00003.svg\" width=\"8pt\" height=\"15pt\" src=\"acp-18-6847-2018-ie00003.png\"/&gt;&lt;/svg:svg&gt;&lt;/span&gt;&lt;/span&gt; wet depositions in some European and East Asian stations but overestimate NO&lt;span class=\"inline-formula\"&gt;&lt;math xmlns=\"http://www.w3.org/1998/Math/MathML\" id=\"M5\" display=\"inline\" overflow=\"scroll\" dspmath=\"mathml\"&gt;&lt;mrow&gt;&lt;msubsup&gt;&lt;mi/&gt;&lt;mn mathvariant=\"normal\"&gt;3&lt;/mn&gt;&lt;mo&gt;-&lt;/mo&gt;&lt;/msubsup&gt;&lt;/mrow&gt;&lt;/math&gt;&lt;span&gt;&lt;svg:svg xmlns:svg=\"http://www.w3.org/2000/svg\" width=\"9pt\" height=\"16pt\" class=\"svg-formula\" dspmath=\"mathimg\" md5hash=\"8c72af1edd6d67ed562efcaf5163d22b\"&gt;&lt;svg:image xmlns:xlink=\"http://www.w3.org/1999/xlink\" xlink:href=\"acp-18-6847-2018-ie00004.svg\" width=\"9pt\" height=\"16pt\" src=\"acp-18-6847-2018-ie00004.png\"/&gt;&lt;/svg:svg&gt;&lt;/span&gt;&lt;/span&gt; wet deposition in the eastern United States. Intercomparison with previous projects (PhotoComp, ACCMIP and HTAP I) shows that HTPA II has considerably improved the estimation of deposition at European and East Asian stations. Modeled dry deposition is generally higher than the “inferential” data calculated by observed concentration and modeled velocity in North America, but the inferential data have high uncertainty, too. The global S deposition is 84&amp;thinsp;Tg(S) in 2010, with 49&amp;thinsp;% in continental regions and 51&amp;thinsp;% in the ocean (19&amp;thinsp;% of which coastal). The global N deposition consists of 59&amp;thinsp;Tg(N) oxidized nitrogen (NO&lt;span class=\"inline-formula\"&gt;&lt;sub&gt;&lt;i&gt;y&lt;/i&gt;&lt;/sub&gt;)&lt;/span&gt; deposition and 64&amp;thinsp;Tg(N) reduced nitrogen (NH&lt;span class=\"inline-formula\"&gt;&lt;sub&gt;&lt;i&gt;x&lt;/i&gt;&lt;/sub&gt;)&lt;/span&gt; deposition in 2010. About 65&amp;thinsp;% of N is deposited in continental regions, and 35&amp;thinsp;% in the ocean (15&amp;thinsp;% of which coastal). The estimated outflow of pollution from land to ocean is about 4&amp;thinsp;Tg(S) for S deposition and 18&amp;thinsp;Tg(N) for N deposition. Comparing our results to the results in 2001 from HTAP I, we find that the global distributions of S and N deposition have changed considerably during the last 10 years. The global S deposition decreases 2&amp;thinsp;Tg(S) (3&amp;thinsp;%) from 2001 to 2010, with significant decreases in Europe (5&amp;thinsp;Tg(S) and 55&amp;thinsp;%), North America (3&amp;thinsp;Tg(S) and 29&amp;thinsp;%) and Russia (2&amp;thinsp;Tg(S) and 26&amp;thinsp;%), and increases in South Asia (2&amp;thinsp;Tg(S) and 42&amp;thinsp;%) and the Middle East (1&amp;thinsp;Tg(S) and 44&amp;thinsp;%). The global N deposition increases by 7&amp;thinsp;Tg(N) (6&amp;thinsp;%), mainly contributed by South Asia (5&amp;thinsp;Tg(N) and 39&amp;thinsp;%), East Asia (4&amp;thinsp;Tg(N) and 21&amp;thinsp;%) and Southeast Asia (2&amp;thinsp;Tg(N) and 21&amp;thinsp;%). The NH&lt;span class=\"inline-formula\"&gt;&lt;sub&gt;&lt;i&gt;x&lt;/i&gt;&lt;/sub&gt;&lt;/span&gt; deposition increases with no control policy on NH&lt;span class=\"inline-formula\"&gt;&lt;sub&gt;3&lt;/sub&gt;&lt;/span&gt; emission in North America. On the other hand, NO&lt;span class=\"inline-formula\"&gt;&lt;sub&gt;&lt;i&gt;y&lt;/i&gt;&lt;/sub&gt;&lt;/span&gt; deposition has started to dominate in East Asia (especially China) due to boosted NO&lt;span class=\"inline-formula\"&gt;&lt;sub&gt;&lt;i&gt;x&lt;/i&gt;&lt;/sub&gt;&lt;/span&gt; emission.&lt;/p&gt;","container-title":"Atmospheric Chemistry and Physics","DOI":"https://doi.org/10.5194/acp-18-6847-2018","ISSN":"1680-7316","issue":"9","language":"English","note":"publisher: Copernicus GmbH","page":"6847-6866","source":"acp.copernicus.org","title":"Multi-model study of HTAP II on sulfur and nitrogen deposition","volume":"18","author":[{"family":"Tan","given":"Jiani"},{"family":"Fu","given":"Joshua S."},{"family":"Dentener","given":"Frank"},{"family":"Sun","given":"Jian"},{"family":"Emmons","given":"Louisa"},{"family":"Tilmes","given":"Simone"},{"family":"Sudo","given":"Kengo"},{"family":"Flemming","given":"Johannes"},{"family":"Jonson","given":"Jan Eiof"},{"family":"Gravel","given":"Sylvie"},{"family":"Bian","given":"Huisheng"},{"family":"Davila","given":"Yanko"},{"family":"Henze","given":"Daven K."},{"family":"Lund","given":"Marianne T."},{"family":"Kucsera","given":"Tom"},{"family":"Takemura","given":"Toshihiko"},{"family":"Keating","given":"Terry"}],"issued":{"date-parts":[["2018",5,16]]}}}],"schema":"https://github.com/citation-style-language/schema/raw/master/csl-citation.json"} </w:instrText>
      </w:r>
      <w:r w:rsidRPr="008E4EFB">
        <w:fldChar w:fldCharType="separate"/>
      </w:r>
      <w:r w:rsidRPr="008E4EFB">
        <w:t>(2018)</w:t>
      </w:r>
      <w:r w:rsidRPr="008E4EFB">
        <w:fldChar w:fldCharType="end"/>
      </w:r>
      <w:r w:rsidRPr="008E4EFB">
        <w:t xml:space="preserve"> global S and N deposition budgets using a variation of the TDep methodology </w:t>
      </w:r>
      <w:r w:rsidRPr="008E4EFB">
        <w:fldChar w:fldCharType="begin"/>
      </w:r>
      <w:r w:rsidRPr="008E4EFB">
        <w:instrText xml:space="preserve"> ADDIN ZOTERO_ITEM CSL_CITATION {"citationID":"EGBdskc4","properties":{"formattedCitation":"(D. B. Schwede &amp; Lear, 2014)","plainCitation":"(D. B. Schwede &amp; Lear, 2014)","noteIndex":0},"citationItems":[{"id":1267,"uris":["http://zotero.org/users/3110659/items/3Z72C2D5"],"itemData":{"id":1267,"type":"article-journal","container-title":"Atmospheric Environment","DOI":"10.1016/j.atmosenv.2014.04.008","page":"207-220","title":"A novel hybrid approach for estimating total deposition in the United States","volume":"92","author":[{"family":"Schwede","given":"Donna B."},{"family":"Lear","given":"Gary G."}],"issued":{"date-parts":[["2014"]]}}}],"schema":"https://github.com/citation-style-language/schema/raw/master/csl-citation.json"} </w:instrText>
      </w:r>
      <w:r w:rsidRPr="008E4EFB">
        <w:fldChar w:fldCharType="separate"/>
      </w:r>
      <w:r w:rsidR="00B864BC" w:rsidRPr="008E4EFB">
        <w:t>(D. B. Schwede &amp; Lear, 2014)</w:t>
      </w:r>
      <w:r w:rsidRPr="008E4EFB">
        <w:fldChar w:fldCharType="end"/>
      </w:r>
      <w:r w:rsidRPr="008E4EFB">
        <w:t xml:space="preserve"> to merge </w:t>
      </w:r>
      <w:proofErr w:type="spellStart"/>
      <w:r w:rsidRPr="008E4EFB">
        <w:t>NH</w:t>
      </w:r>
      <w:r w:rsidRPr="008E4EFB">
        <w:rPr>
          <w:vertAlign w:val="subscript"/>
        </w:rPr>
        <w:t>x</w:t>
      </w:r>
      <w:proofErr w:type="spellEnd"/>
      <w:r w:rsidRPr="008E4EFB">
        <w:t xml:space="preserve">, </w:t>
      </w:r>
      <w:proofErr w:type="spellStart"/>
      <w:r w:rsidRPr="008E4EFB">
        <w:t>NO</w:t>
      </w:r>
      <w:r w:rsidRPr="008E4EFB">
        <w:rPr>
          <w:vertAlign w:val="subscript"/>
        </w:rPr>
        <w:t>y</w:t>
      </w:r>
      <w:proofErr w:type="spellEnd"/>
      <w:r w:rsidRPr="008E4EFB">
        <w:t xml:space="preserve">, and </w:t>
      </w:r>
      <w:proofErr w:type="spellStart"/>
      <w:r w:rsidRPr="008E4EFB">
        <w:t>SO</w:t>
      </w:r>
      <w:r w:rsidRPr="008E4EFB">
        <w:rPr>
          <w:vertAlign w:val="subscript"/>
        </w:rPr>
        <w:t>x</w:t>
      </w:r>
      <w:proofErr w:type="spellEnd"/>
      <w:r w:rsidRPr="008E4EFB">
        <w:t xml:space="preserve"> modelled gridded deposition fluxes results with deposition fluxes derived from observations of NO</w:t>
      </w:r>
      <w:r w:rsidRPr="008E4EFB">
        <w:rPr>
          <w:vertAlign w:val="subscript"/>
        </w:rPr>
        <w:t>3</w:t>
      </w:r>
      <w:r w:rsidRPr="008E4EFB">
        <w:rPr>
          <w:vertAlign w:val="superscript"/>
        </w:rPr>
        <w:t>-</w:t>
      </w:r>
      <w:r w:rsidRPr="008E4EFB">
        <w:t>, NH</w:t>
      </w:r>
      <w:r w:rsidRPr="008E4EFB">
        <w:rPr>
          <w:vertAlign w:val="subscript"/>
        </w:rPr>
        <w:t>4</w:t>
      </w:r>
      <w:r w:rsidRPr="008E4EFB">
        <w:rPr>
          <w:vertAlign w:val="superscript"/>
        </w:rPr>
        <w:t>+</w:t>
      </w:r>
      <w:r w:rsidRPr="008E4EFB">
        <w:t>, and SO</w:t>
      </w:r>
      <w:r w:rsidRPr="008E4EFB">
        <w:rPr>
          <w:vertAlign w:val="subscript"/>
        </w:rPr>
        <w:t>4</w:t>
      </w:r>
      <w:r w:rsidRPr="008E4EFB">
        <w:rPr>
          <w:vertAlign w:val="superscript"/>
        </w:rPr>
        <w:t>2-</w:t>
      </w:r>
      <w:r w:rsidRPr="008E4EFB">
        <w:t xml:space="preserve"> in precipitation and precipitation amounts The main purpose of this study is to demonstrate the viability of a straightforward but globally applicable MMF approach, while remaining consistent with previous work that provided datasets for impact assessments for various communities. This approach is an important intermediate step towards the WMO’s goal of reliable deposition products to aid decision-making. I will update </w:t>
      </w:r>
      <w:proofErr w:type="gramStart"/>
      <w:r w:rsidRPr="008E4EFB">
        <w:t>the 2010</w:t>
      </w:r>
      <w:proofErr w:type="gramEnd"/>
      <w:r w:rsidRPr="008E4EFB">
        <w:t xml:space="preserve"> </w:t>
      </w:r>
    </w:p>
    <w:p w14:paraId="2BA54837" w14:textId="77777777" w:rsidR="00936B99" w:rsidRPr="008E4EFB" w:rsidRDefault="00936B99" w:rsidP="00936B99">
      <w:pPr>
        <w:pStyle w:val="Text"/>
        <w:spacing w:before="0" w:line="360" w:lineRule="auto"/>
        <w:ind w:firstLine="0"/>
      </w:pPr>
    </w:p>
    <w:p w14:paraId="71FA1AC6" w14:textId="77777777" w:rsidR="00936B99" w:rsidRPr="008E4EFB" w:rsidRDefault="00936B99" w:rsidP="00936B99">
      <w:pPr>
        <w:pStyle w:val="Text"/>
        <w:spacing w:before="0" w:line="360" w:lineRule="auto"/>
        <w:ind w:firstLine="0"/>
      </w:pPr>
      <w:r w:rsidRPr="008E4EFB">
        <w:lastRenderedPageBreak/>
        <w:t>deposition budgets using MMF to combine the broad spatial coverage of a model with accurate in-situ measurements.</w:t>
      </w:r>
    </w:p>
    <w:p w14:paraId="67ACF9DA" w14:textId="6F56688D" w:rsidR="00936B99" w:rsidRPr="00936B99" w:rsidRDefault="00936B99" w:rsidP="00936B99">
      <w:pPr>
        <w:pStyle w:val="Style3"/>
        <w:numPr>
          <w:ilvl w:val="1"/>
          <w:numId w:val="9"/>
        </w:numPr>
        <w:spacing w:after="240" w:line="240" w:lineRule="auto"/>
        <w:rPr>
          <w:rFonts w:cs="Times New Roman"/>
          <w:szCs w:val="24"/>
        </w:rPr>
      </w:pPr>
      <w:bookmarkStart w:id="4" w:name="_Toc179917964"/>
      <w:r w:rsidRPr="008E4EFB">
        <w:rPr>
          <w:rFonts w:cs="Times New Roman"/>
          <w:iCs/>
          <w:szCs w:val="24"/>
        </w:rPr>
        <w:t>Data Availability</w:t>
      </w:r>
      <w:bookmarkEnd w:id="4"/>
    </w:p>
    <w:p w14:paraId="201D7A1B" w14:textId="2BF81792" w:rsidR="0062719E" w:rsidRDefault="0062719E" w:rsidP="00B71A9A">
      <w:pPr>
        <w:pStyle w:val="Abstract"/>
        <w:spacing w:before="0" w:line="360" w:lineRule="auto"/>
      </w:pPr>
      <w:r w:rsidRPr="008E4EFB">
        <w:rPr>
          <w:lang w:val="en-GB"/>
        </w:rPr>
        <w:t xml:space="preserve">All data are from 2010, reported monthly with sources summarized in </w:t>
      </w:r>
      <w:r w:rsidRPr="00936B99">
        <w:rPr>
          <w:b/>
          <w:bCs/>
          <w:lang w:val="en-GB"/>
        </w:rPr>
        <w:t xml:space="preserve">Table </w:t>
      </w:r>
      <w:r w:rsidR="00953B86" w:rsidRPr="00936B99">
        <w:rPr>
          <w:b/>
          <w:bCs/>
          <w:lang w:val="en-GB"/>
        </w:rPr>
        <w:t>2.</w:t>
      </w:r>
      <w:r w:rsidRPr="00936B99">
        <w:rPr>
          <w:b/>
          <w:bCs/>
          <w:lang w:val="en-GB"/>
        </w:rPr>
        <w:t>1</w:t>
      </w:r>
      <w:r w:rsidRPr="008E4EFB">
        <w:rPr>
          <w:lang w:val="en-GB"/>
        </w:rPr>
        <w:t>. W</w:t>
      </w:r>
      <w:r w:rsidRPr="008E4EFB">
        <w:t>et deposition measurements (NO</w:t>
      </w:r>
      <w:r w:rsidRPr="008E4EFB">
        <w:rPr>
          <w:vertAlign w:val="subscript"/>
        </w:rPr>
        <w:t>3</w:t>
      </w:r>
      <w:r w:rsidRPr="008E4EFB">
        <w:rPr>
          <w:vertAlign w:val="superscript"/>
        </w:rPr>
        <w:t>-</w:t>
      </w:r>
      <w:r w:rsidRPr="008E4EFB">
        <w:t>, NH</w:t>
      </w:r>
      <w:r w:rsidRPr="008E4EFB">
        <w:rPr>
          <w:vertAlign w:val="subscript"/>
        </w:rPr>
        <w:t>4</w:t>
      </w:r>
      <w:r w:rsidRPr="008E4EFB">
        <w:rPr>
          <w:vertAlign w:val="superscript"/>
        </w:rPr>
        <w:t>+</w:t>
      </w:r>
      <w:r w:rsidRPr="008E4EFB">
        <w:t>, and SO</w:t>
      </w:r>
      <w:r w:rsidRPr="008E4EFB">
        <w:rPr>
          <w:vertAlign w:val="subscript"/>
        </w:rPr>
        <w:t>4</w:t>
      </w:r>
      <w:r w:rsidRPr="008E4EFB">
        <w:rPr>
          <w:vertAlign w:val="superscript"/>
        </w:rPr>
        <w:t>2</w:t>
      </w:r>
      <w:r w:rsidR="00935F81" w:rsidRPr="008E4EFB">
        <w:rPr>
          <w:vertAlign w:val="superscript"/>
        </w:rPr>
        <w:t>-</w:t>
      </w:r>
      <w:r w:rsidRPr="008E4EFB">
        <w:t>) from the US’s National Trends Network (NTN) and Atmospheric Integrated Research Monitoring Network (</w:t>
      </w:r>
      <w:proofErr w:type="spellStart"/>
      <w:r w:rsidRPr="008E4EFB">
        <w:t>AIRMoN</w:t>
      </w:r>
      <w:proofErr w:type="spellEnd"/>
      <w:r w:rsidRPr="008E4EFB">
        <w:t xml:space="preserve">) are available through the National Atmospheric Deposition Program (NADP </w:t>
      </w:r>
      <w:r w:rsidRPr="008E4EFB">
        <w:fldChar w:fldCharType="begin"/>
      </w:r>
      <w:r w:rsidR="00652E13" w:rsidRPr="008E4EFB">
        <w:instrText xml:space="preserve"> ADDIN ZOTERO_ITEM CSL_CITATION {"citationID":"BNtPGA2n","properties":{"formattedCitation":"(NADP, 2021)","plainCitation":"(NADP, 2021)","noteIndex":0},"citationItems":[{"id":237,"uris":["http://zotero.org/users/3110659/items/S9XLDKLF"],"itemData":{"id":237,"type":"webpage","container-title":"National Atmospheric Deposition Program","language":"en-US","title":"National Atmospheric Deposition Program","URL":"https://nadp.slh.wisc.edu/","author":[{"family":"NADP","given":""}],"accessed":{"date-parts":[["2021",11,18]]},"issued":{"date-parts":[["2021"]]}}}],"schema":"https://github.com/citation-style-language/schema/raw/master/csl-citation.json"} </w:instrText>
      </w:r>
      <w:r w:rsidRPr="008E4EFB">
        <w:fldChar w:fldCharType="separate"/>
      </w:r>
      <w:r w:rsidR="00B864BC" w:rsidRPr="008E4EFB">
        <w:t>(NADP, 2021)</w:t>
      </w:r>
      <w:r w:rsidRPr="008E4EFB">
        <w:fldChar w:fldCharType="end"/>
      </w:r>
      <w:r w:rsidRPr="008E4EFB">
        <w:t xml:space="preserve">, </w:t>
      </w:r>
      <w:hyperlink r:id="rId12" w:history="1">
        <w:r w:rsidRPr="008E4EFB">
          <w:rPr>
            <w:rStyle w:val="Hyperlink"/>
            <w:color w:val="auto"/>
          </w:rPr>
          <w:t>http://nadp.slh.wisc.edu/NTN/</w:t>
        </w:r>
      </w:hyperlink>
      <w:r w:rsidRPr="008E4EFB">
        <w:t xml:space="preserve">). Measurements were filtered for completeness and quality, following Schwede and Lear </w:t>
      </w:r>
      <w:r w:rsidRPr="008E4EFB">
        <w:fldChar w:fldCharType="begin"/>
      </w:r>
      <w:r w:rsidRPr="008E4EFB">
        <w:instrText xml:space="preserve"> ADDIN ZOTERO_ITEM CSL_CITATION {"citationID":"NXnjegzF","properties":{"formattedCitation":"(Schwede and Lear, 2014)","plainCitation":"(Schwede and Lear, 2014)","dontUpdate":true,"noteIndex":0},"citationItems":[{"id":1267,"uris":["http://zotero.org/users/3110659/items/3Z72C2D5"],"itemData":{"id":1267,"type":"article-journal","container-title":"Atmospheric Environment","DOI":"10.1016/j.atmosenv.2014.04.008","page":"207-220","title":"A novel hybrid approach for estimating total deposition in the United States","volume":"92","author":[{"family":"Schwede","given":"Donna B."},{"family":"Lear","given":"Gary G."}],"issued":{"date-parts":[["2014"]]}}}],"schema":"https://github.com/citation-style-language/schema/raw/master/csl-citation.json"} </w:instrText>
      </w:r>
      <w:r w:rsidRPr="008E4EFB">
        <w:fldChar w:fldCharType="separate"/>
      </w:r>
      <w:r w:rsidRPr="008E4EFB">
        <w:t>( 2014)</w:t>
      </w:r>
      <w:r w:rsidRPr="008E4EFB">
        <w:fldChar w:fldCharType="end"/>
      </w:r>
      <w:r w:rsidRPr="008E4EFB">
        <w:t>. Sites without a full year of measurements or with quality tags indicating collection issues were not included, resulting in 247 observations in the US. Dry deposition generated values are available from the Clean Air Status and Trends Network (CASTNET</w:t>
      </w:r>
      <w:r w:rsidRPr="008E4EFB">
        <w:fldChar w:fldCharType="begin"/>
      </w:r>
      <w:r w:rsidR="00652E13" w:rsidRPr="008E4EFB">
        <w:instrText xml:space="preserve"> ADDIN ZOTERO_ITEM CSL_CITATION {"citationID":"TsseOLOV","properties":{"formattedCitation":"(US EPA, 2015a)","plainCitation":"(US EPA, 2015a)","noteIndex":0},"citationItems":[{"id":225,"uris":["http://zotero.org/users/3110659/items/2ELKM99B"],"itemData":{"id":225,"type":"webpage","abstract":"The Clean Air Status and Trends Network (CASTNET) is a national air quality monitoring network designed to provide data to assess trends in air quality, atmospheric deposition, and ecological effects due to changes in air pollutant emissions.","container-title":"The Clean Air Status and Trends Network (CASTNET)","genre":"Collections and Lists","language":"en","title":"Clean Air Status and Trends Network (CASTNET)","URL":"https://www.epa.gov/castnet","author":[{"family":"US EPA","given":""}],"accessed":{"date-parts":[["2021",11,18]]},"issued":{"date-parts":[["2015",6,18]]}}}],"schema":"https://github.com/citation-style-language/schema/raw/master/csl-citation.json"} </w:instrText>
      </w:r>
      <w:r w:rsidRPr="008E4EFB">
        <w:fldChar w:fldCharType="separate"/>
      </w:r>
      <w:r w:rsidR="00B864BC" w:rsidRPr="008E4EFB">
        <w:t>(US EPA, 2015a)</w:t>
      </w:r>
      <w:r w:rsidRPr="008E4EFB">
        <w:fldChar w:fldCharType="end"/>
      </w:r>
      <w:r w:rsidRPr="008E4EFB">
        <w:t xml:space="preserve"> at 84 locations. CASTNET uses an inferential method to calculate dry deposition fluxes as a product of surface concentration and modeled dry deposition velocity.</w:t>
      </w:r>
    </w:p>
    <w:p w14:paraId="6D8FCEFB" w14:textId="7E62EDA3" w:rsidR="00936B99" w:rsidRDefault="00936B99" w:rsidP="00B71A9A">
      <w:pPr>
        <w:pStyle w:val="Abstract"/>
        <w:spacing w:before="0" w:line="360" w:lineRule="auto"/>
      </w:pPr>
      <w:r w:rsidRPr="008E4EFB">
        <w:t>Nitrogen and sulfur wet deposition measurements and dry deposition estimates throughout Canada are recorded by the Canadian Air and Precipitation Monitoring Network (</w:t>
      </w:r>
      <w:proofErr w:type="spellStart"/>
      <w:r w:rsidRPr="008E4EFB">
        <w:t>CAPMoN</w:t>
      </w:r>
      <w:proofErr w:type="spellEnd"/>
      <w:r w:rsidRPr="008E4EFB">
        <w:t xml:space="preserve"> </w:t>
      </w:r>
      <w:r w:rsidRPr="008E4EFB">
        <w:fldChar w:fldCharType="begin"/>
      </w:r>
      <w:r w:rsidRPr="008E4EFB">
        <w:instrText xml:space="preserve"> ADDIN ZOTERO_ITEM CSL_CITATION {"citationID":"gV8I4XAK","properties":{"formattedCitation":"(Environment and Climate Change Canada, 2017)","plainCitation":"(Environment and Climate Change Canada, 2017)","noteIndex":0},"citationItems":[{"id":233,"uris":["http://zotero.org/users/3110659/items/A34R94UE"],"itemData":{"id":233,"type":"webpage","abstract":"The Canadian Air and Precipitation Monitoring Network (CAPMoN), operated by Environment Canada, is designed to study the regional patterns and trends of atmospheric pollutants such as acid rain, smog, particulate matter and mercury, in both air and precipitation. The network began operating in 1983. CAPMoN updated and replaced two older networks known as the Canadian Network for Sampling Precipitation (CANSAP) and the Air and Precipitation Network (APN). The integration of APN as part of CAPMoN extended the data record as far back as 1978.","container-title":"Canadian Air and Precipitation Monitoring Network","genre":"program descriptions","language":"eng","note":"Last Modified: 2017-11-30","title":"Canadian Air and Precipitation Monitoring Network","URL":"https://www.canada.ca/en/environment-climate-change/services/air-pollution/monitoring-networks-data/canadian-air-precipitation.html","author":[{"family":"Environment and Climate Change Canada","given":""}],"accessed":{"date-parts":[["2021",11,18]]},"issued":{"date-parts":[["2017",11,30]]}}}],"schema":"https://github.com/citation-style-language/schema/raw/master/csl-citation.json"} </w:instrText>
      </w:r>
      <w:r w:rsidRPr="008E4EFB">
        <w:fldChar w:fldCharType="separate"/>
      </w:r>
      <w:r w:rsidRPr="008E4EFB">
        <w:t>(Environment and Climate Change Canada, 2017)</w:t>
      </w:r>
      <w:r w:rsidRPr="008E4EFB">
        <w:fldChar w:fldCharType="end"/>
      </w:r>
      <w:r w:rsidRPr="008E4EFB">
        <w:t xml:space="preserve"> and are available through the National Atmospheric Chemistry (</w:t>
      </w:r>
      <w:proofErr w:type="spellStart"/>
      <w:r w:rsidRPr="008E4EFB">
        <w:t>NAtChem</w:t>
      </w:r>
      <w:proofErr w:type="spellEnd"/>
      <w:r w:rsidRPr="008E4EFB">
        <w:t>) database (</w:t>
      </w:r>
      <w:hyperlink r:id="rId13" w:history="1">
        <w:r w:rsidRPr="008E4EFB">
          <w:rPr>
            <w:rStyle w:val="Hyperlink"/>
            <w:color w:val="auto"/>
          </w:rPr>
          <w:t>https://donnees.ec.gc.ca/data/air/monitor/</w:t>
        </w:r>
      </w:hyperlink>
      <w:r w:rsidRPr="008E4EFB">
        <w:t xml:space="preserve">). </w:t>
      </w:r>
    </w:p>
    <w:p w14:paraId="7C90C056" w14:textId="77777777" w:rsidR="00936B99" w:rsidRDefault="00936B99" w:rsidP="00B71A9A">
      <w:pPr>
        <w:pStyle w:val="Abstract"/>
        <w:spacing w:before="0" w:line="360" w:lineRule="auto"/>
      </w:pPr>
    </w:p>
    <w:p w14:paraId="2888C5B2" w14:textId="77777777" w:rsidR="00936B99" w:rsidRPr="008E4EFB" w:rsidRDefault="00936B99" w:rsidP="00936B99">
      <w:pPr>
        <w:pStyle w:val="Caption"/>
        <w:rPr>
          <w:rFonts w:ascii="Times New Roman" w:hAnsi="Times New Roman" w:cs="Times New Roman"/>
          <w:i w:val="0"/>
          <w:iCs w:val="0"/>
          <w:color w:val="auto"/>
          <w:sz w:val="24"/>
          <w:szCs w:val="24"/>
          <w:lang w:val="en-GB"/>
        </w:rPr>
      </w:pPr>
      <w:bookmarkStart w:id="5" w:name="_Toc184062955"/>
      <w:r w:rsidRPr="008E4EFB">
        <w:rPr>
          <w:rFonts w:ascii="Times New Roman" w:hAnsi="Times New Roman" w:cs="Times New Roman"/>
          <w:i w:val="0"/>
          <w:iCs w:val="0"/>
          <w:color w:val="auto"/>
          <w:sz w:val="24"/>
          <w:szCs w:val="24"/>
        </w:rPr>
        <w:t xml:space="preserve">Table </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STYLEREF 1 \s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2</w:t>
      </w:r>
      <w:r>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Table \* ARABIC \s 1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Sources of deposition observations</w:t>
      </w:r>
      <w:bookmarkEnd w:id="5"/>
    </w:p>
    <w:tbl>
      <w:tblPr>
        <w:tblStyle w:val="ListTable2"/>
        <w:tblW w:w="0" w:type="auto"/>
        <w:tblLook w:val="04A0" w:firstRow="1" w:lastRow="0" w:firstColumn="1" w:lastColumn="0" w:noHBand="0" w:noVBand="1"/>
      </w:tblPr>
      <w:tblGrid>
        <w:gridCol w:w="1980"/>
        <w:gridCol w:w="1203"/>
        <w:gridCol w:w="2261"/>
        <w:gridCol w:w="1497"/>
        <w:gridCol w:w="2098"/>
        <w:gridCol w:w="321"/>
      </w:tblGrid>
      <w:tr w:rsidR="00936B99" w:rsidRPr="008E4EFB" w14:paraId="564C2650" w14:textId="77777777" w:rsidTr="00191F85">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80" w:type="dxa"/>
            <w:noWrap/>
            <w:hideMark/>
          </w:tcPr>
          <w:p w14:paraId="221518B4" w14:textId="77777777" w:rsidR="00936B99" w:rsidRPr="008E4EFB" w:rsidRDefault="00936B99" w:rsidP="00191F85">
            <w:pPr>
              <w:pStyle w:val="Abstract"/>
              <w:rPr>
                <w:b w:val="0"/>
                <w:bCs w:val="0"/>
              </w:rPr>
            </w:pPr>
            <w:r w:rsidRPr="008E4EFB">
              <w:rPr>
                <w:b w:val="0"/>
                <w:bCs w:val="0"/>
              </w:rPr>
              <w:t>Name</w:t>
            </w:r>
          </w:p>
        </w:tc>
        <w:tc>
          <w:tcPr>
            <w:tcW w:w="1203" w:type="dxa"/>
            <w:noWrap/>
            <w:hideMark/>
          </w:tcPr>
          <w:p w14:paraId="1E617F78" w14:textId="77777777" w:rsidR="00936B99" w:rsidRPr="008E4EFB" w:rsidRDefault="00936B99" w:rsidP="00191F85">
            <w:pPr>
              <w:pStyle w:val="Abstract"/>
              <w:cnfStyle w:val="100000000000" w:firstRow="1" w:lastRow="0" w:firstColumn="0" w:lastColumn="0" w:oddVBand="0" w:evenVBand="0" w:oddHBand="0" w:evenHBand="0" w:firstRowFirstColumn="0" w:firstRowLastColumn="0" w:lastRowFirstColumn="0" w:lastRowLastColumn="0"/>
              <w:rPr>
                <w:b w:val="0"/>
                <w:bCs w:val="0"/>
              </w:rPr>
            </w:pPr>
            <w:r w:rsidRPr="008E4EFB">
              <w:rPr>
                <w:b w:val="0"/>
                <w:bCs w:val="0"/>
              </w:rPr>
              <w:t>Source</w:t>
            </w:r>
          </w:p>
        </w:tc>
        <w:tc>
          <w:tcPr>
            <w:tcW w:w="2261" w:type="dxa"/>
            <w:noWrap/>
            <w:hideMark/>
          </w:tcPr>
          <w:p w14:paraId="1D63DC69" w14:textId="77777777" w:rsidR="00936B99" w:rsidRPr="008E4EFB" w:rsidRDefault="00936B99" w:rsidP="00191F85">
            <w:pPr>
              <w:pStyle w:val="Abstract"/>
              <w:cnfStyle w:val="100000000000" w:firstRow="1" w:lastRow="0" w:firstColumn="0" w:lastColumn="0" w:oddVBand="0" w:evenVBand="0" w:oddHBand="0" w:evenHBand="0" w:firstRowFirstColumn="0" w:firstRowLastColumn="0" w:lastRowFirstColumn="0" w:lastRowLastColumn="0"/>
              <w:rPr>
                <w:b w:val="0"/>
                <w:bCs w:val="0"/>
              </w:rPr>
            </w:pPr>
            <w:r w:rsidRPr="008E4EFB">
              <w:rPr>
                <w:b w:val="0"/>
                <w:bCs w:val="0"/>
              </w:rPr>
              <w:t>Number of Observation Sites</w:t>
            </w:r>
          </w:p>
        </w:tc>
        <w:tc>
          <w:tcPr>
            <w:tcW w:w="1497" w:type="dxa"/>
            <w:noWrap/>
            <w:hideMark/>
          </w:tcPr>
          <w:p w14:paraId="1B0B7C5E" w14:textId="77777777" w:rsidR="00936B99" w:rsidRPr="008E4EFB" w:rsidRDefault="00936B99" w:rsidP="00191F85">
            <w:pPr>
              <w:pStyle w:val="Abstract"/>
              <w:cnfStyle w:val="100000000000" w:firstRow="1" w:lastRow="0" w:firstColumn="0" w:lastColumn="0" w:oddVBand="0" w:evenVBand="0" w:oddHBand="0" w:evenHBand="0" w:firstRowFirstColumn="0" w:firstRowLastColumn="0" w:lastRowFirstColumn="0" w:lastRowLastColumn="0"/>
              <w:rPr>
                <w:b w:val="0"/>
                <w:bCs w:val="0"/>
              </w:rPr>
            </w:pPr>
            <w:r w:rsidRPr="008E4EFB">
              <w:rPr>
                <w:b w:val="0"/>
                <w:bCs w:val="0"/>
              </w:rPr>
              <w:t>Region</w:t>
            </w:r>
          </w:p>
        </w:tc>
        <w:tc>
          <w:tcPr>
            <w:tcW w:w="2098" w:type="dxa"/>
            <w:noWrap/>
            <w:hideMark/>
          </w:tcPr>
          <w:p w14:paraId="22AEDBEC" w14:textId="77777777" w:rsidR="00936B99" w:rsidRPr="008E4EFB" w:rsidRDefault="00936B99" w:rsidP="00191F85">
            <w:pPr>
              <w:pStyle w:val="Abstract"/>
              <w:cnfStyle w:val="100000000000" w:firstRow="1" w:lastRow="0" w:firstColumn="0" w:lastColumn="0" w:oddVBand="0" w:evenVBand="0" w:oddHBand="0" w:evenHBand="0" w:firstRowFirstColumn="0" w:firstRowLastColumn="0" w:lastRowFirstColumn="0" w:lastRowLastColumn="0"/>
              <w:rPr>
                <w:b w:val="0"/>
                <w:bCs w:val="0"/>
              </w:rPr>
            </w:pPr>
            <w:r w:rsidRPr="008E4EFB">
              <w:rPr>
                <w:b w:val="0"/>
                <w:bCs w:val="0"/>
              </w:rPr>
              <w:t>Value</w:t>
            </w:r>
          </w:p>
        </w:tc>
        <w:tc>
          <w:tcPr>
            <w:tcW w:w="321" w:type="dxa"/>
          </w:tcPr>
          <w:p w14:paraId="2937A1EF" w14:textId="77777777" w:rsidR="00936B99" w:rsidRPr="008E4EFB" w:rsidRDefault="00936B99" w:rsidP="00191F85">
            <w:pPr>
              <w:pStyle w:val="Abstract"/>
              <w:cnfStyle w:val="100000000000" w:firstRow="1" w:lastRow="0" w:firstColumn="0" w:lastColumn="0" w:oddVBand="0" w:evenVBand="0" w:oddHBand="0" w:evenHBand="0" w:firstRowFirstColumn="0" w:firstRowLastColumn="0" w:lastRowFirstColumn="0" w:lastRowLastColumn="0"/>
              <w:rPr>
                <w:b w:val="0"/>
                <w:bCs w:val="0"/>
              </w:rPr>
            </w:pPr>
          </w:p>
        </w:tc>
      </w:tr>
      <w:tr w:rsidR="00936B99" w:rsidRPr="008E4EFB" w14:paraId="2B34A5E7" w14:textId="77777777" w:rsidTr="00191F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80" w:type="dxa"/>
            <w:noWrap/>
            <w:hideMark/>
          </w:tcPr>
          <w:p w14:paraId="4266B8C2" w14:textId="77777777" w:rsidR="00936B99" w:rsidRPr="008E4EFB" w:rsidRDefault="00936B99" w:rsidP="00191F85">
            <w:pPr>
              <w:pStyle w:val="Abstract"/>
              <w:rPr>
                <w:b w:val="0"/>
                <w:bCs w:val="0"/>
              </w:rPr>
            </w:pPr>
            <w:r w:rsidRPr="008E4EFB">
              <w:rPr>
                <w:b w:val="0"/>
                <w:bCs w:val="0"/>
              </w:rPr>
              <w:t xml:space="preserve">NTN, </w:t>
            </w:r>
            <w:proofErr w:type="spellStart"/>
            <w:r w:rsidRPr="008E4EFB">
              <w:rPr>
                <w:b w:val="0"/>
                <w:bCs w:val="0"/>
              </w:rPr>
              <w:t>AIRMoN</w:t>
            </w:r>
            <w:proofErr w:type="spellEnd"/>
          </w:p>
        </w:tc>
        <w:tc>
          <w:tcPr>
            <w:tcW w:w="1203" w:type="dxa"/>
            <w:noWrap/>
            <w:hideMark/>
          </w:tcPr>
          <w:p w14:paraId="79CAC151"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NADP</w:t>
            </w:r>
          </w:p>
        </w:tc>
        <w:tc>
          <w:tcPr>
            <w:tcW w:w="2261" w:type="dxa"/>
            <w:noWrap/>
            <w:hideMark/>
          </w:tcPr>
          <w:p w14:paraId="72672E45"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247</w:t>
            </w:r>
          </w:p>
        </w:tc>
        <w:tc>
          <w:tcPr>
            <w:tcW w:w="1497" w:type="dxa"/>
            <w:noWrap/>
            <w:hideMark/>
          </w:tcPr>
          <w:p w14:paraId="7B66F1FE"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USA</w:t>
            </w:r>
          </w:p>
        </w:tc>
        <w:tc>
          <w:tcPr>
            <w:tcW w:w="2098" w:type="dxa"/>
            <w:noWrap/>
            <w:hideMark/>
          </w:tcPr>
          <w:p w14:paraId="375E90E3"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wet deposition</w:t>
            </w:r>
          </w:p>
        </w:tc>
        <w:tc>
          <w:tcPr>
            <w:tcW w:w="321" w:type="dxa"/>
          </w:tcPr>
          <w:p w14:paraId="41E938CB"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p>
        </w:tc>
      </w:tr>
      <w:tr w:rsidR="00936B99" w:rsidRPr="008E4EFB" w14:paraId="02006F20" w14:textId="77777777" w:rsidTr="00191F85">
        <w:trPr>
          <w:trHeight w:val="285"/>
        </w:trPr>
        <w:tc>
          <w:tcPr>
            <w:cnfStyle w:val="001000000000" w:firstRow="0" w:lastRow="0" w:firstColumn="1" w:lastColumn="0" w:oddVBand="0" w:evenVBand="0" w:oddHBand="0" w:evenHBand="0" w:firstRowFirstColumn="0" w:firstRowLastColumn="0" w:lastRowFirstColumn="0" w:lastRowLastColumn="0"/>
            <w:tcW w:w="1980" w:type="dxa"/>
            <w:noWrap/>
            <w:hideMark/>
          </w:tcPr>
          <w:p w14:paraId="1DCD66D0" w14:textId="77777777" w:rsidR="00936B99" w:rsidRPr="008E4EFB" w:rsidRDefault="00936B99" w:rsidP="00191F85">
            <w:pPr>
              <w:pStyle w:val="Abstract"/>
              <w:rPr>
                <w:b w:val="0"/>
                <w:bCs w:val="0"/>
              </w:rPr>
            </w:pPr>
            <w:r w:rsidRPr="008E4EFB">
              <w:rPr>
                <w:b w:val="0"/>
                <w:bCs w:val="0"/>
              </w:rPr>
              <w:t>CASTNET</w:t>
            </w:r>
          </w:p>
        </w:tc>
        <w:tc>
          <w:tcPr>
            <w:tcW w:w="1203" w:type="dxa"/>
            <w:noWrap/>
            <w:hideMark/>
          </w:tcPr>
          <w:p w14:paraId="6BEDEF82"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NADP</w:t>
            </w:r>
          </w:p>
        </w:tc>
        <w:tc>
          <w:tcPr>
            <w:tcW w:w="2261" w:type="dxa"/>
            <w:noWrap/>
            <w:hideMark/>
          </w:tcPr>
          <w:p w14:paraId="220A460A"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84</w:t>
            </w:r>
          </w:p>
        </w:tc>
        <w:tc>
          <w:tcPr>
            <w:tcW w:w="1497" w:type="dxa"/>
            <w:noWrap/>
            <w:hideMark/>
          </w:tcPr>
          <w:p w14:paraId="7F2DB230"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USA</w:t>
            </w:r>
          </w:p>
        </w:tc>
        <w:tc>
          <w:tcPr>
            <w:tcW w:w="2098" w:type="dxa"/>
            <w:noWrap/>
            <w:hideMark/>
          </w:tcPr>
          <w:p w14:paraId="1719E35C"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dry deposition</w:t>
            </w:r>
          </w:p>
        </w:tc>
        <w:tc>
          <w:tcPr>
            <w:tcW w:w="321" w:type="dxa"/>
          </w:tcPr>
          <w:p w14:paraId="57340714"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p>
        </w:tc>
      </w:tr>
      <w:tr w:rsidR="00936B99" w:rsidRPr="008E4EFB" w14:paraId="103F4A9A" w14:textId="77777777" w:rsidTr="00191F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80" w:type="dxa"/>
            <w:noWrap/>
            <w:hideMark/>
          </w:tcPr>
          <w:p w14:paraId="65B3BE78" w14:textId="77777777" w:rsidR="00936B99" w:rsidRPr="008E4EFB" w:rsidRDefault="00936B99" w:rsidP="00191F85">
            <w:pPr>
              <w:pStyle w:val="Abstract"/>
              <w:rPr>
                <w:b w:val="0"/>
                <w:bCs w:val="0"/>
              </w:rPr>
            </w:pPr>
            <w:proofErr w:type="spellStart"/>
            <w:r w:rsidRPr="008E4EFB">
              <w:rPr>
                <w:b w:val="0"/>
                <w:bCs w:val="0"/>
              </w:rPr>
              <w:t>CAPMoN</w:t>
            </w:r>
            <w:proofErr w:type="spellEnd"/>
          </w:p>
        </w:tc>
        <w:tc>
          <w:tcPr>
            <w:tcW w:w="1203" w:type="dxa"/>
            <w:noWrap/>
            <w:hideMark/>
          </w:tcPr>
          <w:p w14:paraId="3B9EE301"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proofErr w:type="spellStart"/>
            <w:r w:rsidRPr="008E4EFB">
              <w:t>NAtChem</w:t>
            </w:r>
            <w:proofErr w:type="spellEnd"/>
          </w:p>
        </w:tc>
        <w:tc>
          <w:tcPr>
            <w:tcW w:w="2261" w:type="dxa"/>
            <w:noWrap/>
            <w:hideMark/>
          </w:tcPr>
          <w:p w14:paraId="59776CF0"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27</w:t>
            </w:r>
          </w:p>
        </w:tc>
        <w:tc>
          <w:tcPr>
            <w:tcW w:w="1497" w:type="dxa"/>
            <w:noWrap/>
            <w:hideMark/>
          </w:tcPr>
          <w:p w14:paraId="559B0947"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Canada</w:t>
            </w:r>
          </w:p>
        </w:tc>
        <w:tc>
          <w:tcPr>
            <w:tcW w:w="2098" w:type="dxa"/>
            <w:noWrap/>
            <w:hideMark/>
          </w:tcPr>
          <w:p w14:paraId="37BFDDAF"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wet and dry deposition</w:t>
            </w:r>
          </w:p>
        </w:tc>
        <w:tc>
          <w:tcPr>
            <w:tcW w:w="321" w:type="dxa"/>
          </w:tcPr>
          <w:p w14:paraId="56A843D6"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p>
        </w:tc>
      </w:tr>
      <w:tr w:rsidR="00936B99" w:rsidRPr="008E4EFB" w14:paraId="3F06359B" w14:textId="77777777" w:rsidTr="00191F85">
        <w:trPr>
          <w:trHeight w:val="285"/>
        </w:trPr>
        <w:tc>
          <w:tcPr>
            <w:cnfStyle w:val="001000000000" w:firstRow="0" w:lastRow="0" w:firstColumn="1" w:lastColumn="0" w:oddVBand="0" w:evenVBand="0" w:oddHBand="0" w:evenHBand="0" w:firstRowFirstColumn="0" w:firstRowLastColumn="0" w:lastRowFirstColumn="0" w:lastRowLastColumn="0"/>
            <w:tcW w:w="1980" w:type="dxa"/>
            <w:noWrap/>
            <w:hideMark/>
          </w:tcPr>
          <w:p w14:paraId="671DB1F6" w14:textId="77777777" w:rsidR="00936B99" w:rsidRPr="008E4EFB" w:rsidRDefault="00936B99" w:rsidP="00191F85">
            <w:pPr>
              <w:pStyle w:val="Abstract"/>
              <w:rPr>
                <w:b w:val="0"/>
                <w:bCs w:val="0"/>
              </w:rPr>
            </w:pPr>
            <w:r w:rsidRPr="008E4EFB">
              <w:rPr>
                <w:b w:val="0"/>
                <w:bCs w:val="0"/>
              </w:rPr>
              <w:t>EMEP</w:t>
            </w:r>
          </w:p>
        </w:tc>
        <w:tc>
          <w:tcPr>
            <w:tcW w:w="1203" w:type="dxa"/>
            <w:noWrap/>
            <w:hideMark/>
          </w:tcPr>
          <w:p w14:paraId="79411729"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EMEP</w:t>
            </w:r>
          </w:p>
        </w:tc>
        <w:tc>
          <w:tcPr>
            <w:tcW w:w="2261" w:type="dxa"/>
            <w:noWrap/>
            <w:hideMark/>
          </w:tcPr>
          <w:p w14:paraId="51227635"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86</w:t>
            </w:r>
          </w:p>
        </w:tc>
        <w:tc>
          <w:tcPr>
            <w:tcW w:w="1497" w:type="dxa"/>
            <w:noWrap/>
            <w:hideMark/>
          </w:tcPr>
          <w:p w14:paraId="321DA1E7"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Europe</w:t>
            </w:r>
          </w:p>
        </w:tc>
        <w:tc>
          <w:tcPr>
            <w:tcW w:w="2098" w:type="dxa"/>
            <w:noWrap/>
            <w:hideMark/>
          </w:tcPr>
          <w:p w14:paraId="35D8DBCF"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wet deposition</w:t>
            </w:r>
          </w:p>
        </w:tc>
        <w:tc>
          <w:tcPr>
            <w:tcW w:w="321" w:type="dxa"/>
          </w:tcPr>
          <w:p w14:paraId="5B755336"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p>
        </w:tc>
      </w:tr>
      <w:tr w:rsidR="00936B99" w:rsidRPr="008E4EFB" w14:paraId="6C2275EB" w14:textId="77777777" w:rsidTr="00191F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80" w:type="dxa"/>
            <w:noWrap/>
            <w:hideMark/>
          </w:tcPr>
          <w:p w14:paraId="6C433FDE" w14:textId="77777777" w:rsidR="00936B99" w:rsidRPr="008E4EFB" w:rsidRDefault="00936B99" w:rsidP="00191F85">
            <w:pPr>
              <w:pStyle w:val="Abstract"/>
              <w:rPr>
                <w:b w:val="0"/>
                <w:bCs w:val="0"/>
              </w:rPr>
            </w:pPr>
            <w:r w:rsidRPr="008E4EFB">
              <w:rPr>
                <w:b w:val="0"/>
                <w:bCs w:val="0"/>
              </w:rPr>
              <w:t>China Scientific Study</w:t>
            </w:r>
          </w:p>
        </w:tc>
        <w:tc>
          <w:tcPr>
            <w:tcW w:w="1203" w:type="dxa"/>
            <w:noWrap/>
            <w:hideMark/>
          </w:tcPr>
          <w:p w14:paraId="6AF60934"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Li et al. 2019</w:t>
            </w:r>
          </w:p>
        </w:tc>
        <w:tc>
          <w:tcPr>
            <w:tcW w:w="2261" w:type="dxa"/>
            <w:noWrap/>
            <w:hideMark/>
          </w:tcPr>
          <w:p w14:paraId="7BCBFCE8"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407</w:t>
            </w:r>
          </w:p>
        </w:tc>
        <w:tc>
          <w:tcPr>
            <w:tcW w:w="1497" w:type="dxa"/>
            <w:noWrap/>
            <w:hideMark/>
          </w:tcPr>
          <w:p w14:paraId="5BB25B92"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China</w:t>
            </w:r>
          </w:p>
        </w:tc>
        <w:tc>
          <w:tcPr>
            <w:tcW w:w="2098" w:type="dxa"/>
            <w:noWrap/>
            <w:hideMark/>
          </w:tcPr>
          <w:p w14:paraId="646FE3A7"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wet deposition</w:t>
            </w:r>
          </w:p>
        </w:tc>
        <w:tc>
          <w:tcPr>
            <w:tcW w:w="321" w:type="dxa"/>
          </w:tcPr>
          <w:p w14:paraId="337D61EC"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p>
        </w:tc>
      </w:tr>
      <w:tr w:rsidR="00936B99" w:rsidRPr="008E4EFB" w14:paraId="6EF3321A" w14:textId="77777777" w:rsidTr="00191F85">
        <w:trPr>
          <w:trHeight w:val="285"/>
        </w:trPr>
        <w:tc>
          <w:tcPr>
            <w:cnfStyle w:val="001000000000" w:firstRow="0" w:lastRow="0" w:firstColumn="1" w:lastColumn="0" w:oddVBand="0" w:evenVBand="0" w:oddHBand="0" w:evenHBand="0" w:firstRowFirstColumn="0" w:firstRowLastColumn="0" w:lastRowFirstColumn="0" w:lastRowLastColumn="0"/>
            <w:tcW w:w="1980" w:type="dxa"/>
            <w:noWrap/>
            <w:hideMark/>
          </w:tcPr>
          <w:p w14:paraId="0112BAC0" w14:textId="77777777" w:rsidR="00936B99" w:rsidRPr="008E4EFB" w:rsidRDefault="00936B99" w:rsidP="00191F85">
            <w:pPr>
              <w:pStyle w:val="Abstract"/>
              <w:rPr>
                <w:b w:val="0"/>
                <w:bCs w:val="0"/>
              </w:rPr>
            </w:pPr>
            <w:r w:rsidRPr="008E4EFB">
              <w:rPr>
                <w:b w:val="0"/>
                <w:bCs w:val="0"/>
              </w:rPr>
              <w:t>EANET</w:t>
            </w:r>
          </w:p>
        </w:tc>
        <w:tc>
          <w:tcPr>
            <w:tcW w:w="1203" w:type="dxa"/>
            <w:noWrap/>
            <w:hideMark/>
          </w:tcPr>
          <w:p w14:paraId="46930D53"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EANET</w:t>
            </w:r>
          </w:p>
        </w:tc>
        <w:tc>
          <w:tcPr>
            <w:tcW w:w="2261" w:type="dxa"/>
            <w:noWrap/>
            <w:hideMark/>
          </w:tcPr>
          <w:p w14:paraId="1272FE20"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47</w:t>
            </w:r>
          </w:p>
        </w:tc>
        <w:tc>
          <w:tcPr>
            <w:tcW w:w="1497" w:type="dxa"/>
            <w:noWrap/>
            <w:hideMark/>
          </w:tcPr>
          <w:p w14:paraId="608BCFD0"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East Asia</w:t>
            </w:r>
          </w:p>
        </w:tc>
        <w:tc>
          <w:tcPr>
            <w:tcW w:w="2098" w:type="dxa"/>
            <w:noWrap/>
            <w:hideMark/>
          </w:tcPr>
          <w:p w14:paraId="6EB0559F"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r w:rsidRPr="008E4EFB">
              <w:t>wet and dry deposition</w:t>
            </w:r>
          </w:p>
        </w:tc>
        <w:tc>
          <w:tcPr>
            <w:tcW w:w="321" w:type="dxa"/>
          </w:tcPr>
          <w:p w14:paraId="7DD1A6A6" w14:textId="77777777" w:rsidR="00936B99" w:rsidRPr="008E4EFB" w:rsidRDefault="00936B99" w:rsidP="00191F85">
            <w:pPr>
              <w:pStyle w:val="Abstract"/>
              <w:cnfStyle w:val="000000000000" w:firstRow="0" w:lastRow="0" w:firstColumn="0" w:lastColumn="0" w:oddVBand="0" w:evenVBand="0" w:oddHBand="0" w:evenHBand="0" w:firstRowFirstColumn="0" w:firstRowLastColumn="0" w:lastRowFirstColumn="0" w:lastRowLastColumn="0"/>
            </w:pPr>
          </w:p>
        </w:tc>
      </w:tr>
      <w:tr w:rsidR="00936B99" w:rsidRPr="008E4EFB" w14:paraId="5D2F998F" w14:textId="77777777" w:rsidTr="00191F85">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980" w:type="dxa"/>
            <w:noWrap/>
            <w:hideMark/>
          </w:tcPr>
          <w:p w14:paraId="02D5FCC5" w14:textId="77777777" w:rsidR="00936B99" w:rsidRPr="008E4EFB" w:rsidRDefault="00936B99" w:rsidP="00191F85">
            <w:pPr>
              <w:pStyle w:val="Abstract"/>
              <w:rPr>
                <w:b w:val="0"/>
                <w:bCs w:val="0"/>
              </w:rPr>
            </w:pPr>
            <w:r w:rsidRPr="008E4EFB">
              <w:rPr>
                <w:b w:val="0"/>
                <w:bCs w:val="0"/>
              </w:rPr>
              <w:t>IDAF</w:t>
            </w:r>
          </w:p>
        </w:tc>
        <w:tc>
          <w:tcPr>
            <w:tcW w:w="1203" w:type="dxa"/>
            <w:noWrap/>
            <w:hideMark/>
          </w:tcPr>
          <w:p w14:paraId="664EC5A4"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INDAAF</w:t>
            </w:r>
          </w:p>
        </w:tc>
        <w:tc>
          <w:tcPr>
            <w:tcW w:w="2261" w:type="dxa"/>
            <w:noWrap/>
            <w:hideMark/>
          </w:tcPr>
          <w:p w14:paraId="770107A2"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1</w:t>
            </w:r>
          </w:p>
        </w:tc>
        <w:tc>
          <w:tcPr>
            <w:tcW w:w="1497" w:type="dxa"/>
            <w:noWrap/>
            <w:hideMark/>
          </w:tcPr>
          <w:p w14:paraId="7D8EC7A3"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Niger</w:t>
            </w:r>
          </w:p>
        </w:tc>
        <w:tc>
          <w:tcPr>
            <w:tcW w:w="2098" w:type="dxa"/>
            <w:noWrap/>
            <w:hideMark/>
          </w:tcPr>
          <w:p w14:paraId="698DA6BB"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r w:rsidRPr="008E4EFB">
              <w:t>wet deposition</w:t>
            </w:r>
          </w:p>
        </w:tc>
        <w:tc>
          <w:tcPr>
            <w:tcW w:w="321" w:type="dxa"/>
          </w:tcPr>
          <w:p w14:paraId="7A425123" w14:textId="77777777" w:rsidR="00936B99" w:rsidRPr="008E4EFB" w:rsidRDefault="00936B99" w:rsidP="00191F85">
            <w:pPr>
              <w:pStyle w:val="Abstract"/>
              <w:cnfStyle w:val="000000100000" w:firstRow="0" w:lastRow="0" w:firstColumn="0" w:lastColumn="0" w:oddVBand="0" w:evenVBand="0" w:oddHBand="1" w:evenHBand="0" w:firstRowFirstColumn="0" w:firstRowLastColumn="0" w:lastRowFirstColumn="0" w:lastRowLastColumn="0"/>
            </w:pPr>
          </w:p>
        </w:tc>
      </w:tr>
    </w:tbl>
    <w:p w14:paraId="08578C8F" w14:textId="77777777" w:rsidR="00936B99" w:rsidRDefault="00936B99" w:rsidP="00936B99">
      <w:pPr>
        <w:pStyle w:val="Abstract"/>
        <w:spacing w:before="0" w:line="360" w:lineRule="auto"/>
      </w:pPr>
      <w:r w:rsidRPr="008E4EFB">
        <w:lastRenderedPageBreak/>
        <w:t xml:space="preserve">Dry deposition estimates from </w:t>
      </w:r>
      <w:proofErr w:type="spellStart"/>
      <w:r w:rsidRPr="008E4EFB">
        <w:t>CAPMoN</w:t>
      </w:r>
      <w:proofErr w:type="spellEnd"/>
      <w:r w:rsidRPr="008E4EFB">
        <w:t xml:space="preserve"> are calculated by multiplying atmospheric concentration and deposition velocity. There were 27 sites with a full year of quality checked data for 2010.</w:t>
      </w:r>
    </w:p>
    <w:p w14:paraId="378413D1" w14:textId="4BE1F6F0" w:rsidR="00936B99" w:rsidRDefault="00936B99" w:rsidP="00B71A9A">
      <w:pPr>
        <w:pStyle w:val="Abstract"/>
        <w:spacing w:before="0" w:line="360" w:lineRule="auto"/>
      </w:pPr>
      <w:r w:rsidRPr="008E4EFB">
        <w:t xml:space="preserve">The European Monitoring and Evaluation </w:t>
      </w:r>
      <w:proofErr w:type="spellStart"/>
      <w:r w:rsidRPr="008E4EFB">
        <w:t>Programme</w:t>
      </w:r>
      <w:proofErr w:type="spellEnd"/>
      <w:r w:rsidRPr="008E4EFB">
        <w:t xml:space="preserve"> (EMEP </w:t>
      </w:r>
      <w:r w:rsidRPr="008E4EFB">
        <w:fldChar w:fldCharType="begin"/>
      </w:r>
      <w:r w:rsidRPr="008E4EFB">
        <w:instrText xml:space="preserve"> ADDIN ZOTERO_ITEM CSL_CITATION {"citationID":"ui1bcPDS","properties":{"formattedCitation":"(EMEP, 2021; T\\uc0\\u248{}rseth et al., 2012)","plainCitation":"(EMEP, 2021; Tørseth et al., 2012)","noteIndex":0},"citationItems":[{"id":231,"uris":["http://zotero.org/users/3110659/items/8QKD7DPI"],"itemData":{"id":231,"type":"webpage","container-title":"EMEP Home","language":"English","title":"European Monitoring and Evaluation Prgrarmme (EMEP)","URL":"https://www.emep.int/","author":[{"family":"EMEP","given":""}],"accessed":{"date-parts":[["2021",11,18]]},"issued":{"date-parts":[["2021"]]}}},{"id":2044,"uris":["http://zotero.org/users/3110659/items/WHJ7QPWY"],"itemData":{"id":2044,"type":"article-journal","abstract":"&lt;p&gt;&lt;strong class=\"journal-contentHeaderColor\"&gt;Abstract.&lt;/strong&gt; European scale harmonized monitoring of atmospheric composition was initiated in the early 1970s, and the activity has generated a comprehensive dataset (available at &lt;a href=\"http://www.emep.int\"target=\"_blank\"&gt;http://www.emep.int&lt;/a&gt;) which allows the evaluation of regional and spatial trends of air pollution during a period of nearly 40 yr. Results from the monitoring made within EMEP, the European Monitoring and Evaluation Programme, show large reductions in ambient concentrations and deposition of sulphur species during the last decades. Reductions are in the order of 70–90% since the year 1980, and correspond well with reported emission changes. Also reduction in emissions of nitrogen oxides (NO&lt;sub&gt;x&lt;/sub&gt;) are reflected in the measurements, with an average decrease of nitrogen dioxide and nitrate in precipitation by about 23% and 25% respectively since 1990. Only minor reductions are however seen since the late 1990s. The concentrations of total nitrate in air have decreased on average only by 8% since 1990, and fewer sites show a significant trend. A majority of the EMEP sites show a decreasing trend in reduced nitrogen both in air and precipitation on the order of 25% since 1990. Deposition of base cations has decreased during the past 30 yr, and the pH in precipitation has increased across Europe. Large inter annual variations in the particulate matter mass concentrations reflect meteorological variability, but still there is a relatively clear overall decrease at several sites during the last decade. With few observations going back to the 1990s, the observed chemical composition is applied to document a change in particulate matter (PM) mass even since 1980. These data indicate an overall reduction of about 5 μg m&lt;sup&gt;−3&lt;/sup&gt; from sulphate alone. Despite the significant reductions in sulphur emissions, sulphate still remains one of the single most important compounds contributing to regional scale aerosol mass concentration. Long-term ozone trends at EMEP sites show a mixed pattern. The year-to-year variability in ozone due to varying meteorological conditions is substantial, making it hard to separate the trends caused by emission change from other effects. For the Nordic countries the data indicate a reduced occurrence of very low concentrations. The most pronounced change in the frequency distribution is seen at sites in the UK and the Netherlands, showing a reduction in the higher values. Smaller changes are seen in Germany, while in Switzerland and Austria, no change is seen in the frequency distribution of ozone. The lack of long-term data series is a major obstacle for studying trends in volatile organic compounds (VOC). The scatter in the data is large, and significant changes are only found for certain components and stations. Concentrations of the heavy metals lead and cadmium have decreased in both air and precipitation during the last 20 yr, with reductions in the order of 80–90% for Pb and 64–84% for Cd (precipitation and air respectively). The measurements of total gaseous mercury indicate a dramatic decrease in concentrations during 1980 to about 1993. Trends in hexachlorocyclohexanes (HCHs) show a significant decrease in annual average air concentrations. For other persistent organic pollutants (POPs) the patterns is mixed, and differs between sites and between measurements in air versus precipitation.&lt;/p&gt;","container-title":"Atmospheric Chemistry and Physics","DOI":"10.5194/acp-12-5447-2012","ISSN":"1680-7316","issue":"12","language":"English","note":"publisher: Copernicus GmbH","page":"5447-5481","source":"acp.copernicus.org","title":"Introduction to the European Monitoring and Evaluation Programme (EMEP) and observed atmospheric composition change during 1972 - 2009","volume":"12","author":[{"family":"Tørseth","given":"K."},{"family":"Aas","given":"W."},{"family":"Breivik","given":"K."},{"family":"Fjæraa","given":"A. M."},{"family":"Fiebig","given":"M."},{"family":"Hjellbrekke","given":"A. G."},{"family":"Lund Myhre","given":"C."},{"family":"Solberg","given":"S."},{"family":"Yttri","given":"K. E."}],"issued":{"date-parts":[["2012",6,22]]}}}],"schema":"https://github.com/citation-style-language/schema/raw/master/csl-citation.json"} </w:instrText>
      </w:r>
      <w:r w:rsidRPr="008E4EFB">
        <w:fldChar w:fldCharType="separate"/>
      </w:r>
      <w:r w:rsidRPr="008E4EFB">
        <w:t>(EMEP, 2021; Tørseth et al., 2012)</w:t>
      </w:r>
      <w:r w:rsidRPr="008E4EFB">
        <w:fldChar w:fldCharType="end"/>
      </w:r>
      <w:r w:rsidRPr="008E4EFB">
        <w:t xml:space="preserve">, </w:t>
      </w:r>
      <w:hyperlink r:id="rId14" w:history="1">
        <w:r w:rsidRPr="008E4EFB">
          <w:rPr>
            <w:rStyle w:val="Hyperlink"/>
            <w:color w:val="auto"/>
          </w:rPr>
          <w:t>http://ebas-data.nilu.no/</w:t>
        </w:r>
      </w:hyperlink>
      <w:r w:rsidRPr="008E4EFB">
        <w:t>) provides records of precipitation chemistry (NO</w:t>
      </w:r>
      <w:r w:rsidRPr="008E4EFB">
        <w:rPr>
          <w:vertAlign w:val="subscript"/>
        </w:rPr>
        <w:t>3</w:t>
      </w:r>
      <w:r w:rsidRPr="008E4EFB">
        <w:rPr>
          <w:vertAlign w:val="superscript"/>
        </w:rPr>
        <w:t>-</w:t>
      </w:r>
      <w:r w:rsidRPr="008E4EFB">
        <w:t>, NH</w:t>
      </w:r>
      <w:r w:rsidRPr="008E4EFB">
        <w:rPr>
          <w:vertAlign w:val="subscript"/>
        </w:rPr>
        <w:t>4</w:t>
      </w:r>
      <w:r w:rsidRPr="008E4EFB">
        <w:rPr>
          <w:vertAlign w:val="superscript"/>
        </w:rPr>
        <w:t>+</w:t>
      </w:r>
      <w:r w:rsidRPr="008E4EFB">
        <w:t>, and SO</w:t>
      </w:r>
      <w:r w:rsidRPr="008E4EFB">
        <w:rPr>
          <w:vertAlign w:val="subscript"/>
        </w:rPr>
        <w:t>4</w:t>
      </w:r>
      <w:r w:rsidRPr="008E4EFB">
        <w:rPr>
          <w:vertAlign w:val="superscript"/>
        </w:rPr>
        <w:t>2-</w:t>
      </w:r>
      <w:r w:rsidRPr="008E4EFB">
        <w:t>) and precipitation depths for Europe. There were 86 sites with a full year of quality checked data in 2010</w:t>
      </w:r>
      <w:r>
        <w:t>.</w:t>
      </w:r>
    </w:p>
    <w:p w14:paraId="2BE29EEE" w14:textId="582FA970" w:rsidR="0062719E" w:rsidRPr="008E4EFB" w:rsidRDefault="0062719E" w:rsidP="00B71A9A">
      <w:pPr>
        <w:pStyle w:val="Abstract"/>
        <w:spacing w:before="0" w:line="360" w:lineRule="auto"/>
      </w:pPr>
      <w:r w:rsidRPr="008E4EFB">
        <w:t xml:space="preserve">In China, a multi-year nationwide field study, including some of these NNDMN data, was compiled by Li et al. </w:t>
      </w:r>
      <w:r w:rsidRPr="008E4EFB">
        <w:fldChar w:fldCharType="begin"/>
      </w:r>
      <w:r w:rsidRPr="008E4EFB">
        <w:instrText xml:space="preserve"> ADDIN ZOTERO_ITEM CSL_CITATION {"citationID":"oElXffoQ","properties":{"formattedCitation":"(Li et al., 2019)","plainCitation":"(Li et al., 2019)","dontUpdate":true,"noteIndex":0},"citationItems":[{"id":66,"uris":["http://zotero.org/users/3110659/items/TRX53YJW"],"itemData":{"id":66,"type":"article-journal","abstract":"&lt;p&gt;&lt;strong class=\"journal-contentHeaderColor\"&gt;Abstract.&lt;/strong&gt; The acid deposition has been considered to be a severe environmental issue in China. The pH, electrical conductivity (EC), and concentrations of water soluble ions (&lt;span class=\"inline-formula\"&gt;&lt;math xmlns=\"http://www.w3.org/1998/Math/MathML\" id=\"M1\" display=\"inline\" overflow=\"scroll\" dspmath=\"mathml\"&gt;&lt;mrow class=\"chem\"&gt;&lt;msubsup&gt;&lt;mi mathvariant=\"normal\"&gt;NO&lt;/mi&gt;&lt;mn mathvariant=\"normal\"&gt;3&lt;/mn&gt;&lt;mo&gt;-&lt;/mo&gt;&lt;/msubsup&gt;&lt;/mrow&gt;&lt;/math&gt;&lt;span&gt;&lt;svg:svg xmlns:svg=\"http://www.w3.org/2000/svg\" width=\"25pt\" height=\"16pt\" class=\"svg-formula\" dspmath=\"mathimg\" md5hash=\"57a4663cbf0d11bf294d99bb32c9ae29\"&gt;&lt;svg:image xmlns:xlink=\"http://www.w3.org/1999/xlink\" xlink:href=\"acp-19-11043-2019-ie00001.svg\" width=\"25pt\" height=\"16pt\" src=\"acp-19-11043-2019-ie00001.png\"/&gt;&lt;/svg:svg&gt;&lt;/span&gt;&lt;/span&gt;, &lt;span class=\"inline-formula\"&gt;Cl&lt;sup&gt;−&lt;/sup&gt;&lt;/span&gt;, &lt;span class=\"inline-formula\"&gt;Ca&lt;sup&gt;2+&lt;/sup&gt;&lt;/span&gt;, &lt;span class=\"inline-formula\"&gt;K&lt;sup&gt;+&lt;/sup&gt;&lt;/span&gt;, &lt;span class=\"inline-formula\"&gt;F&lt;sup&gt;−&lt;/sup&gt;&lt;/span&gt;, &lt;span class=\"inline-formula\"&gt;&lt;math xmlns=\"http://www.w3.org/1998/Math/MathML\" id=\"M6\" display=\"inline\" overflow=\"scroll\" dspmath=\"mathml\"&gt;&lt;mrow class=\"chem\"&gt;&lt;msubsup&gt;&lt;mi mathvariant=\"normal\"&gt;NH&lt;/mi&gt;&lt;mn mathvariant=\"normal\"&gt;4&lt;/mn&gt;&lt;mo&gt;+&lt;/mo&gt;&lt;/msubsup&gt;&lt;/mrow&gt;&lt;/math&gt;&lt;span&gt;&lt;svg:svg xmlns:svg=\"http://www.w3.org/2000/svg\" width=\"24pt\" height=\"15pt\" class=\"svg-formula\" dspmath=\"mathimg\" md5hash=\"6ca56caa63735c5009fe6b299c1a126b\"&gt;&lt;svg:image xmlns:xlink=\"http://www.w3.org/1999/xlink\" xlink:href=\"acp-19-11043-2019-ie00002.svg\" width=\"24pt\" height=\"15pt\" src=\"acp-19-11043-2019-ie00002.png\"/&gt;&lt;/svg:svg&gt;&lt;/span&gt;&lt;/span&gt;, &lt;span class=\"inline-formula\"&gt;Mg&lt;sup&gt;2+&lt;/sup&gt;&lt;/span&gt;, &lt;span class=\"inline-formula\"&gt;&lt;math xmlns=\"http://www.w3.org/1998/Math/MathML\" id=\"M8\" display=\"inline\" overflow=\"scroll\" dspmath=\"mathml\"&gt;&lt;mrow class=\"chem\"&gt;&lt;msubsup&gt;&lt;mi mathvariant=\"normal\"&gt;SO&lt;/mi&gt;&lt;mn mathvariant=\"normal\"&gt;4&lt;/mn&gt;&lt;mrow&gt;&lt;mn mathvariant=\"normal\"&gt;2&lt;/mn&gt;&lt;mo&gt;-&lt;/mo&gt;&lt;/mrow&gt;&lt;/msubsup&gt;&lt;/mrow&gt;&lt;/math&gt;&lt;span&gt;&lt;svg:svg xmlns:svg=\"http://www.w3.org/2000/svg\" width=\"29pt\" height=\"17pt\" class=\"svg-formula\" dspmath=\"mathimg\" md5hash=\"40da026c69d6bb7b362f8aefb7758b92\"&gt;&lt;svg:image xmlns:xlink=\"http://www.w3.org/1999/xlink\" xlink:href=\"acp-19-11043-2019-ie00003.svg\" width=\"29pt\" height=\"17pt\" src=\"acp-19-11043-2019-ie00003.png\"/&gt;&lt;/svg:svg&gt;&lt;/span&gt;&lt;/span&gt;, and Na&lt;span class=\"inline-formula\"&gt;&lt;sup&gt;+&lt;/sup&gt;)&lt;/span&gt; in the precipitation samples collected from 320 cities during 2011–2016 across China were measured. The mean concentrations of &lt;span class=\"inline-formula\"&gt;F&lt;sup&gt;−&lt;/sup&gt;&lt;/span&gt;, &lt;span class=\"inline-formula\"&gt;&lt;math xmlns=\"http://www.w3.org/1998/Math/MathML\" id=\"M11\" display=\"inline\" overflow=\"scroll\" dspmath=\"mathml\"&gt;&lt;mrow class=\"chem\"&gt;&lt;msubsup&gt;&lt;mi mathvariant=\"normal\"&gt;NO&lt;/mi&gt;&lt;mn mathvariant=\"normal\"&gt;3&lt;/mn&gt;&lt;mo&gt;-&lt;/mo&gt;&lt;/msubsup&gt;&lt;/mrow&gt;&lt;/math&gt;&lt;span&gt;&lt;svg:svg xmlns:svg=\"http://www.w3.org/2000/svg\" width=\"25pt\" height=\"16pt\" class=\"svg-formula\" dspmath=\"mathimg\" md5hash=\"eb51cd45ba2a21283d090226a04e61ba\"&gt;&lt;svg:image xmlns:xlink=\"http://www.w3.org/1999/xlink\" xlink:href=\"acp-19-11043-2019-ie00004.svg\" width=\"25pt\" height=\"16pt\" src=\"acp-19-11043-2019-ie00004.png\"/&gt;&lt;/svg:svg&gt;&lt;/span&gt;&lt;/span&gt;, and &lt;span class=\"inline-formula\"&gt;&lt;math xmlns=\"http://www.w3.org/1998/Math/MathML\" id=\"M12\" display=\"inline\" overflow=\"scroll\" dspmath=\"mathml\"&gt;&lt;mrow class=\"chem\"&gt;&lt;msubsup&gt;&lt;mi mathvariant=\"normal\"&gt;SO&lt;/mi&gt;&lt;mn mathvariant=\"normal\"&gt;4&lt;/mn&gt;&lt;mrow&gt;&lt;mn mathvariant=\"normal\"&gt;2&lt;/mn&gt;&lt;mo&gt;-&lt;/mo&gt;&lt;/mrow&gt;&lt;/msubsup&gt;&lt;/mrow&gt;&lt;/math&gt;&lt;span&gt;&lt;svg:svg xmlns:svg=\"http://www.w3.org/2000/svg\" width=\"29pt\" height=\"17pt\" class=\"svg-formula\" dspmath=\"mathimg\" md5hash=\"97cb19aa5ca8b26a6d7fd7d4bad307d2\"&gt;&lt;svg:image xmlns:xlink=\"http://www.w3.org/1999/xlink\" xlink:href=\"acp-19-11043-2019-ie00005.svg\" width=\"29pt\" height=\"17pt\" src=\"acp-19-11043-2019-ie00005.png\"/&gt;&lt;/svg:svg&gt;&lt;/span&gt;&lt;/span&gt; were in the order of winter (6.10, 19.44, and 45.74&amp;thinsp;&lt;span class=\"inline-formula\"&gt;µ&lt;/span&gt;eq&amp;thinsp;L&lt;span class=\"inline-formula\"&gt;&lt;sup&gt;−1&lt;/sup&gt;&lt;/span&gt;)&amp;thinsp;&lt;span class=\"inline-formula\"&gt;&amp;gt;&lt;/span&gt;&amp;thinsp;spring (3.45, 13.83, and 42.61&amp;thinsp;&lt;span class=\"inline-formula\"&gt;µ&lt;/span&gt;eq&amp;thinsp;L&lt;span class=\"inline-formula\"&gt;&lt;sup&gt;−1&lt;/sup&gt;&lt;/span&gt;)&amp;thinsp;&lt;span class=\"inline-formula\"&gt;&amp;gt;&lt;/span&gt;&amp;thinsp;autumn (2.67, 9.73, and 28.85&amp;thinsp;&lt;span class=\"inline-formula\"&gt;µ&lt;/span&gt;eq&amp;thinsp;L&lt;span class=\"inline-formula\"&gt;&lt;sup&gt;−1&lt;/sup&gt;&lt;/span&gt;)&amp;thinsp;&lt;span class=\"inline-formula\"&gt;&amp;gt;&lt;/span&gt;&amp;thinsp;summer (2.04, 7.66, and 19.26&amp;thinsp;&lt;span class=\"inline-formula\"&gt;µ&lt;/span&gt;eq&amp;thinsp;L&lt;span class=\"inline-formula\"&gt;&lt;sup&gt;−1&lt;/sup&gt;&lt;/span&gt;). Secondary ions (&lt;span class=\"inline-formula\"&gt;&lt;math xmlns=\"http://www.w3.org/1998/Math/MathML\" id=\"M24\" display=\"inline\" overflow=\"scroll\" dspmath=\"mathml\"&gt;&lt;mrow class=\"chem\"&gt;&lt;msubsup&gt;&lt;mi mathvariant=\"normal\"&gt;SO&lt;/mi&gt;&lt;mn mathvariant=\"normal\"&gt;4&lt;/mn&gt;&lt;mrow&gt;&lt;mn mathvariant=\"normal\"&gt;2&lt;/mn&gt;&lt;mo&gt;-&lt;/mo&gt;&lt;/mrow&gt;&lt;/msubsup&gt;&lt;/mrow&gt;&lt;/math&gt;&lt;span&gt;&lt;svg:svg xmlns:svg=\"http://www.w3.org/2000/svg\" width=\"29pt\" height=\"17pt\" class=\"svg-formula\" dspmath=\"mathimg\" md5hash=\"a37f0080584a5af55d602bece406075e\"&gt;&lt;svg:image xmlns:xlink=\"http://www.w3.org/1999/xlink\" xlink:href=\"acp-19-11043-2019-ie00006.svg\" width=\"29pt\" height=\"17pt\" src=\"acp-19-11043-2019-ie00006.png\"/&gt;&lt;/svg:svg&gt;&lt;/span&gt;&lt;/span&gt;, &lt;span class=\"inline-formula\"&gt;&lt;math xmlns=\"http://www.w3.org/1998/Math/MathML\" id=\"M25\" display=\"inline\" overflow=\"scroll\" dspmath=\"mathml\"&gt;&lt;mrow class=\"chem\"&gt;&lt;msubsup&gt;&lt;mi mathvariant=\"normal\"&gt;NO&lt;/mi&gt;&lt;mn mathvariant=\"normal\"&gt;3&lt;/mn&gt;&lt;mo&gt;-&lt;/mo&gt;&lt;/msubsup&gt;&lt;/mrow&gt;&lt;/math&gt;&lt;span&gt;&lt;svg:svg xmlns:svg=\"http://www.w3.org/2000/svg\" width=\"25pt\" height=\"16pt\" class=\"svg-formula\" dspmath=\"mathimg\" md5hash=\"361af9fc60c163df468716a068868655\"&gt;&lt;svg:image xmlns:xlink=\"http://www.w3.org/1999/xlink\" xlink:href=\"acp-19-11043-2019-ie00007.svg\" width=\"25pt\" height=\"16pt\" src=\"acp-19-11043-2019-ie00007.png\"/&gt;&lt;/svg:svg&gt;&lt;/span&gt;&lt;/span&gt;, and NH&lt;span class=\"inline-formula\"&gt;&lt;math xmlns=\"http://www.w3.org/1998/Math/MathML\" id=\"M26\" display=\"inline\" overflow=\"scroll\" dspmath=\"mathml\"&gt;&lt;mrow&gt;&lt;msubsup&gt;&lt;mi/&gt;&lt;mn mathvariant=\"normal\"&gt;4&lt;/mn&gt;&lt;mo&gt;+&lt;/mo&gt;&lt;/msubsup&gt;&lt;mo&gt;)&lt;/mo&gt;&lt;/mrow&gt;&lt;/math&gt;&lt;span&gt;&lt;svg:svg xmlns:svg=\"http://www.w3.org/2000/svg\" width=\"12pt\" height=\"15pt\" class=\"svg-formula\" dspmath=\"mathimg\" md5hash=\"d53ad71897ec3c7fd0dc998c7ef3cc8c\"&gt;&lt;svg:image xmlns:xlink=\"http://www.w3.org/1999/xlink\" xlink:href=\"acp-19-11043-2019-ie00008.svg\" width=\"12pt\" height=\"15pt\" src=\"acp-19-11043-2019-ie00008.png\"/&gt;&lt;/svg:svg&gt;&lt;/span&gt;&lt;/span&gt; and &lt;span class=\"inline-formula\"&gt;F&lt;sup&gt;−&lt;/sup&gt;&lt;/span&gt; peaked in the Yangtze River Delta (YRD) and Sichuan basin (SB). Crustal ions (i.e. &lt;span class=\"inline-formula\"&gt;Ca&lt;sup&gt;2+&lt;/sup&gt;&lt;/span&gt;, &lt;span class=\"inline-formula\"&gt;Mg&lt;sup&gt;2+&lt;/sup&gt;&lt;/span&gt;), &lt;span class=\"inline-formula\"&gt;Na&lt;sup&gt;+&lt;/sup&gt;&lt;/span&gt;, and &lt;span class=\"inline-formula\"&gt;Cl&lt;sup&gt;−&lt;/sup&gt;&lt;/span&gt; showed the highest concentrations in the semi-arid regions and the coastal cities. The statistical methods confirmed that the mean anthropogenic contribution ratios to &lt;span class=\"inline-formula\"&gt;&lt;math xmlns=\"http://www.w3.org/1998/Math/MathML\" id=\"M32\" display=\"inline\" overflow=\"scroll\" dspmath=\"mathml\"&gt;&lt;mrow class=\"chem\"&gt;&lt;msubsup&gt;&lt;mi mathvariant=\"normal\"&gt;SO&lt;/mi&gt;&lt;mn mathvariant=\"normal\"&gt;4&lt;/mn&gt;&lt;mrow&gt;&lt;mn mathvariant=\"normal\"&gt;2&lt;/mn&gt;&lt;mo&gt;-&lt;/mo&gt;&lt;/mrow&gt;&lt;/msubsup&gt;&lt;/mrow&gt;&lt;/math&gt;&lt;span&gt;&lt;svg:svg xmlns:svg=\"http://www.w3.org/2000/svg\" width=\"29pt\" height=\"17pt\" class=\"svg-formula\" dspmath=\"mathimg\" md5hash=\"ffbe05c8ea0f1e229c212e21ef64f69c\"&gt;&lt;svg:image xmlns:xlink=\"http://www.w3.org/1999/xlink\" xlink:href=\"acp-19-11043-2019-ie00009.svg\" width=\"29pt\" height=\"17pt\" src=\"acp-19-11043-2019-ie00009.png\"/&gt;&lt;/svg:svg&gt;&lt;/span&gt;&lt;/span&gt;, &lt;span class=\"inline-formula\"&gt;F&lt;sup&gt;−&lt;/sup&gt;&lt;/span&gt;, &lt;span class=\"inline-formula\"&gt;&lt;math xmlns=\"http://www.w3.org/1998/Math/MathML\" id=\"M34\" display=\"inline\" overflow=\"scroll\" dspmath=\"mathml\"&gt;&lt;mrow class=\"chem\"&gt;&lt;msubsup&gt;&lt;mi mathvariant=\"normal\"&gt;NO&lt;/mi&gt;&lt;mn mathvariant=\"normal\"&gt;3&lt;/mn&gt;&lt;mo&gt;-&lt;/mo&gt;&lt;/msubsup&gt;&lt;/mrow&gt;&lt;/math&gt;&lt;span&gt;&lt;svg:svg xmlns:svg=\"http://www.w3.org/2000/svg\" width=\"25pt\" height=\"16pt\" class=\"svg-formula\" dspmath=\"mathimg\" md5hash=\"983e472baa2b1950fa497a555dcc7b2e\"&gt;&lt;svg:image xmlns:xlink=\"http://www.w3.org/1999/xlink\" xlink:href=\"acp-19-11043-2019-ie00010.svg\" width=\"25pt\" height=\"16pt\" src=\"acp-19-11043-2019-ie00010.png\"/&gt;&lt;/svg:svg&gt;&lt;/span&gt;&lt;/span&gt;, and &lt;span class=\"inline-formula\"&gt;&lt;math xmlns=\"http://www.w3.org/1998/Math/MathML\" id=\"M35\" display=\"inline\" overflow=\"scroll\" dspmath=\"mathml\"&gt;&lt;mrow class=\"chem\"&gt;&lt;msubsup&gt;&lt;mi mathvariant=\"normal\"&gt;NH&lt;/mi&gt;&lt;mn mathvariant=\"normal\"&gt;4&lt;/mn&gt;&lt;mo&gt;+&lt;/mo&gt;&lt;/msubsup&gt;&lt;/mrow&gt;&lt;/math&gt;&lt;span&gt;&lt;svg:svg xmlns:svg=\"http://www.w3.org/2000/svg\" width=\"24pt\" height=\"15pt\" class=\"svg-formula\" dspmath=\"mathimg\" md5hash=\"57b95c61d17fec970641a3dc090ae78a\"&gt;&lt;svg:image xmlns:xlink=\"http://www.w3.org/1999/xlink\" xlink:href=\"acp-19-11043-2019-ie00011.svg\" width=\"24pt\" height=\"15pt\" src=\"acp-19-11043-2019-ie00011.png\"/&gt;&lt;/svg:svg&gt;&lt;/span&gt;&lt;/span&gt; at a national scale were 46.12&amp;thinsp;%, 71.02&amp;thinsp;%, 79.10&amp;thinsp;%, and 82.40&amp;thinsp;%, respectively. However, &lt;span class=\"inline-formula\"&gt;Mg&lt;sup&gt;2+&lt;/sup&gt;&lt;/span&gt; (70.51&amp;thinsp;%), &lt;span class=\"inline-formula\"&gt;K&lt;sup&gt;+&lt;/sup&gt;&lt;/span&gt; (77.44&amp;thinsp;%), and &lt;span class=\"inline-formula\"&gt;Ca&lt;sup&gt;2+&lt;/sup&gt;&lt;/span&gt; (82.17&amp;thinsp;%) mostly originated from the crustal source. Both &lt;span class=\"inline-formula\"&gt;Na&lt;sup&gt;+&lt;/sup&gt;&lt;/span&gt; (70.54&amp;thinsp;%) and &lt;span class=\"inline-formula\"&gt;Cl&lt;sup&gt;−&lt;/sup&gt;&lt;/span&gt; (60.42&amp;thinsp;%) were closely linked to sea salt aerosols. On the basis of the stepwise regression (SR) analysis, it was proposed that most of the secondary ions and &lt;span class=\"inline-formula\"&gt;F&lt;sup&gt;−&lt;/sup&gt;&lt;/span&gt; were closely related to gross industrial production (GIP), total energy consumption (TEC), vehicle ownership, and N fertilizer use, but the crustal ions (&lt;span class=\"inline-formula\"&gt;Ca&lt;sup&gt;2+&lt;/sup&gt;&lt;/span&gt; and &lt;span class=\"inline-formula\"&gt;K&lt;sup&gt;+&lt;/sup&gt;&lt;/span&gt;) were mainly controlled by the dust events. The influence of dust days, air temperature, and wind speed on ions increased from southeast China (SEC) to central China, and then to northwest China (NWC), whereas the influence of socioeconomic factors on acid ions (&lt;span class=\"inline-formula\"&gt;&lt;math xmlns=\"http://www.w3.org/1998/Math/MathML\" id=\"M44\" display=\"inline\" overflow=\"scroll\" dspmath=\"mathml\"&gt;&lt;mrow class=\"chem\"&gt;&lt;msubsup&gt;&lt;mi mathvariant=\"normal\"&gt;SO&lt;/mi&gt;&lt;mn mathvariant=\"normal\"&gt;4&lt;/mn&gt;&lt;mrow&gt;&lt;mn mathvariant=\"normal\"&gt;2&lt;/mn&gt;&lt;mo&gt;-&lt;/mo&gt;&lt;/mrow&gt;&lt;/msubsup&gt;&lt;/mrow&gt;&lt;/math&gt;&lt;span&gt;&lt;svg:svg xmlns:svg=\"http://www.w3.org/2000/svg\" width=\"29pt\" height=\"17pt\" class=\"svg-formula\" dspmath=\"mathimg\" md5hash=\"1351e966e04bfc1e60ff4784424cad14\"&gt;&lt;svg:image xmlns:xlink=\"http://www.w3.org/1999/xlink\" xlink:href=\"acp-19-11043-2019-ie00012.svg\" width=\"29pt\" height=\"17pt\" src=\"acp-19-11043-2019-ie00012.png\"/&gt;&lt;/svg:svg&gt;&lt;/span&gt;&lt;/span&gt; and &lt;span class=\"inline-formula\"&gt;&lt;math xmlns=\"http://www.w3.org/1998/Math/MathML\" id=\"M45\" display=\"inline\" overflow=\"scroll\" dspmath=\"mathml\"&gt;&lt;mrow class=\"chem\"&gt;&lt;msubsup&gt;&lt;mi mathvariant=\"normal\"&gt;NO&lt;/mi&gt;&lt;mn mathvariant=\"normal\"&gt;3&lt;/mn&gt;&lt;mo&gt;-&lt;/mo&gt;&lt;/msubsup&gt;&lt;/mrow&gt;&lt;/math&gt;&lt;span&gt;&lt;svg:svg xmlns:svg=\"http://www.w3.org/2000/svg\" width=\"25pt\" height=\"16pt\" class=\"svg-formula\" dspmath=\"mathimg\" md5hash=\"afc29ccf929971927e195b135fd5e45c\"&gt;&lt;svg:image xmlns:xlink=\"http://www.w3.org/1999/xlink\" xlink:href=\"acp-19-11043-2019-ie00013.svg\" width=\"25pt\" height=\"16pt\" src=\"acp-19-11043-2019-ie00013.png\"/&gt;&lt;/svg:svg&gt;&lt;/span&gt;&lt;/span&gt;) displayed the higher value in east China.&lt;/p&gt;","container-title":"Atmospheric Chemistry and Physics","DOI":"10.5194/acp-19-11043-2019","ISSN":"1680-7316","issue":"17","language":"English","note":"publisher: Copernicus GmbH","page":"11043-11070","source":"acp.copernicus.org","title":"Wet deposition of inorganic ions in 320 cities across China: spatio-temporal variation, source apportionment, and dominant factors","title-short":"Wet deposition of inorganic ions in 320 cities across China","volume":"19","author":[{"family":"Li","given":"Rui"},{"family":"Cui","given":"Lulu"},{"family":"Zhao","given":"Yilong"},{"family":"Zhang","given":"Ziyu"},{"family":"Sun","given":"Tianming"},{"family":"Li","given":"Junlin"},{"family":"Zhou","given":"Wenhui"},{"family":"Meng","given":"Ya"},{"family":"Huang","given":"Kan"},{"family":"Fu","given":"Hongbo"}],"issued":{"date-parts":[["2019",9,2]]}}}],"schema":"https://github.com/citation-style-language/schema/raw/master/csl-citation.json"} </w:instrText>
      </w:r>
      <w:r w:rsidRPr="008E4EFB">
        <w:fldChar w:fldCharType="separate"/>
      </w:r>
      <w:r w:rsidRPr="008E4EFB">
        <w:t>( 2019)</w:t>
      </w:r>
      <w:r w:rsidRPr="008E4EFB">
        <w:fldChar w:fldCharType="end"/>
      </w:r>
      <w:r w:rsidRPr="008E4EFB">
        <w:t>. Daily NO</w:t>
      </w:r>
      <w:r w:rsidRPr="008E4EFB">
        <w:rPr>
          <w:vertAlign w:val="subscript"/>
        </w:rPr>
        <w:t>3</w:t>
      </w:r>
      <w:r w:rsidRPr="008E4EFB">
        <w:rPr>
          <w:vertAlign w:val="superscript"/>
        </w:rPr>
        <w:t>-</w:t>
      </w:r>
      <w:r w:rsidRPr="008E4EFB">
        <w:t>, NH</w:t>
      </w:r>
      <w:r w:rsidRPr="008E4EFB">
        <w:rPr>
          <w:vertAlign w:val="subscript"/>
        </w:rPr>
        <w:t>4</w:t>
      </w:r>
      <w:r w:rsidRPr="008E4EFB">
        <w:rPr>
          <w:vertAlign w:val="superscript"/>
        </w:rPr>
        <w:t>+</w:t>
      </w:r>
      <w:r w:rsidRPr="008E4EFB">
        <w:t>, and SO</w:t>
      </w:r>
      <w:r w:rsidRPr="008E4EFB">
        <w:rPr>
          <w:vertAlign w:val="subscript"/>
        </w:rPr>
        <w:t>4</w:t>
      </w:r>
      <w:r w:rsidRPr="008E4EFB">
        <w:rPr>
          <w:vertAlign w:val="superscript"/>
        </w:rPr>
        <w:t xml:space="preserve">2- </w:t>
      </w:r>
      <w:r w:rsidRPr="008E4EFB">
        <w:t xml:space="preserve">site measurements (in mg/L) were averaged for 2010 for each of the 407 site locations with complete records by multiplying the concentration by the precipitation recorded at that same site (in mm) and then aggregating to produce annual precipitation-weighted deposition </w:t>
      </w:r>
      <w:r w:rsidRPr="008E4EFB">
        <w:fldChar w:fldCharType="begin"/>
      </w:r>
      <w:r w:rsidRPr="008E4EFB">
        <w:instrText xml:space="preserve"> QUOTE </w:instrText>
      </w:r>
      <m:oMath>
        <m:sSup>
          <m:sSupPr>
            <m:ctrlPr>
              <w:rPr>
                <w:rFonts w:ascii="Cambria Math" w:hAnsi="Cambria Math"/>
                <w:i/>
              </w:rPr>
            </m:ctrlPr>
          </m:sSupPr>
          <m:e>
            <m:r>
              <m:rPr>
                <m:sty m:val="p"/>
              </m:rPr>
              <w:rPr>
                <w:rFonts w:ascii="Cambria Math" w:hAnsi="Cambria Math"/>
              </w:rPr>
              <m:t>m</m:t>
            </m:r>
          </m:e>
          <m:sup>
            <m:r>
              <m:rPr>
                <m:sty m:val="p"/>
              </m:rPr>
              <w:rPr>
                <w:rFonts w:ascii="Cambria Math" w:hAnsi="Cambria Math"/>
              </w:rPr>
              <m:t>2</m:t>
            </m:r>
          </m:sup>
        </m:sSup>
      </m:oMath>
      <w:r w:rsidRPr="008E4EFB">
        <w:instrText xml:space="preserve"> </w:instrText>
      </w:r>
      <w:r w:rsidRPr="008E4EFB">
        <w:fldChar w:fldCharType="end"/>
      </w:r>
      <w:r w:rsidRPr="008E4EFB">
        <w:fldChar w:fldCharType="begin"/>
      </w:r>
      <w:r w:rsidRPr="008E4EFB">
        <w:instrText xml:space="preserve"> ADDIN ZOTERO_ITEM CSL_CITATION {"citationID":"sb58uLil","properties":{"formattedCitation":"(Sirois, 1990)","plainCitation":"(Sirois, 1990)","noteIndex":0},"citationItems":[{"id":590,"uris":["http://zotero.org/users/3110659/items/ZSZ3P776"],"itemData":{"id":590,"type":"article-journal","abstract":"Uncertainties in the calculation of monthly, seasonal and annual precipitation-weighted-mean concentrations due to missing data are addressed. An algorithm is presented to estimate the effects of missing samples through the use of a simulation technique. Quantitative estimates of uncertainty due to missing data are given for monthly, seasonal and annual precipitation-weighted-mean sulphate and nitrate concentrations at six monitoring sites where daily precipitation samples were taken. It is found that the expected value of the precipitation-weighted-mean concentration estimator is biased if the percentage of missing samples (% MN), and the percentage (% MP) of the precipitation amount associated with the missing samples, are different. The absolute value of the bias becomes larger as the difference increases. The standard deviation of the estimator increases with increasing values of % MP. For a given value of % MP, its a minimum when % MN is equal to % MP, and increases with increasing differences between % MN and % MP. These results indicate that % MN of about 10%, which is not uncommon in precipitation networks data, gives an uncertainty of about 10, 5 and 2 % for monthly, seasonal and annual averaging periods, respectively. Procedures to estimate confidence intervals for the true values from observed precipitation-weighted-mean concentrations are presented.","container-title":"Atmospheric Environment. Part A. General Topics","DOI":"10.1016/0960-1686(90)90321-D","ISSN":"0960-1686","issue":"9","journalAbbreviation":"Atmospheric Environment. Part A. General Topics","language":"en","page":"2277-2288","source":"ScienceDirect","title":"The effects of missing data on the calculation of precipitation-weighted-mean concentrations in wet deposition","volume":"24","author":[{"family":"Sirois","given":"A."}],"issued":{"date-parts":[["1990",1,1]]}}}],"schema":"https://github.com/citation-style-language/schema/raw/master/csl-citation.json"} </w:instrText>
      </w:r>
      <w:r w:rsidRPr="008E4EFB">
        <w:fldChar w:fldCharType="separate"/>
      </w:r>
      <w:r w:rsidR="00B864BC" w:rsidRPr="008E4EFB">
        <w:t>(Sirois, 1990)</w:t>
      </w:r>
      <w:r w:rsidRPr="008E4EFB">
        <w:fldChar w:fldCharType="end"/>
      </w:r>
      <w:r w:rsidRPr="008E4EFB">
        <w:t xml:space="preserve">. For a wider Asian region, EANET </w:t>
      </w:r>
      <w:r w:rsidRPr="008E4EFB">
        <w:fldChar w:fldCharType="begin"/>
      </w:r>
      <w:r w:rsidRPr="008E4EFB">
        <w:instrText xml:space="preserve"> ADDIN ZOTERO_ITEM CSL_CITATION {"citationID":"VHBtdMIQ","properties":{"formattedCitation":"(Asia Center for Air Pollution Research, 2021)","plainCitation":"(Asia Center for Air Pollution Research, 2021)","dontUpdate":true,"noteIndex":0},"citationItems":[{"id":227,"uris":["http://zotero.org/users/3110659/items/MK6C7YWG"],"itemData":{"id":227,"type":"webpage","container-title":"Acid Deposition Monitoring Network in East Asia (EANET)","language":"en-US","title":"Acid Deposition Monitoring Network in East Asia (EANET)","URL":"https://www.eanet.asia/","author":[{"family":"Asia Center for Air Pollution Research","given":""}],"accessed":{"date-parts":[["2021",11,18]]},"issued":{"date-parts":[["2021"]]}}}],"schema":"https://github.com/citation-style-language/schema/raw/master/csl-citation.json"} </w:instrText>
      </w:r>
      <w:r w:rsidRPr="008E4EFB">
        <w:fldChar w:fldCharType="separate"/>
      </w:r>
      <w:r w:rsidRPr="008E4EFB">
        <w:t xml:space="preserve">(Asia Center for Air Pollution Research, 2021, </w:t>
      </w:r>
      <w:hyperlink r:id="rId15" w:history="1">
        <w:r w:rsidRPr="008E4EFB">
          <w:rPr>
            <w:rStyle w:val="Hyperlink"/>
            <w:color w:val="auto"/>
          </w:rPr>
          <w:t>https://www.eanet.asia/</w:t>
        </w:r>
      </w:hyperlink>
      <w:r w:rsidRPr="008E4EFB">
        <w:t>)</w:t>
      </w:r>
      <w:r w:rsidRPr="008E4EFB">
        <w:fldChar w:fldCharType="end"/>
      </w:r>
      <w:r w:rsidRPr="008E4EFB">
        <w:t xml:space="preserve"> wet and dry deposition and precipitation data are available at 47 sites.</w:t>
      </w:r>
    </w:p>
    <w:p w14:paraId="532F714D" w14:textId="3A16A9CC" w:rsidR="0062719E" w:rsidRPr="008E4EFB" w:rsidRDefault="0062719E" w:rsidP="00B71A9A">
      <w:pPr>
        <w:pStyle w:val="Text"/>
        <w:spacing w:before="0" w:line="360" w:lineRule="auto"/>
        <w:ind w:firstLine="0"/>
      </w:pPr>
      <w:r w:rsidRPr="008E4EFB">
        <w:t xml:space="preserve">The International Global Atmospheric Chemistry (IGAC) Deposition of Biogeochemically Important Trace Species (DEBITS) Africa (IDAF) program </w:t>
      </w:r>
      <w:r w:rsidRPr="008E4EFB">
        <w:fldChar w:fldCharType="begin"/>
      </w:r>
      <w:r w:rsidRPr="008E4EFB">
        <w:instrText xml:space="preserve"> ADDIN ZOTERO_ITEM CSL_CITATION {"citationID":"Ms58QNAQ","properties":{"formattedCitation":"(Adon et al., 2010; Galy-Lacaux et al., 2014)","plainCitation":"(Adon et al., 2010; Galy-Lacaux et al., 2014)","noteIndex":0},"citationItems":[{"id":25,"uris":["http://zotero.org/users/3110659/items/7TGNIJJK"],"itemData":{"id":25,"type":"article-journal","abstract":"In this paper we present the long term monitoring of ambient gaseous concentrations within the framework of the IDAF (IGAC-DEBITS-AFRICA) program. This study proposes for the ﬁrst time an analysis of long-term inorganic gas concentrations (1998 to 2007) of SO2, NO2, HNO3, NH3 and O3, determined using passive samplers at seven remote sites in West and Central Africa. Sites are representative of several African ecosystems and are located along a transect from dry savannas-wet savannas-forests with sites at Banizoumbou (Niger), Katibougou and Agoufou (Mali), Djougou (Benin), Lamto (Cote d’Ivoire), Zoetele (Cameroon) and Bomassa (Congo). The strict control of measurement techniques as well as the validation and inter-comparison studies conducted with the IDAF passive samplers assure the quality and accuracy of the measurements. For each type of African ecosystem, the long term data series have been studied to document the levels of surface gaseous concentrations. The seasonal and interannual variability have also been analyzed as a function of emission source variations. We compared the measured West and Central African gas concentrations to results obtained in other parts of the world.","container-title":"Atmospheric Chemistry and Physics","DOI":"10.5194/acp-10-7467-2010","ISSN":"1680-7324","issue":"15","journalAbbreviation":"Atmos. Chem. Phys.","language":"en","page":"7467-7487","source":"DOI.org (Crossref)","title":"Long term measurements of sulfur dioxide, nitrogen dioxide, ammonia, nitric acid and ozone in Africa using passive samplers","volume":"10","author":[{"family":"Adon","given":"M."},{"family":"Galy-Lacaux","given":"C."},{"family":"Yoboué","given":"V."},{"family":"Delon","given":"C."},{"family":"Lacaux","given":"J. P."},{"family":"Castera","given":"P."},{"family":"Gardrat","given":"E."},{"family":"Pienaar","given":"J."},{"family":"Al Ourabi","given":"H."},{"family":"Laouali","given":"D."},{"family":"Diop","given":"B."},{"family":"Sigha-Nkamdjou","given":"L."},{"family":"Akpo","given":"A."},{"family":"Tathy","given":"J. P."},{"family":"Lavenu","given":"F."},{"family":"Mougin","given":"E."}],"issued":{"date-parts":[["2010",8,10]]}}},{"id":22,"uris":["http://zotero.org/users/3110659/items/6WHXSC83"],"itemData":{"id":22,"type":"chapter","abstract":"This work is part of the IDAF (IGAC/DEBITS/AFrica) programme which started in 1995 with the establishment of 10 measurement sites representative of major African ecosystems. The objectives of the programme are to study wet and dry deposition fluxes, to identify the relative contribution of natural and anthropogenic sources and factors regulating these fluxes. This study presents an estimation of the atmospheric nitrogen (N) deposition budget in Africa based on a long term monitoring measurements database including gaseous, precipitation and aerosols chemical composition. Annual nitrogen fluxes including wet and dry processes are estimated to be around 6 kg N ha−1 year−1, 6.5 kg N ha−1 year−1 and 13 kg N ha−1 year−1 respectively over dry savanna, humid savanna and over the forest.","container-title":"Nitrogen Deposition, Critical Loads and Biodiversity","event-place":"Dordrecht","ISBN":"978-94-007-7939-6","language":"en","note":"DOI: 10.1007/978-94-007-7939-6_10","page":"83-91","publisher":"Springer Netherlands","publisher-place":"Dordrecht","source":"Springer Link","title":"Dry and Wet Atmospheric Nitrogen Deposition in West Central Africa","URL":"https://doi.org/10.1007/978-94-007-7939-6_10","author":[{"family":"Galy-Lacaux","given":"Corinne"},{"family":"Delon","given":"Claire"},{"family":"Solmon","given":"Fabien"},{"family":"Adon","given":"Marcellin"},{"family":"Yoboué","given":"Véronique"},{"family":"Mphepya","given":"Jonas"},{"family":"Pienaar","given":"Jacobus J."},{"family":"Diop","given":"Babakar"},{"family":"Sigha","given":"Luc"},{"family":"Dungall","given":"Laouali"},{"family":"Akpo","given":"Aristide"},{"family":"Mougin","given":"Eric"},{"family":"Gardrat","given":"Eric"},{"family":"Castera","given":"Pierre"}],"editor":[{"family":"Sutton","given":"Mark A."},{"family":"Mason","given":"Kate E."},{"family":"Sheppard","given":"Lucy J."},{"family":"Sverdrup","given":"Harald"},{"family":"Haeuber","given":"Richard"},{"family":"Hicks","given":"W. Kevin"}],"accessed":{"date-parts":[["2021",7,27]]},"issued":{"date-parts":[["2014"]]}}}],"schema":"https://github.com/citation-style-language/schema/raw/master/csl-citation.json"} </w:instrText>
      </w:r>
      <w:r w:rsidRPr="008E4EFB">
        <w:fldChar w:fldCharType="separate"/>
      </w:r>
      <w:r w:rsidR="00B864BC" w:rsidRPr="008E4EFB">
        <w:t>(Adon et al., 2010; Galy-Lacaux et al., 2014)</w:t>
      </w:r>
      <w:r w:rsidRPr="008E4EFB">
        <w:fldChar w:fldCharType="end"/>
      </w:r>
      <w:r w:rsidRPr="008E4EFB">
        <w:t xml:space="preserve"> has NH</w:t>
      </w:r>
      <w:r w:rsidRPr="008E4EFB">
        <w:rPr>
          <w:vertAlign w:val="subscript"/>
        </w:rPr>
        <w:t>4</w:t>
      </w:r>
      <w:r w:rsidRPr="008E4EFB">
        <w:rPr>
          <w:vertAlign w:val="superscript"/>
        </w:rPr>
        <w:t xml:space="preserve">+ </w:t>
      </w:r>
      <w:r w:rsidRPr="008E4EFB">
        <w:fldChar w:fldCharType="begin"/>
      </w:r>
      <w:r w:rsidRPr="008E4EFB">
        <w:instrText xml:space="preserve"> QUOTE </w:instrText>
      </w:r>
      <m:oMath>
        <m:sSub>
          <m:sSubPr>
            <m:ctrlPr>
              <w:rPr>
                <w:rFonts w:ascii="Cambria Math" w:hAnsi="Cambria Math"/>
                <w:i/>
              </w:rPr>
            </m:ctrlPr>
          </m:sSubPr>
          <m:e>
            <m:r>
              <m:rPr>
                <m:sty m:val="p"/>
              </m:rPr>
              <w:rPr>
                <w:rFonts w:ascii="Cambria Math" w:hAnsi="Cambria Math"/>
              </w:rPr>
              <m:t>NH</m:t>
            </m:r>
          </m:e>
          <m:sub>
            <m:r>
              <m:rPr>
                <m:sty m:val="p"/>
              </m:rPr>
              <w:rPr>
                <w:rFonts w:ascii="Cambria Math" w:hAnsi="Cambria Math"/>
              </w:rPr>
              <m:t>4</m:t>
            </m:r>
          </m:sub>
        </m:sSub>
        <m:r>
          <m:rPr>
            <m:sty m:val="p"/>
          </m:rPr>
          <w:rPr>
            <w:rFonts w:ascii="Cambria Math" w:hAnsi="Cambria Math"/>
          </w:rPr>
          <m:t xml:space="preserve"> </m:t>
        </m:r>
      </m:oMath>
      <w:r w:rsidRPr="008E4EFB">
        <w:instrText xml:space="preserve"> </w:instrText>
      </w:r>
      <w:r w:rsidRPr="008E4EFB">
        <w:fldChar w:fldCharType="end"/>
      </w:r>
      <w:r w:rsidRPr="008E4EFB">
        <w:t>and NO</w:t>
      </w:r>
      <w:r w:rsidRPr="008E4EFB">
        <w:rPr>
          <w:vertAlign w:val="subscript"/>
        </w:rPr>
        <w:t>3</w:t>
      </w:r>
      <w:r w:rsidRPr="008E4EFB">
        <w:rPr>
          <w:vertAlign w:val="superscript"/>
        </w:rPr>
        <w:t xml:space="preserve">- </w:t>
      </w:r>
      <w:r w:rsidRPr="008E4EFB">
        <w:fldChar w:fldCharType="begin"/>
      </w:r>
      <w:r w:rsidRPr="008E4EFB">
        <w:instrText xml:space="preserve"> QUOTE </w:instrText>
      </w:r>
      <m:oMath>
        <m:sSub>
          <m:sSubPr>
            <m:ctrlPr>
              <w:rPr>
                <w:rFonts w:ascii="Cambria Math" w:hAnsi="Cambria Math"/>
                <w:i/>
              </w:rPr>
            </m:ctrlPr>
          </m:sSubPr>
          <m:e>
            <m:r>
              <m:rPr>
                <m:sty m:val="p"/>
              </m:rPr>
              <w:rPr>
                <w:rFonts w:ascii="Cambria Math" w:hAnsi="Cambria Math"/>
              </w:rPr>
              <m:t>NO</m:t>
            </m:r>
          </m:e>
          <m:sub>
            <m:r>
              <m:rPr>
                <m:sty m:val="p"/>
              </m:rPr>
              <w:rPr>
                <w:rFonts w:ascii="Cambria Math" w:hAnsi="Cambria Math"/>
              </w:rPr>
              <m:t>3</m:t>
            </m:r>
          </m:sub>
        </m:sSub>
        <m:r>
          <m:rPr>
            <m:sty m:val="p"/>
          </m:rPr>
          <w:rPr>
            <w:rFonts w:ascii="Cambria Math" w:hAnsi="Cambria Math"/>
          </w:rPr>
          <m:t xml:space="preserve"> </m:t>
        </m:r>
      </m:oMath>
      <w:r w:rsidRPr="008E4EFB">
        <w:instrText xml:space="preserve"> </w:instrText>
      </w:r>
      <w:r w:rsidRPr="008E4EFB">
        <w:fldChar w:fldCharType="end"/>
      </w:r>
      <w:r w:rsidRPr="008E4EFB">
        <w:t xml:space="preserve">precipitation concentrations on the International Network to Study Deposition and Atmospheric Chemistry in Africa (INDAAF </w:t>
      </w:r>
      <w:r w:rsidRPr="008E4EFB">
        <w:fldChar w:fldCharType="begin"/>
      </w:r>
      <w:r w:rsidR="00652E13" w:rsidRPr="008E4EFB">
        <w:instrText xml:space="preserve"> ADDIN ZOTERO_ITEM CSL_CITATION {"citationID":"GSHrpAP3","properties":{"formattedCitation":"(Institut National des Sciences de l\\uc0\\u8217{}Univers, 2021)","plainCitation":"(Institut National des Sciences de l’Univers, 2021)","noteIndex":0},"citationItems":[{"id":229,"uris":["http://zotero.org/users/3110659/items/VRX2Y9U4"],"itemData":{"id":229,"type":"webpage","container-title":"INDAAF – International Network to study Deposition and Atmospheric chemistry in AFrica","language":"en-GB","title":"INDAAF – International Network to study Deposition and Atmospheric chemistry in AFrica","URL":"https://indaaf.obs-mip.fr/","author":[{"family":"Institut National des Sciences de l’Univers","given":""}],"accessed":{"date-parts":[["2021",11,18]]},"issued":{"date-parts":[["2021"]]}}}],"schema":"https://github.com/citation-style-language/schema/raw/master/csl-citation.json"} </w:instrText>
      </w:r>
      <w:r w:rsidRPr="008E4EFB">
        <w:fldChar w:fldCharType="separate"/>
      </w:r>
      <w:r w:rsidR="00B864BC" w:rsidRPr="008E4EFB">
        <w:t>(Institut National des Sciences de l’Univers, 2021)</w:t>
      </w:r>
      <w:r w:rsidRPr="008E4EFB">
        <w:fldChar w:fldCharType="end"/>
      </w:r>
      <w:r w:rsidRPr="008E4EFB">
        <w:t>) website (</w:t>
      </w:r>
      <w:hyperlink r:id="rId16" w:history="1">
        <w:r w:rsidRPr="008E4EFB">
          <w:rPr>
            <w:rStyle w:val="Hyperlink"/>
            <w:color w:val="auto"/>
          </w:rPr>
          <w:t>https://indaaf.obs-mip.fr/</w:t>
        </w:r>
      </w:hyperlink>
      <w:r w:rsidRPr="008E4EFB">
        <w:t>) for one site in Niger. All measurements were converted to mg-N (or S) /m</w:t>
      </w:r>
      <w:r w:rsidRPr="008E4EFB">
        <w:rPr>
          <w:vertAlign w:val="superscript"/>
        </w:rPr>
        <w:t>2</w:t>
      </w:r>
      <w:r w:rsidRPr="008E4EFB">
        <w:t>/yr.</w:t>
      </w:r>
    </w:p>
    <w:p w14:paraId="5E1A7CF3" w14:textId="099FDC2D" w:rsidR="0062719E" w:rsidRPr="008E4EFB" w:rsidRDefault="0062719E" w:rsidP="00ED686E">
      <w:pPr>
        <w:pStyle w:val="Style3"/>
        <w:numPr>
          <w:ilvl w:val="1"/>
          <w:numId w:val="9"/>
        </w:numPr>
        <w:spacing w:after="240" w:line="240" w:lineRule="auto"/>
        <w:rPr>
          <w:rFonts w:cs="Times New Roman"/>
          <w:szCs w:val="24"/>
        </w:rPr>
      </w:pPr>
      <w:bookmarkStart w:id="6" w:name="_Toc179917965"/>
      <w:r w:rsidRPr="008E4EFB">
        <w:rPr>
          <w:rFonts w:cs="Times New Roman"/>
          <w:szCs w:val="24"/>
        </w:rPr>
        <w:t>Measurement Model Fusion Procedure</w:t>
      </w:r>
      <w:bookmarkEnd w:id="6"/>
    </w:p>
    <w:p w14:paraId="1742A595" w14:textId="666E1A75" w:rsidR="0062719E" w:rsidRPr="008E4EFB" w:rsidRDefault="0062719E" w:rsidP="00936B99">
      <w:pPr>
        <w:pStyle w:val="Text"/>
        <w:spacing w:before="0" w:line="360" w:lineRule="auto"/>
        <w:ind w:firstLine="0"/>
      </w:pPr>
      <w:r w:rsidRPr="008E4EFB">
        <w:t>Global yearly wet and dry NO</w:t>
      </w:r>
      <w:r w:rsidRPr="008E4EFB">
        <w:rPr>
          <w:vertAlign w:val="subscript"/>
        </w:rPr>
        <w:t>3</w:t>
      </w:r>
      <w:r w:rsidRPr="008E4EFB">
        <w:rPr>
          <w:vertAlign w:val="superscript"/>
        </w:rPr>
        <w:t>-</w:t>
      </w:r>
      <w:r w:rsidRPr="008E4EFB">
        <w:t>, NH</w:t>
      </w:r>
      <w:r w:rsidRPr="008E4EFB">
        <w:rPr>
          <w:vertAlign w:val="subscript"/>
        </w:rPr>
        <w:t>4</w:t>
      </w:r>
      <w:r w:rsidRPr="008E4EFB">
        <w:rPr>
          <w:vertAlign w:val="superscript"/>
        </w:rPr>
        <w:t>+</w:t>
      </w:r>
      <w:r w:rsidRPr="008E4EFB">
        <w:t>, and SO</w:t>
      </w:r>
      <w:r w:rsidRPr="008E4EFB">
        <w:rPr>
          <w:vertAlign w:val="subscript"/>
        </w:rPr>
        <w:t>4</w:t>
      </w:r>
      <w:r w:rsidRPr="008E4EFB">
        <w:rPr>
          <w:vertAlign w:val="superscript"/>
        </w:rPr>
        <w:t>2-</w:t>
      </w:r>
      <w:r w:rsidRPr="008E4EFB">
        <w:t xml:space="preserve"> deposition observations (for wet deposition) or estimates derived from near-surface concentrations and modelled deposition velocities for dry deposition) were combined with the respective HTAP II model average grid cell estimates, using model output interpolated to common 1 degree x 1 degree (1⁰ x 1⁰) grid cells (</w:t>
      </w:r>
      <w:r w:rsidRPr="007F403E">
        <w:rPr>
          <w:b/>
          <w:bCs/>
        </w:rPr>
        <w:t xml:space="preserve">Figure </w:t>
      </w:r>
      <w:r w:rsidR="00C708E5" w:rsidRPr="007F403E">
        <w:rPr>
          <w:b/>
          <w:bCs/>
        </w:rPr>
        <w:t>2.</w:t>
      </w:r>
      <w:r w:rsidRPr="007F403E">
        <w:rPr>
          <w:b/>
          <w:bCs/>
        </w:rPr>
        <w:t>1</w:t>
      </w:r>
      <w:r w:rsidRPr="008E4EFB">
        <w:t>). For example, wet NO</w:t>
      </w:r>
      <w:r w:rsidRPr="008E4EFB">
        <w:rPr>
          <w:vertAlign w:val="subscript"/>
        </w:rPr>
        <w:t>3</w:t>
      </w:r>
      <w:r w:rsidRPr="008E4EFB">
        <w:rPr>
          <w:vertAlign w:val="superscript"/>
        </w:rPr>
        <w:t>-</w:t>
      </w:r>
      <w:r w:rsidRPr="008E4EFB">
        <w:t xml:space="preserve"> deposition observations are combined with the wet NO</w:t>
      </w:r>
      <w:r w:rsidRPr="008E4EFB">
        <w:rPr>
          <w:vertAlign w:val="subscript"/>
        </w:rPr>
        <w:t>3</w:t>
      </w:r>
      <w:r w:rsidRPr="008E4EFB">
        <w:rPr>
          <w:vertAlign w:val="superscript"/>
        </w:rPr>
        <w:t>-</w:t>
      </w:r>
      <w:r w:rsidRPr="008E4EFB">
        <w:t xml:space="preserve"> modeled deposition in the nearest HTAP II MMM grid cell to the observation, where observations exist. Dry deposition values (NO</w:t>
      </w:r>
      <w:r w:rsidRPr="008E4EFB">
        <w:rPr>
          <w:vertAlign w:val="subscript"/>
        </w:rPr>
        <w:t>3</w:t>
      </w:r>
      <w:r w:rsidRPr="008E4EFB">
        <w:rPr>
          <w:vertAlign w:val="superscript"/>
        </w:rPr>
        <w:t>-</w:t>
      </w:r>
      <w:r w:rsidRPr="008E4EFB">
        <w:t>, NH</w:t>
      </w:r>
      <w:r w:rsidRPr="008E4EFB">
        <w:rPr>
          <w:vertAlign w:val="subscript"/>
        </w:rPr>
        <w:t>4</w:t>
      </w:r>
      <w:r w:rsidRPr="008E4EFB">
        <w:rPr>
          <w:vertAlign w:val="superscript"/>
        </w:rPr>
        <w:t>+</w:t>
      </w:r>
      <w:r w:rsidRPr="008E4EFB">
        <w:t>, and SO</w:t>
      </w:r>
      <w:r w:rsidRPr="008E4EFB">
        <w:rPr>
          <w:vertAlign w:val="subscript"/>
        </w:rPr>
        <w:t>4</w:t>
      </w:r>
      <w:r w:rsidRPr="008E4EFB">
        <w:rPr>
          <w:vertAlign w:val="superscript"/>
        </w:rPr>
        <w:t>2-</w:t>
      </w:r>
      <w:r w:rsidRPr="008E4EFB">
        <w:t xml:space="preserve">) from CASTNET and an inverse-distance weighted 1⁰ x 1⁰ gridded dataset was created based on the distance from each observation to the center of the nearest HTAP II model grid cell. Inverse-distance weighting (IDW) was selected as the most </w:t>
      </w:r>
    </w:p>
    <w:p w14:paraId="2DF6A6FA" w14:textId="77777777" w:rsidR="005757D9" w:rsidRPr="008E4EFB" w:rsidRDefault="0062719E" w:rsidP="00ED686E">
      <w:pPr>
        <w:pStyle w:val="Caption"/>
        <w:rPr>
          <w:rFonts w:ascii="Times New Roman" w:hAnsi="Times New Roman" w:cs="Times New Roman"/>
          <w:color w:val="auto"/>
          <w:sz w:val="24"/>
          <w:szCs w:val="24"/>
        </w:rPr>
      </w:pPr>
      <w:r w:rsidRPr="008E4EFB">
        <w:rPr>
          <w:rFonts w:ascii="Times New Roman" w:hAnsi="Times New Roman" w:cs="Times New Roman"/>
          <w:noProof/>
          <w:color w:val="auto"/>
          <w:sz w:val="24"/>
          <w:szCs w:val="24"/>
          <w:lang w:val="en-GB" w:eastAsia="en-GB"/>
        </w:rPr>
        <w:lastRenderedPageBreak/>
        <w:drawing>
          <wp:inline distT="0" distB="0" distL="0" distR="0" wp14:anchorId="00FC5902" wp14:editId="6BEF64C9">
            <wp:extent cx="5943600" cy="3348355"/>
            <wp:effectExtent l="0" t="0" r="0" b="4445"/>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7"/>
                    <a:stretch>
                      <a:fillRect/>
                    </a:stretch>
                  </pic:blipFill>
                  <pic:spPr>
                    <a:xfrm>
                      <a:off x="0" y="0"/>
                      <a:ext cx="5943600" cy="3348355"/>
                    </a:xfrm>
                    <a:prstGeom prst="rect">
                      <a:avLst/>
                    </a:prstGeom>
                  </pic:spPr>
                </pic:pic>
              </a:graphicData>
            </a:graphic>
          </wp:inline>
        </w:drawing>
      </w:r>
    </w:p>
    <w:p w14:paraId="42E630EB" w14:textId="4118BE45" w:rsidR="009A4202" w:rsidRDefault="009A4202" w:rsidP="00ED686E">
      <w:pPr>
        <w:pStyle w:val="Caption"/>
        <w:rPr>
          <w:rFonts w:ascii="Times New Roman" w:hAnsi="Times New Roman" w:cs="Times New Roman"/>
          <w:i w:val="0"/>
          <w:iCs w:val="0"/>
          <w:color w:val="auto"/>
          <w:sz w:val="24"/>
          <w:szCs w:val="24"/>
        </w:rPr>
      </w:pPr>
      <w:bookmarkStart w:id="7" w:name="_Toc179917558"/>
      <w:bookmarkStart w:id="8" w:name="_Toc179918038"/>
      <w:bookmarkStart w:id="9" w:name="_Toc184062893"/>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1</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A flowchart describes the MMF methodology implemented in this paper.</w:t>
      </w:r>
      <w:bookmarkEnd w:id="7"/>
      <w:bookmarkEnd w:id="8"/>
      <w:bookmarkEnd w:id="9"/>
    </w:p>
    <w:p w14:paraId="1872CAAC" w14:textId="77777777" w:rsidR="00936B99" w:rsidRDefault="00936B99" w:rsidP="00936B99"/>
    <w:p w14:paraId="4B240509" w14:textId="77777777" w:rsidR="00936B99" w:rsidRDefault="00936B99" w:rsidP="00936B99">
      <w:pPr>
        <w:pStyle w:val="Text"/>
        <w:spacing w:before="0" w:line="360" w:lineRule="auto"/>
        <w:ind w:firstLine="0"/>
      </w:pPr>
    </w:p>
    <w:p w14:paraId="5BD8C272" w14:textId="77777777" w:rsidR="00936B99" w:rsidRDefault="00936B99" w:rsidP="00936B99">
      <w:pPr>
        <w:pStyle w:val="Text"/>
        <w:spacing w:before="0" w:line="360" w:lineRule="auto"/>
        <w:ind w:firstLine="0"/>
      </w:pPr>
    </w:p>
    <w:p w14:paraId="4D6F7F85" w14:textId="77777777" w:rsidR="00936B99" w:rsidRDefault="00936B99" w:rsidP="00936B99">
      <w:pPr>
        <w:pStyle w:val="Text"/>
        <w:spacing w:before="0" w:line="360" w:lineRule="auto"/>
        <w:ind w:firstLine="0"/>
      </w:pPr>
    </w:p>
    <w:p w14:paraId="32E4E499" w14:textId="77777777" w:rsidR="00936B99" w:rsidRDefault="00936B99" w:rsidP="00936B99">
      <w:pPr>
        <w:pStyle w:val="Text"/>
        <w:spacing w:before="0" w:line="360" w:lineRule="auto"/>
        <w:ind w:firstLine="0"/>
      </w:pPr>
    </w:p>
    <w:p w14:paraId="55B9C402" w14:textId="77777777" w:rsidR="00936B99" w:rsidRDefault="00936B99" w:rsidP="00936B99">
      <w:pPr>
        <w:pStyle w:val="Text"/>
        <w:spacing w:before="0" w:line="360" w:lineRule="auto"/>
        <w:ind w:firstLine="0"/>
      </w:pPr>
    </w:p>
    <w:p w14:paraId="13B7775E" w14:textId="77777777" w:rsidR="00936B99" w:rsidRDefault="00936B99" w:rsidP="00936B99">
      <w:pPr>
        <w:pStyle w:val="Text"/>
        <w:spacing w:before="0" w:line="360" w:lineRule="auto"/>
        <w:ind w:firstLine="0"/>
      </w:pPr>
    </w:p>
    <w:p w14:paraId="25B13362" w14:textId="77777777" w:rsidR="00936B99" w:rsidRDefault="00936B99" w:rsidP="00936B99">
      <w:pPr>
        <w:pStyle w:val="Text"/>
        <w:spacing w:before="0" w:line="360" w:lineRule="auto"/>
        <w:ind w:firstLine="0"/>
      </w:pPr>
    </w:p>
    <w:p w14:paraId="005F71B2" w14:textId="77777777" w:rsidR="00936B99" w:rsidRDefault="00936B99" w:rsidP="00936B99">
      <w:pPr>
        <w:pStyle w:val="Text"/>
        <w:spacing w:before="0" w:line="360" w:lineRule="auto"/>
        <w:ind w:firstLine="0"/>
      </w:pPr>
    </w:p>
    <w:p w14:paraId="6226525D" w14:textId="77777777" w:rsidR="00936B99" w:rsidRDefault="00936B99" w:rsidP="00936B99">
      <w:pPr>
        <w:pStyle w:val="Text"/>
        <w:spacing w:before="0" w:line="360" w:lineRule="auto"/>
        <w:ind w:firstLine="0"/>
      </w:pPr>
    </w:p>
    <w:p w14:paraId="7A9D6185" w14:textId="77777777" w:rsidR="00936B99" w:rsidRDefault="00936B99" w:rsidP="00936B99">
      <w:pPr>
        <w:pStyle w:val="Text"/>
        <w:spacing w:before="0" w:line="360" w:lineRule="auto"/>
        <w:ind w:firstLine="0"/>
      </w:pPr>
    </w:p>
    <w:p w14:paraId="2EF55AED" w14:textId="77777777" w:rsidR="00936B99" w:rsidRDefault="00936B99" w:rsidP="00936B99">
      <w:pPr>
        <w:pStyle w:val="Text"/>
        <w:spacing w:before="0" w:line="360" w:lineRule="auto"/>
        <w:ind w:firstLine="0"/>
      </w:pPr>
    </w:p>
    <w:p w14:paraId="501C8494" w14:textId="77777777" w:rsidR="00936B99" w:rsidRDefault="00936B99" w:rsidP="00936B99">
      <w:pPr>
        <w:pStyle w:val="Text"/>
        <w:spacing w:before="0" w:line="360" w:lineRule="auto"/>
        <w:ind w:firstLine="0"/>
      </w:pPr>
    </w:p>
    <w:p w14:paraId="1C711BF2" w14:textId="77777777" w:rsidR="00936B99" w:rsidRDefault="00936B99" w:rsidP="00936B99">
      <w:pPr>
        <w:pStyle w:val="Text"/>
        <w:spacing w:before="0" w:line="360" w:lineRule="auto"/>
        <w:ind w:firstLine="0"/>
      </w:pPr>
    </w:p>
    <w:p w14:paraId="3C832E09" w14:textId="77777777" w:rsidR="00936B99" w:rsidRDefault="00936B99" w:rsidP="00936B99">
      <w:pPr>
        <w:pStyle w:val="Text"/>
        <w:spacing w:before="0" w:line="360" w:lineRule="auto"/>
        <w:ind w:firstLine="0"/>
      </w:pPr>
    </w:p>
    <w:p w14:paraId="353A1174" w14:textId="77777777" w:rsidR="00936B99" w:rsidRDefault="00936B99" w:rsidP="00936B99">
      <w:pPr>
        <w:pStyle w:val="Text"/>
        <w:spacing w:before="0" w:line="360" w:lineRule="auto"/>
        <w:ind w:firstLine="0"/>
      </w:pPr>
    </w:p>
    <w:p w14:paraId="4876497A" w14:textId="77777777" w:rsidR="00936B99" w:rsidRDefault="00936B99" w:rsidP="00936B99">
      <w:pPr>
        <w:pStyle w:val="Text"/>
        <w:spacing w:before="0" w:line="360" w:lineRule="auto"/>
        <w:ind w:firstLine="0"/>
      </w:pPr>
    </w:p>
    <w:p w14:paraId="46E1C58F" w14:textId="0FBC5E31" w:rsidR="00936B99" w:rsidRPr="008E4EFB" w:rsidRDefault="00936B99" w:rsidP="00936B99">
      <w:pPr>
        <w:pStyle w:val="Text"/>
        <w:spacing w:before="0" w:line="360" w:lineRule="auto"/>
        <w:ind w:firstLine="0"/>
      </w:pPr>
      <w:r w:rsidRPr="008E4EFB">
        <w:lastRenderedPageBreak/>
        <w:t xml:space="preserve">straight forward to implement method to introduce MMF on a global scale while remaining consistent with previous work </w:t>
      </w:r>
      <w:r w:rsidRPr="008E4EFB">
        <w:fldChar w:fldCharType="begin"/>
      </w:r>
      <w:r w:rsidRPr="008E4EFB">
        <w:instrText xml:space="preserve"> ADDIN ZOTERO_ITEM CSL_CITATION {"citationID":"gJeg6PvB","properties":{"formattedCitation":"(D. B. Schwede &amp; Lear, 2014)","plainCitation":"(D. B. Schwede &amp; Lear, 2014)","noteIndex":0},"citationItems":[{"id":1267,"uris":["http://zotero.org/users/3110659/items/3Z72C2D5"],"itemData":{"id":1267,"type":"article-journal","container-title":"Atmospheric Environment","DOI":"10.1016/j.atmosenv.2014.04.008","page":"207-220","title":"A novel hybrid approach for estimating total deposition in the United States","volume":"92","author":[{"family":"Schwede","given":"Donna B."},{"family":"Lear","given":"Gary G."}],"issued":{"date-parts":[["2014"]]}}}],"schema":"https://github.com/citation-style-language/schema/raw/master/csl-citation.json"} </w:instrText>
      </w:r>
      <w:r w:rsidRPr="008E4EFB">
        <w:fldChar w:fldCharType="separate"/>
      </w:r>
      <w:r w:rsidRPr="008E4EFB">
        <w:t>(D. B. Schwede &amp; Lear, 2014)</w:t>
      </w:r>
      <w:r w:rsidRPr="008E4EFB">
        <w:fldChar w:fldCharType="end"/>
      </w:r>
      <w:r w:rsidRPr="008E4EFB">
        <w:t xml:space="preserve">. </w:t>
      </w:r>
    </w:p>
    <w:p w14:paraId="5E64E394" w14:textId="77777777" w:rsidR="00936B99" w:rsidRPr="008E4EFB" w:rsidRDefault="00936B99" w:rsidP="00936B99">
      <w:pPr>
        <w:pStyle w:val="Text"/>
        <w:spacing w:before="0" w:line="360" w:lineRule="auto"/>
        <w:ind w:firstLine="0"/>
      </w:pPr>
      <w:r w:rsidRPr="008E4EFB">
        <w:t xml:space="preserve">The weighting function was calculated as </w:t>
      </w:r>
    </w:p>
    <w:p w14:paraId="5F7B7C6E" w14:textId="77777777" w:rsidR="00936B99" w:rsidRPr="008E4EFB" w:rsidRDefault="00000000" w:rsidP="00936B99">
      <w:pPr>
        <w:pStyle w:val="Abstract"/>
        <w:spacing w:before="0" w:line="360" w:lineRule="auto"/>
        <w:ind w:left="2160" w:firstLine="720"/>
        <w:jc w:val="center"/>
      </w:pPr>
      <m:oMath>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distance</m:t>
                    </m:r>
                  </m:num>
                  <m:den>
                    <m:r>
                      <w:rPr>
                        <w:rFonts w:ascii="Cambria Math" w:hAnsi="Cambria Math"/>
                      </w:rPr>
                      <m:t>max distance</m:t>
                    </m:r>
                  </m:den>
                </m:f>
              </m:e>
            </m:d>
          </m:e>
          <m:sup>
            <m:r>
              <w:rPr>
                <w:rFonts w:ascii="Cambria Math" w:hAnsi="Cambria Math"/>
              </w:rPr>
              <m:t>2</m:t>
            </m:r>
          </m:sup>
        </m:sSup>
        <m:r>
          <w:rPr>
            <w:rFonts w:ascii="Cambria Math" w:hAnsi="Cambria Math"/>
          </w:rPr>
          <m:t xml:space="preserve"> </m:t>
        </m:r>
      </m:oMath>
      <w:r w:rsidR="00936B99" w:rsidRPr="008E4EFB">
        <w:t xml:space="preserve"> </w:t>
      </w:r>
      <w:r w:rsidR="00936B99" w:rsidRPr="008E4EFB">
        <w:tab/>
      </w:r>
      <w:r w:rsidR="00936B99" w:rsidRPr="008E4EFB">
        <w:tab/>
      </w:r>
      <w:r w:rsidR="00936B99" w:rsidRPr="008E4EFB">
        <w:tab/>
      </w:r>
      <w:r w:rsidR="00936B99" w:rsidRPr="008E4EFB">
        <w:tab/>
      </w:r>
      <w:r w:rsidR="00936B99" w:rsidRPr="008E4EFB">
        <w:tab/>
        <w:t>(1)</w:t>
      </w:r>
    </w:p>
    <w:p w14:paraId="1F6175BC" w14:textId="77777777" w:rsidR="00936B99" w:rsidRPr="008E4EFB" w:rsidRDefault="00936B99" w:rsidP="00936B99">
      <w:pPr>
        <w:pStyle w:val="Abstract"/>
        <w:spacing w:before="0" w:line="360" w:lineRule="auto"/>
      </w:pPr>
      <w:r w:rsidRPr="008E4EFB">
        <w:t xml:space="preserve">following Schwede and Lear’s </w:t>
      </w:r>
      <w:r w:rsidRPr="008E4EFB">
        <w:fldChar w:fldCharType="begin"/>
      </w:r>
      <w:r w:rsidRPr="008E4EFB">
        <w:instrText xml:space="preserve"> ADDIN ZOTERO_ITEM CSL_CITATION {"citationID":"bfqMB4h2","properties":{"formattedCitation":"(D. B. Schwede &amp; Lear, 2014)","plainCitation":"(D. B. Schwede &amp; Lear, 2014)","noteIndex":0},"citationItems":[{"id":1267,"uris":["http://zotero.org/users/3110659/items/3Z72C2D5"],"itemData":{"id":1267,"type":"article-journal","container-title":"Atmospheric Environment","DOI":"10.1016/j.atmosenv.2014.04.008","page":"207-220","title":"A novel hybrid approach for estimating total deposition in the United States","volume":"92","author":[{"family":"Schwede","given":"Donna B."},{"family":"Lear","given":"Gary G."}],"issued":{"date-parts":[["2014"]]}}}],"schema":"https://github.com/citation-style-language/schema/raw/master/csl-citation.json"} </w:instrText>
      </w:r>
      <w:r w:rsidRPr="008E4EFB">
        <w:fldChar w:fldCharType="separate"/>
      </w:r>
      <w:r w:rsidRPr="008E4EFB">
        <w:t>(D. B. Schwede &amp; Lear, 2014)</w:t>
      </w:r>
      <w:r w:rsidRPr="008E4EFB">
        <w:fldChar w:fldCharType="end"/>
      </w:r>
      <w:r w:rsidRPr="008E4EFB">
        <w:t xml:space="preserve"> approach for the TDep product, where “distance” is the distance between the site location and the center of the HTAP II model grid cell nearest to that sampling site location, within a maximum distance of 2.5⁰ (approximately 280 km at middle latitudes). The choice of the maximum distance is a crucial parameter for the inverse distance weighting method in MMF. Prior analysis (e.g. Tan et al. 2018b) has shown that gaseous and particulate sulfur and nitrogen emissions can travel several hundreds of kilometers, before being deposited, although there is likely to be a large variation of transport distances due to regional differences in chemistry, meteorological conditions, transport patterns and removal processes. These processes interact with spatially heterogeneous emissions. Since there will not be a single distance that captures the heterogeneity of all processes at play, we present here a base case using a 2.5⁰ interpolation distance, and two sensitivity cases reducing the distance to 1⁰ and increasing it to 5⁰, respectively. The 5⁰ distance can be seen as an upper limit for the distance where deposition observations can constrain deposition.  The output values of the weighting function at each observation location are then multiplied by the observed deposition. For the center of every HTAP II model grid cell near that site, the modeled deposition is multiplied by 1 minus the value of the weighting function. Consequently, if there are no observations near the model grid cells, the cell value remains the same. The two grid values ([weighting function times observed deposition] and [1-weighting function times modeled deposition]) are added together to give the value of the MMF estimate. This has the effect of modifying the HTAP II grid values only in locations where there are observations within the maximum interpolation distance.</w:t>
      </w:r>
    </w:p>
    <w:p w14:paraId="5569FDC8" w14:textId="46D3434E" w:rsidR="00936B99" w:rsidRPr="00936B99" w:rsidRDefault="00936B99" w:rsidP="00936B99">
      <w:pPr>
        <w:pStyle w:val="Abstract"/>
        <w:spacing w:before="0" w:line="360" w:lineRule="auto"/>
      </w:pPr>
      <w:r w:rsidRPr="008E4EFB">
        <w:t>The MMF gridded surfaces were then summed by species along with the remaining unchanged HTAP II gridded surfaces that lacked in-situ measurements to create total N and S deposition gridded surfaces (e.g., the MMF wet and dry SO</w:t>
      </w:r>
      <w:r w:rsidRPr="008E4EFB">
        <w:rPr>
          <w:vertAlign w:val="subscript"/>
        </w:rPr>
        <w:t>4</w:t>
      </w:r>
      <w:r w:rsidRPr="008E4EFB">
        <w:rPr>
          <w:vertAlign w:val="superscript"/>
        </w:rPr>
        <w:t>2-</w:t>
      </w:r>
      <w:r w:rsidRPr="008E4EFB">
        <w:t xml:space="preserve"> gridded surfaces were added to the HTAP II wet and dry SO</w:t>
      </w:r>
      <w:r w:rsidRPr="008E4EFB">
        <w:rPr>
          <w:vertAlign w:val="subscript"/>
        </w:rPr>
        <w:t>2</w:t>
      </w:r>
      <w:r w:rsidRPr="008E4EFB">
        <w:t xml:space="preserve"> gridded surfaces to get total S deposition). The MMF wet deposition surfaces include measurements from Europe, Asia, and North America, and the dry deposition MMF surfaces include estimates from the USA and Asia (see section 2)</w:t>
      </w:r>
    </w:p>
    <w:p w14:paraId="08923305" w14:textId="29F22092" w:rsidR="0062719E" w:rsidRPr="008E4EFB" w:rsidRDefault="0062719E" w:rsidP="00936B99">
      <w:pPr>
        <w:pStyle w:val="Style3"/>
        <w:numPr>
          <w:ilvl w:val="1"/>
          <w:numId w:val="9"/>
        </w:numPr>
        <w:spacing w:before="0" w:line="360" w:lineRule="auto"/>
        <w:rPr>
          <w:rFonts w:cs="Times New Roman"/>
          <w:szCs w:val="24"/>
        </w:rPr>
      </w:pPr>
      <w:bookmarkStart w:id="10" w:name="_Toc179917966"/>
      <w:r w:rsidRPr="008E4EFB">
        <w:rPr>
          <w:rFonts w:cs="Times New Roman"/>
          <w:szCs w:val="24"/>
        </w:rPr>
        <w:lastRenderedPageBreak/>
        <w:t>Results</w:t>
      </w:r>
      <w:bookmarkEnd w:id="10"/>
    </w:p>
    <w:p w14:paraId="73030DE3" w14:textId="72F5F477" w:rsidR="00E00755" w:rsidRPr="008E4EFB" w:rsidRDefault="0062719E" w:rsidP="00936B99">
      <w:pPr>
        <w:pStyle w:val="Abstract"/>
        <w:spacing w:before="0" w:line="360" w:lineRule="auto"/>
      </w:pPr>
      <w:r w:rsidRPr="008E4EFB">
        <w:t xml:space="preserve">The total global </w:t>
      </w:r>
      <w:proofErr w:type="spellStart"/>
      <w:r w:rsidRPr="008E4EFB">
        <w:t>NH</w:t>
      </w:r>
      <w:r w:rsidRPr="008E4EFB">
        <w:rPr>
          <w:vertAlign w:val="subscript"/>
        </w:rPr>
        <w:t>x</w:t>
      </w:r>
      <w:proofErr w:type="spellEnd"/>
      <w:r w:rsidRPr="008E4EFB">
        <w:t xml:space="preserve"> deposition in 2010 increased from 54.0 Tg-N (from HTAP II models) to 54.9 Tg-N (</w:t>
      </w:r>
      <w:r w:rsidRPr="007F0D68">
        <w:rPr>
          <w:b/>
          <w:bCs/>
        </w:rPr>
        <w:t>Table 2</w:t>
      </w:r>
      <w:r w:rsidR="00953B86" w:rsidRPr="007F0D68">
        <w:rPr>
          <w:b/>
          <w:bCs/>
        </w:rPr>
        <w:t>.2</w:t>
      </w:r>
      <w:r w:rsidRPr="008E4EFB">
        <w:t xml:space="preserve">). Combined with a </w:t>
      </w:r>
      <w:proofErr w:type="spellStart"/>
      <w:r w:rsidRPr="008E4EFB">
        <w:t>NO</w:t>
      </w:r>
      <w:r w:rsidRPr="008E4EFB">
        <w:rPr>
          <w:vertAlign w:val="subscript"/>
        </w:rPr>
        <w:t>y</w:t>
      </w:r>
      <w:proofErr w:type="spellEnd"/>
      <w:r w:rsidRPr="008E4EFB">
        <w:t xml:space="preserve"> deposition of 59.6 Tg-N (from a modeled HTAP II 59.3 Tg-N), the total global deposition is adjusted to 114.5Tg-N (from 113 Tg-N), an increase by 1 %. While the IDW tends to decrease the depositions over the continents, an increase is calculated over coastal regions and open oceans using the 2.5x2.5 maximum distance. Total S deposition is adjusted to 88.91 Tg-S (</w:t>
      </w:r>
      <w:r w:rsidRPr="007F403E">
        <w:rPr>
          <w:b/>
          <w:bCs/>
        </w:rPr>
        <w:t>Table 2</w:t>
      </w:r>
      <w:r w:rsidR="00953B86" w:rsidRPr="007F403E">
        <w:rPr>
          <w:b/>
          <w:bCs/>
        </w:rPr>
        <w:t>.2</w:t>
      </w:r>
      <w:r w:rsidRPr="008E4EFB">
        <w:t>), an increase by 6.5 % from the HTAP II model prediction of 83.5 Tg-S (</w:t>
      </w:r>
      <w:r w:rsidRPr="007F403E">
        <w:rPr>
          <w:b/>
          <w:bCs/>
        </w:rPr>
        <w:t>Figure 2</w:t>
      </w:r>
      <w:r w:rsidR="00953B86" w:rsidRPr="007F403E">
        <w:rPr>
          <w:b/>
          <w:bCs/>
        </w:rPr>
        <w:t>.2</w:t>
      </w:r>
      <w:r w:rsidRPr="007F403E">
        <w:rPr>
          <w:b/>
          <w:bCs/>
        </w:rPr>
        <w:t>B</w:t>
      </w:r>
      <w:r w:rsidRPr="008E4EFB">
        <w:t xml:space="preserve">). Regional changes greater than or equal to 10% are bolded and italicized. </w:t>
      </w:r>
    </w:p>
    <w:p w14:paraId="49A91AB3" w14:textId="77777777" w:rsidR="00936B99" w:rsidRPr="008E4EFB" w:rsidRDefault="00936B99" w:rsidP="00936B99">
      <w:pPr>
        <w:pStyle w:val="Abstract"/>
        <w:spacing w:before="0" w:line="360" w:lineRule="auto"/>
      </w:pPr>
      <w:bookmarkStart w:id="11" w:name="_Toc184062956"/>
      <w:r w:rsidRPr="008E4EFB">
        <w:t xml:space="preserve">Tan et al. (2018) </w:t>
      </w:r>
      <w:proofErr w:type="gramStart"/>
      <w:r w:rsidRPr="008E4EFB">
        <w:t>report</w:t>
      </w:r>
      <w:proofErr w:type="gramEnd"/>
      <w:r w:rsidRPr="008E4EFB">
        <w:t xml:space="preserve"> that their MMM underestimates the high observations of total N deposition at some EMEP stations in Europe. We find that the 2.5⁰ interpolation value for European wet N deposition (8.0 Tg) is increased by 12.5% relative to the MMM surface (7.1 Tg), although the distance to the observations remains high (</w:t>
      </w:r>
      <w:r w:rsidRPr="007F403E">
        <w:rPr>
          <w:b/>
          <w:bCs/>
        </w:rPr>
        <w:t>Figure 2.3</w:t>
      </w:r>
      <w:r w:rsidRPr="008E4EFB">
        <w:t xml:space="preserve">). </w:t>
      </w:r>
      <w:r w:rsidRPr="00FE3C56">
        <w:rPr>
          <w:b/>
          <w:bCs/>
        </w:rPr>
        <w:t>Figures 2.4, S2.4 and S2.5</w:t>
      </w:r>
      <w:r w:rsidRPr="008E4EFB">
        <w:t xml:space="preserve"> show the difference between HTAP-II MMM and MMF nitrogen and sulfur deposition in North America, Europe, and Asia in mg/m</w:t>
      </w:r>
      <w:r w:rsidRPr="008E4EFB">
        <w:rPr>
          <w:vertAlign w:val="superscript"/>
        </w:rPr>
        <w:t>2</w:t>
      </w:r>
      <w:r w:rsidRPr="008E4EFB">
        <w:t xml:space="preserve"> with different interpolation distances. As the interpolation distance increases, locations with a single measurement that is very different from the model </w:t>
      </w:r>
      <w:proofErr w:type="gramStart"/>
      <w:r w:rsidRPr="008E4EFB">
        <w:t>will  influence</w:t>
      </w:r>
      <w:proofErr w:type="gramEnd"/>
      <w:r w:rsidRPr="008E4EFB">
        <w:t xml:space="preserve"> the surrounding grid cells to be higher than the model. This effect is in particular pronounced for sulfur deposition in Southeast Asia (</w:t>
      </w:r>
      <w:r w:rsidRPr="007F403E">
        <w:rPr>
          <w:b/>
          <w:bCs/>
        </w:rPr>
        <w:t>Figure 2.4 B3</w:t>
      </w:r>
      <w:r w:rsidRPr="008E4EFB">
        <w:t>) where the MMF procedure increases deposition by up to 250 mg/m</w:t>
      </w:r>
      <w:r w:rsidRPr="008E4EFB">
        <w:rPr>
          <w:vertAlign w:val="superscript"/>
        </w:rPr>
        <w:t>2</w:t>
      </w:r>
      <w:r w:rsidRPr="008E4EFB">
        <w:t xml:space="preserve"> relative to the MMM values. </w:t>
      </w:r>
    </w:p>
    <w:p w14:paraId="051CE241" w14:textId="77777777" w:rsidR="00936B99" w:rsidRPr="008E4EFB" w:rsidRDefault="00936B99" w:rsidP="00936B99">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The spatial distribution is slightly different, with more deposition in coastal areas in the MMF estimate (</w:t>
      </w:r>
      <w:r w:rsidRPr="007F0D68">
        <w:rPr>
          <w:rFonts w:ascii="Times New Roman" w:hAnsi="Times New Roman" w:cs="Times New Roman"/>
          <w:b/>
          <w:bCs/>
          <w:sz w:val="24"/>
          <w:szCs w:val="24"/>
        </w:rPr>
        <w:t>Table 2.2</w:t>
      </w:r>
      <w:r w:rsidRPr="008E4EFB">
        <w:rPr>
          <w:rFonts w:ascii="Times New Roman" w:hAnsi="Times New Roman" w:cs="Times New Roman"/>
          <w:sz w:val="24"/>
          <w:szCs w:val="24"/>
        </w:rPr>
        <w:t xml:space="preserve">). Tan et al.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{"citationID":"az8mGzvm","properties":{"formattedCitation":"(Tan et al., 2018)","plainCitation":"(Tan et al., 2018)","dontUpdate":true,"noteIndex":0},"citationItems":[{"id":1231,"uris":["http://zotero.org/users/3110659/items/GSC9KE5I"],"itemData":{"id":1231,"type":"article-journal","abstract":"&lt;p&gt;&lt;strong class=\"journal-contentHeaderColor\"&gt;Abstract.&lt;/strong&gt; This study uses multi-model ensemble results of 11 models from the second phase of Task Force Hemispheric Transport of Air Pollution (HTAP II) to calculate the global sulfur (S) and nitrogen (N) deposition in 2010. Modeled wet deposition is evaluated with observation networks in North America, Europe and East Asia. The modeled results agree well with observations, with 76–83&amp;thinsp;% of stations being predicted within &lt;span class=\"inline-formula\"&gt;±&lt;/span&gt;50&amp;thinsp;% of observations. The models underestimate SO&lt;span class=\"inline-formula\"&gt;&lt;math xmlns=\"http://www.w3.org/1998/Math/MathML\" id=\"M2\" display=\"inline\" overflow=\"scroll\" dspmath=\"mathml\"&gt;&lt;mrow&gt;&lt;msubsup&gt;&lt;mi/&gt;&lt;mn mathvariant=\"normal\"&gt;4&lt;/mn&gt;&lt;mrow&gt;&lt;mn mathvariant=\"normal\"&gt;2&lt;/mn&gt;&lt;mo&gt;-&lt;/mo&gt;&lt;/mrow&gt;&lt;/msubsup&gt;&lt;/mrow&gt;&lt;/math&gt;&lt;span&gt;&lt;svg:svg xmlns:svg=\"http://www.w3.org/2000/svg\" width=\"13pt\" height=\"17pt\" class=\"svg-formula\" dspmath=\"mathimg\" md5hash=\"63f11f9b60a09208ebeae789905b238b\"&gt;&lt;svg:image xmlns:xlink=\"http://www.w3.org/1999/xlink\" xlink:href=\"acp-18-6847-2018-ie00001.svg\" width=\"13pt\" height=\"17pt\" src=\"acp-18-6847-2018-ie00001.png\"/&gt;&lt;/svg:svg&gt;&lt;/span&gt;&lt;/span&gt;, NO&lt;span class=\"inline-formula\"&gt;&lt;math xmlns=\"http://www.w3.org/1998/Math/MathML\" id=\"M3\" display=\"inline\" overflow=\"scroll\" dspmath=\"mathml\"&gt;&lt;mrow&gt;&lt;msubsup&gt;&lt;mi/&gt;&lt;mn mathvariant=\"normal\"&gt;3&lt;/mn&gt;&lt;mo&gt;-&lt;/mo&gt;&lt;/msubsup&gt;&lt;/mrow&gt;&lt;/math&gt;&lt;span&gt;&lt;svg:svg xmlns:svg=\"http://www.w3.org/2000/svg\" width=\"9pt\" height=\"16pt\" class=\"svg-formula\" dspmath=\"mathimg\" md5hash=\"0aaab3ee324d7a9ba8e4b96f67d8036e\"&gt;&lt;svg:image xmlns:xlink=\"http://www.w3.org/1999/xlink\" xlink:href=\"acp-18-6847-2018-ie00002.svg\" width=\"9pt\" height=\"16pt\" src=\"acp-18-6847-2018-ie00002.png\"/&gt;&lt;/svg:svg&gt;&lt;/span&gt;&lt;/span&gt; and NH&lt;span class=\"inline-formula\"&gt;&lt;math xmlns=\"http://www.w3.org/1998/Math/MathML\" id=\"M4\" display=\"inline\" overflow=\"scroll\" dspmath=\"mathml\"&gt;&lt;mrow&gt;&lt;msubsup&gt;&lt;mi/&gt;&lt;mn mathvariant=\"normal\"&gt;4&lt;/mn&gt;&lt;mo&gt;+&lt;/mo&gt;&lt;/msubsup&gt;&lt;/mrow&gt;&lt;/math&gt;&lt;span&gt;&lt;svg:svg xmlns:svg=\"http://www.w3.org/2000/svg\" width=\"8pt\" height=\"15pt\" class=\"svg-formula\" dspmath=\"mathimg\" md5hash=\"310866e2e55ea172cf2d52bb7208ba35\"&gt;&lt;svg:image xmlns:xlink=\"http://www.w3.org/1999/xlink\" xlink:href=\"acp-18-6847-2018-ie00003.svg\" width=\"8pt\" height=\"15pt\" src=\"acp-18-6847-2018-ie00003.png\"/&gt;&lt;/svg:svg&gt;&lt;/span&gt;&lt;/span&gt; wet depositions in some European and East Asian stations but overestimate NO&lt;span class=\"inline-formula\"&gt;&lt;math xmlns=\"http://www.w3.org/1998/Math/MathML\" id=\"M5\" display=\"inline\" overflow=\"scroll\" dspmath=\"mathml\"&gt;&lt;mrow&gt;&lt;msubsup&gt;&lt;mi/&gt;&lt;mn mathvariant=\"normal\"&gt;3&lt;/mn&gt;&lt;mo&gt;-&lt;/mo&gt;&lt;/msubsup&gt;&lt;/mrow&gt;&lt;/math&gt;&lt;span&gt;&lt;svg:svg xmlns:svg=\"http://www.w3.org/2000/svg\" width=\"9pt\" height=\"16pt\" class=\"svg-formula\" dspmath=\"mathimg\" md5hash=\"8c72af1edd6d67ed562efcaf5163d22b\"&gt;&lt;svg:image xmlns:xlink=\"http://www.w3.org/1999/xlink\" xlink:href=\"acp-18-6847-2018-ie00004.svg\" width=\"9pt\" height=\"16pt\" src=\"acp-18-6847-2018-ie00004.png\"/&gt;&lt;/svg:svg&gt;&lt;/span&gt;&lt;/span&gt; wet deposition in the eastern United States. Intercomparison with previous projects (PhotoComp, ACCMIP and HTAP I) shows that HTPA II has considerably improved the estimation of deposition at European and East Asian stations. Modeled dry deposition is generally higher than the “inferential” data calculated by observed concentration and modeled velocity in North America, but the inferential data have high uncertainty, too. The global S deposition is 84&amp;thinsp;Tg(S) in 2010, with 49&amp;thinsp;% in continental regions and 51&amp;thinsp;% in the ocean (19&amp;thinsp;% of which coastal). The global N deposition consists of 59&amp;thinsp;Tg(N) oxidized nitrogen (NO&lt;span class=\"inline-formula\"&gt;&lt;sub&gt;&lt;i&gt;y&lt;/i&gt;&lt;/sub&gt;)&lt;/span&gt; deposition and 64&amp;thinsp;Tg(N) reduced nitrogen (NH&lt;span class=\"inline-formula\"&gt;&lt;sub&gt;&lt;i&gt;x&lt;/i&gt;&lt;/sub&gt;)&lt;/span&gt; deposition in 2010. About 65&amp;thinsp;% of N is deposited in continental regions, and 35&amp;thinsp;% in the ocean (15&amp;thinsp;% of which coastal). The estimated outflow of pollution from land to ocean is about 4&amp;thinsp;Tg(S) for S deposition and 18&amp;thinsp;Tg(N) for N deposition. Comparing our results to the results in 2001 from HTAP I, we find that the global distributions of S and N deposition have changed considerably during the last 10 years. The global S deposition decreases 2&amp;thinsp;Tg(S) (3&amp;thinsp;%) from 2001 to 2010, with significant decreases in Europe (5&amp;thinsp;Tg(S) and 55&amp;thinsp;%), North America (3&amp;thinsp;Tg(S) and 29&amp;thinsp;%) and Russia (2&amp;thinsp;Tg(S) and 26&amp;thinsp;%), and increases in South Asia (2&amp;thinsp;Tg(S) and 42&amp;thinsp;%) and the Middle East (1&amp;thinsp;Tg(S) and 44&amp;thinsp;%). The global N deposition increases by 7&amp;thinsp;Tg(N) (6&amp;thinsp;%), mainly contributed by South Asia (5&amp;thinsp;Tg(N) and 39&amp;thinsp;%), East Asia (4&amp;thinsp;Tg(N) and 21&amp;thinsp;%) and Southeast Asia (2&amp;thinsp;Tg(N) and 21&amp;thinsp;%). The NH&lt;span class=\"inline-formula\"&gt;&lt;sub&gt;&lt;i&gt;x&lt;/i&gt;&lt;/sub&gt;&lt;/span&gt; deposition increases with no control policy on NH&lt;span class=\"inline-formula\"&gt;&lt;sub&gt;3&lt;/sub&gt;&lt;/span&gt; emission in North America. On the other hand, NO&lt;span class=\"inline-formula\"&gt;&lt;sub&gt;&lt;i&gt;y&lt;/i&gt;&lt;/sub&gt;&lt;/span&gt; deposition has started to dominate in East Asia (especially China) due to boosted NO&lt;span class=\"inline-formula\"&gt;&lt;sub&gt;&lt;i&gt;x&lt;/i&gt;&lt;/sub&gt;&lt;/span&gt; emission.&lt;/p&gt;","container-title":"Atmospheric Chemistry and Physics","DOI":"https://doi.org/10.5194/acp-18-6847-2018","ISSN":"1680-7316","issue":"9","language":"English","note":"publisher: Copernicus GmbH","page":"6847-6866","source":"acp.copernicus.org","title":"Multi-model study of HTAP II on sulfur and nitrogen deposition","volume":"18","author":[{"family":"Tan","given":"Jiani"},{"family":"Fu","given":"Joshua S."},{"family":"Dentener","given":"Frank"},{"family":"Sun","given":"Jian"},{"family":"Emmons","given":"Louisa"},{"family":"Tilmes","given":"Simone"},{"family":"Sudo","given":"Kengo"},{"family":"Flemming","given":"Johannes"},{"family":"Jonson","given":"Jan Eiof"},{"family":"Gravel","given":"Sylvie"},{"family":"Bian","given":"Huisheng"},{"family":"Davila","given":"Yanko"},{"family":"Henze","given":"Daven K."},{"family":"Lund","given":"Marianne T."},{"family":"Kucsera","given":"Tom"},{"family":"Takemura","given":"Toshihiko"},{"family":"Keating","given":"Terry"}],"issued":{"date-parts":[["2018",5,16]]}}}],"schema":"https://github.com/citation-style-language/schema/raw/master/csl-citation.json"}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( 2018)</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report that the HTAP II MMM overestimates NO</w:t>
      </w:r>
      <w:r w:rsidRPr="008E4EFB">
        <w:rPr>
          <w:rFonts w:ascii="Times New Roman" w:hAnsi="Times New Roman" w:cs="Times New Roman"/>
          <w:sz w:val="24"/>
          <w:szCs w:val="24"/>
          <w:vertAlign w:val="subscript"/>
        </w:rPr>
        <w:t>3</w:t>
      </w:r>
      <w:r w:rsidRPr="008E4EFB">
        <w:rPr>
          <w:rFonts w:ascii="Times New Roman" w:hAnsi="Times New Roman" w:cs="Times New Roman"/>
          <w:sz w:val="24"/>
          <w:szCs w:val="24"/>
          <w:vertAlign w:val="superscript"/>
        </w:rPr>
        <w:t>-</w:t>
      </w:r>
      <w:r w:rsidRPr="008E4EFB">
        <w:rPr>
          <w:rFonts w:ascii="Times New Roman" w:hAnsi="Times New Roman" w:cs="Times New Roman"/>
          <w:sz w:val="24"/>
          <w:szCs w:val="24"/>
        </w:rPr>
        <w:t xml:space="preserve"> wet deposition in North America, but underestimates NH</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QUOTE </w:instrText>
      </w:r>
      <m:oMath>
        <m:sSubSup>
          <m:sSubSupPr>
            <m:ctrlPr>
              <w:rPr>
                <w:rFonts w:ascii="Cambria Math" w:hAnsi="Cambria Math" w:cs="Times New Roman"/>
                <w:i/>
                <w:sz w:val="24"/>
                <w:szCs w:val="24"/>
              </w:rPr>
            </m:ctrlPr>
          </m:sSubSupPr>
          <m:e>
            <m:r>
              <m:rPr>
                <m:sty m:val="p"/>
              </m:rPr>
              <w:rPr>
                <w:rFonts w:ascii="Cambria Math" w:hAnsi="Cambria Math" w:cs="Times New Roman"/>
                <w:sz w:val="24"/>
                <w:szCs w:val="24"/>
              </w:rPr>
              <m:t>NH</m:t>
            </m:r>
          </m:e>
          <m:sub>
            <m:r>
              <m:rPr>
                <m:sty m:val="p"/>
              </m:rPr>
              <w:rPr>
                <w:rFonts w:ascii="Cambria Math" w:hAnsi="Cambria Math" w:cs="Times New Roman"/>
                <w:sz w:val="24"/>
                <w:szCs w:val="24"/>
              </w:rPr>
              <m:t>4</m:t>
            </m:r>
          </m:sub>
          <m:sup>
            <m:r>
              <m:rPr>
                <m:sty m:val="p"/>
              </m:rPr>
              <w:rPr>
                <w:rFonts w:ascii="Cambria Math" w:hAnsi="Cambria Math" w:cs="Times New Roman"/>
                <w:sz w:val="24"/>
                <w:szCs w:val="24"/>
              </w:rPr>
              <m:t>+</m:t>
            </m:r>
          </m:sup>
        </m:sSubSup>
      </m:oMath>
      <w:r w:rsidRPr="008E4EFB">
        <w:rPr>
          <w:rFonts w:ascii="Times New Roman" w:hAnsi="Times New Roman" w:cs="Times New Roman"/>
          <w:sz w:val="24"/>
          <w:szCs w:val="24"/>
        </w:rPr>
        <w:instrText xml:space="preserve"> </w:instrTex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deposition. We find that the MMF interpolated deposition slightly improves these estimates, although the spatial distribution is very similar with the MMM (</w:t>
      </w:r>
      <w:r w:rsidRPr="00427197">
        <w:rPr>
          <w:rFonts w:ascii="Times New Roman" w:hAnsi="Times New Roman" w:cs="Times New Roman"/>
          <w:b/>
          <w:bCs/>
          <w:sz w:val="24"/>
          <w:szCs w:val="24"/>
        </w:rPr>
        <w:t>Figures 2.2, 2.5</w:t>
      </w:r>
      <w:r w:rsidRPr="008E4EFB">
        <w:rPr>
          <w:rFonts w:ascii="Times New Roman" w:hAnsi="Times New Roman" w:cs="Times New Roman"/>
          <w:sz w:val="24"/>
          <w:szCs w:val="24"/>
        </w:rPr>
        <w:t xml:space="preserve">). The largest change for S deposition (comparing MMM and MMF) is in grid cells classified as ocean because of an increase in East and Southeast Asia deposition which mostly occurs in areas classified as ocean due to the small island size relative to the coarse spatial resolution of the models. We note </w:t>
      </w:r>
      <w:proofErr w:type="gramStart"/>
      <w:r w:rsidRPr="008E4EFB">
        <w:rPr>
          <w:rFonts w:ascii="Times New Roman" w:hAnsi="Times New Roman" w:cs="Times New Roman"/>
          <w:sz w:val="24"/>
          <w:szCs w:val="24"/>
        </w:rPr>
        <w:t>that,</w:t>
      </w:r>
      <w:proofErr w:type="gramEnd"/>
      <w:r w:rsidRPr="008E4EFB">
        <w:rPr>
          <w:rFonts w:ascii="Times New Roman" w:hAnsi="Times New Roman" w:cs="Times New Roman"/>
          <w:sz w:val="24"/>
          <w:szCs w:val="24"/>
        </w:rPr>
        <w:t xml:space="preserve"> ocean cells were classified as such if they were located further than 1⁰ from the mainland; therefore, any islands smaller than 1⁰ were counted as the ocean. </w:t>
      </w:r>
    </w:p>
    <w:p w14:paraId="168D0226" w14:textId="77777777" w:rsidR="00366CF2" w:rsidRDefault="00366CF2" w:rsidP="00ED686E">
      <w:pPr>
        <w:pStyle w:val="Caption"/>
        <w:rPr>
          <w:rFonts w:ascii="Times New Roman" w:hAnsi="Times New Roman" w:cs="Times New Roman"/>
          <w:i w:val="0"/>
          <w:iCs w:val="0"/>
          <w:color w:val="auto"/>
          <w:sz w:val="24"/>
          <w:szCs w:val="24"/>
        </w:rPr>
      </w:pPr>
    </w:p>
    <w:p w14:paraId="26B6BDE3" w14:textId="77777777" w:rsidR="00936B99" w:rsidRPr="00936B99" w:rsidRDefault="00936B99" w:rsidP="00936B99"/>
    <w:p w14:paraId="76125CD9" w14:textId="14116881" w:rsidR="0062719E" w:rsidRPr="00E52785" w:rsidRDefault="00E00755" w:rsidP="00E52785">
      <w:pPr>
        <w:pStyle w:val="Caption"/>
        <w:rPr>
          <w:rFonts w:ascii="Times New Roman" w:hAnsi="Times New Roman" w:cs="Times New Roman"/>
          <w:i w:val="0"/>
          <w:iCs w:val="0"/>
          <w:color w:val="auto"/>
          <w:sz w:val="24"/>
          <w:szCs w:val="24"/>
        </w:rPr>
      </w:pPr>
      <w:r w:rsidRPr="00936B99">
        <w:rPr>
          <w:rFonts w:ascii="Times New Roman" w:hAnsi="Times New Roman" w:cs="Times New Roman"/>
          <w:i w:val="0"/>
          <w:iCs w:val="0"/>
          <w:color w:val="auto"/>
          <w:sz w:val="24"/>
          <w:szCs w:val="24"/>
        </w:rPr>
        <w:lastRenderedPageBreak/>
        <w:t xml:space="preserve">Table </w:t>
      </w:r>
      <w:r w:rsidR="00216FF7" w:rsidRPr="00936B99">
        <w:rPr>
          <w:rFonts w:ascii="Times New Roman" w:hAnsi="Times New Roman" w:cs="Times New Roman"/>
          <w:i w:val="0"/>
          <w:iCs w:val="0"/>
          <w:color w:val="auto"/>
          <w:sz w:val="24"/>
          <w:szCs w:val="24"/>
        </w:rPr>
        <w:fldChar w:fldCharType="begin"/>
      </w:r>
      <w:r w:rsidR="00216FF7" w:rsidRPr="00936B99">
        <w:rPr>
          <w:rFonts w:ascii="Times New Roman" w:hAnsi="Times New Roman" w:cs="Times New Roman"/>
          <w:i w:val="0"/>
          <w:iCs w:val="0"/>
          <w:color w:val="auto"/>
          <w:sz w:val="24"/>
          <w:szCs w:val="24"/>
        </w:rPr>
        <w:instrText xml:space="preserve"> STYLEREF 1 \s </w:instrText>
      </w:r>
      <w:r w:rsidR="00216FF7" w:rsidRPr="00936B99">
        <w:rPr>
          <w:rFonts w:ascii="Times New Roman" w:hAnsi="Times New Roman" w:cs="Times New Roman"/>
          <w:i w:val="0"/>
          <w:iCs w:val="0"/>
          <w:color w:val="auto"/>
          <w:sz w:val="24"/>
          <w:szCs w:val="24"/>
        </w:rPr>
        <w:fldChar w:fldCharType="separate"/>
      </w:r>
      <w:r w:rsidR="00216FF7" w:rsidRPr="00936B99">
        <w:rPr>
          <w:rFonts w:ascii="Times New Roman" w:hAnsi="Times New Roman" w:cs="Times New Roman"/>
          <w:i w:val="0"/>
          <w:iCs w:val="0"/>
          <w:noProof/>
          <w:color w:val="auto"/>
          <w:sz w:val="24"/>
          <w:szCs w:val="24"/>
        </w:rPr>
        <w:t>2</w:t>
      </w:r>
      <w:r w:rsidR="00216FF7" w:rsidRPr="00936B99">
        <w:rPr>
          <w:rFonts w:ascii="Times New Roman" w:hAnsi="Times New Roman" w:cs="Times New Roman"/>
          <w:i w:val="0"/>
          <w:iCs w:val="0"/>
          <w:color w:val="auto"/>
          <w:sz w:val="24"/>
          <w:szCs w:val="24"/>
        </w:rPr>
        <w:fldChar w:fldCharType="end"/>
      </w:r>
      <w:r w:rsidR="00216FF7" w:rsidRPr="00936B99">
        <w:rPr>
          <w:rFonts w:ascii="Times New Roman" w:hAnsi="Times New Roman" w:cs="Times New Roman"/>
          <w:i w:val="0"/>
          <w:iCs w:val="0"/>
          <w:color w:val="auto"/>
          <w:sz w:val="24"/>
          <w:szCs w:val="24"/>
        </w:rPr>
        <w:t>.</w:t>
      </w:r>
      <w:r w:rsidR="00216FF7" w:rsidRPr="00936B99">
        <w:rPr>
          <w:rFonts w:ascii="Times New Roman" w:hAnsi="Times New Roman" w:cs="Times New Roman"/>
          <w:i w:val="0"/>
          <w:iCs w:val="0"/>
          <w:color w:val="auto"/>
          <w:sz w:val="24"/>
          <w:szCs w:val="24"/>
        </w:rPr>
        <w:fldChar w:fldCharType="begin"/>
      </w:r>
      <w:r w:rsidR="00216FF7" w:rsidRPr="00936B99">
        <w:rPr>
          <w:rFonts w:ascii="Times New Roman" w:hAnsi="Times New Roman" w:cs="Times New Roman"/>
          <w:i w:val="0"/>
          <w:iCs w:val="0"/>
          <w:color w:val="auto"/>
          <w:sz w:val="24"/>
          <w:szCs w:val="24"/>
        </w:rPr>
        <w:instrText xml:space="preserve"> SEQ Table \* ARABIC \s 1 </w:instrText>
      </w:r>
      <w:r w:rsidR="00216FF7" w:rsidRPr="00936B99">
        <w:rPr>
          <w:rFonts w:ascii="Times New Roman" w:hAnsi="Times New Roman" w:cs="Times New Roman"/>
          <w:i w:val="0"/>
          <w:iCs w:val="0"/>
          <w:color w:val="auto"/>
          <w:sz w:val="24"/>
          <w:szCs w:val="24"/>
        </w:rPr>
        <w:fldChar w:fldCharType="separate"/>
      </w:r>
      <w:r w:rsidR="00216FF7" w:rsidRPr="00936B99">
        <w:rPr>
          <w:rFonts w:ascii="Times New Roman" w:hAnsi="Times New Roman" w:cs="Times New Roman"/>
          <w:i w:val="0"/>
          <w:iCs w:val="0"/>
          <w:noProof/>
          <w:color w:val="auto"/>
          <w:sz w:val="24"/>
          <w:szCs w:val="24"/>
        </w:rPr>
        <w:t>2</w:t>
      </w:r>
      <w:r w:rsidR="00216FF7" w:rsidRPr="00936B99">
        <w:rPr>
          <w:rFonts w:ascii="Times New Roman" w:hAnsi="Times New Roman" w:cs="Times New Roman"/>
          <w:i w:val="0"/>
          <w:iCs w:val="0"/>
          <w:color w:val="auto"/>
          <w:sz w:val="24"/>
          <w:szCs w:val="24"/>
        </w:rPr>
        <w:fldChar w:fldCharType="end"/>
      </w:r>
      <w:r w:rsidRPr="00936B99">
        <w:rPr>
          <w:rFonts w:ascii="Times New Roman" w:hAnsi="Times New Roman" w:cs="Times New Roman"/>
          <w:i w:val="0"/>
          <w:iCs w:val="0"/>
          <w:color w:val="auto"/>
          <w:sz w:val="24"/>
          <w:szCs w:val="24"/>
        </w:rPr>
        <w:t xml:space="preserve"> 2010 adjusted global wet and dry deposition in Tg N or Tg S. </w:t>
      </w:r>
      <w:r w:rsidR="0062719E" w:rsidRPr="00936B99">
        <w:rPr>
          <w:rFonts w:ascii="Times New Roman" w:hAnsi="Times New Roman" w:cs="Times New Roman"/>
          <w:i w:val="0"/>
          <w:iCs w:val="0"/>
          <w:color w:val="auto"/>
          <w:sz w:val="24"/>
          <w:szCs w:val="24"/>
        </w:rPr>
        <w:t>MMM indicates Tan et al.’s 2018 multi-model mean and MMF is this measurement-model fusion work with a 2.5⁰ interpolation distance. The 1⁰ and 5⁰ interpolation distance results are shown in Tables S</w:t>
      </w:r>
      <w:r w:rsidR="005A173B" w:rsidRPr="00936B99">
        <w:rPr>
          <w:rFonts w:ascii="Times New Roman" w:hAnsi="Times New Roman" w:cs="Times New Roman"/>
          <w:i w:val="0"/>
          <w:iCs w:val="0"/>
          <w:color w:val="auto"/>
          <w:sz w:val="24"/>
          <w:szCs w:val="24"/>
        </w:rPr>
        <w:t>2.</w:t>
      </w:r>
      <w:r w:rsidR="0062719E" w:rsidRPr="00936B99">
        <w:rPr>
          <w:rFonts w:ascii="Times New Roman" w:hAnsi="Times New Roman" w:cs="Times New Roman"/>
          <w:i w:val="0"/>
          <w:iCs w:val="0"/>
          <w:color w:val="auto"/>
          <w:sz w:val="24"/>
          <w:szCs w:val="24"/>
        </w:rPr>
        <w:t>1 and S</w:t>
      </w:r>
      <w:r w:rsidR="005A173B" w:rsidRPr="00936B99">
        <w:rPr>
          <w:rFonts w:ascii="Times New Roman" w:hAnsi="Times New Roman" w:cs="Times New Roman"/>
          <w:i w:val="0"/>
          <w:iCs w:val="0"/>
          <w:color w:val="auto"/>
          <w:sz w:val="24"/>
          <w:szCs w:val="24"/>
        </w:rPr>
        <w:t>2.</w:t>
      </w:r>
      <w:r w:rsidR="0062719E" w:rsidRPr="00936B99">
        <w:rPr>
          <w:rFonts w:ascii="Times New Roman" w:hAnsi="Times New Roman" w:cs="Times New Roman"/>
          <w:i w:val="0"/>
          <w:iCs w:val="0"/>
          <w:color w:val="auto"/>
          <w:sz w:val="24"/>
          <w:szCs w:val="24"/>
        </w:rPr>
        <w:t xml:space="preserve">2. Coastal means deposition on sea within 1 degree of the coastline. RBU is an abbreviation for Russia, Belarus, and Ukraine. Open ocean does not include near-land “coastal” waters. The regions can be seen </w:t>
      </w:r>
      <w:proofErr w:type="gramStart"/>
      <w:r w:rsidR="0062719E" w:rsidRPr="00936B99">
        <w:rPr>
          <w:rFonts w:ascii="Times New Roman" w:hAnsi="Times New Roman" w:cs="Times New Roman"/>
          <w:i w:val="0"/>
          <w:iCs w:val="0"/>
          <w:color w:val="auto"/>
          <w:sz w:val="24"/>
          <w:szCs w:val="24"/>
        </w:rPr>
        <w:t>in</w:t>
      </w:r>
      <w:proofErr w:type="gramEnd"/>
      <w:r w:rsidR="0062719E" w:rsidRPr="00936B99">
        <w:rPr>
          <w:rFonts w:ascii="Times New Roman" w:hAnsi="Times New Roman" w:cs="Times New Roman"/>
          <w:i w:val="0"/>
          <w:iCs w:val="0"/>
          <w:color w:val="auto"/>
          <w:sz w:val="24"/>
          <w:szCs w:val="24"/>
        </w:rPr>
        <w:t xml:space="preserve"> the world map in Figure S</w:t>
      </w:r>
      <w:r w:rsidR="005A173B" w:rsidRPr="00936B99">
        <w:rPr>
          <w:rFonts w:ascii="Times New Roman" w:hAnsi="Times New Roman" w:cs="Times New Roman"/>
          <w:i w:val="0"/>
          <w:iCs w:val="0"/>
          <w:color w:val="auto"/>
          <w:sz w:val="24"/>
          <w:szCs w:val="24"/>
        </w:rPr>
        <w:t>2.</w:t>
      </w:r>
      <w:r w:rsidR="0062719E" w:rsidRPr="00936B99">
        <w:rPr>
          <w:rFonts w:ascii="Times New Roman" w:hAnsi="Times New Roman" w:cs="Times New Roman"/>
          <w:i w:val="0"/>
          <w:iCs w:val="0"/>
          <w:color w:val="auto"/>
          <w:sz w:val="24"/>
          <w:szCs w:val="24"/>
        </w:rPr>
        <w:t>1. Regional changes greater than or equal to 10% are bolded and italicized.</w:t>
      </w:r>
      <w:bookmarkEnd w:id="11"/>
      <w:r w:rsidR="0062719E" w:rsidRPr="00936B99">
        <w:rPr>
          <w:rFonts w:ascii="Times New Roman" w:hAnsi="Times New Roman" w:cs="Times New Roman"/>
          <w:i w:val="0"/>
          <w:iCs w:val="0"/>
          <w:color w:val="auto"/>
          <w:sz w:val="24"/>
          <w:szCs w:val="24"/>
        </w:rPr>
        <w:t xml:space="preserve"> </w:t>
      </w:r>
    </w:p>
    <w:p w14:paraId="31066AA4" w14:textId="5561F440" w:rsidR="00E52785" w:rsidRPr="008E4EFB" w:rsidRDefault="00E52785" w:rsidP="00ED686E">
      <w:pPr>
        <w:pStyle w:val="Abstract"/>
        <w:spacing w:before="0"/>
      </w:pPr>
      <w:r w:rsidRPr="00E52785">
        <w:rPr>
          <w:noProof/>
        </w:rPr>
        <w:drawing>
          <wp:inline distT="0" distB="0" distL="0" distR="0" wp14:anchorId="348237A3" wp14:editId="4C79BBE8">
            <wp:extent cx="5943600" cy="3795395"/>
            <wp:effectExtent l="0" t="0" r="0" b="0"/>
            <wp:docPr id="16450438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795395"/>
                    </a:xfrm>
                    <a:prstGeom prst="rect">
                      <a:avLst/>
                    </a:prstGeom>
                    <a:noFill/>
                    <a:ln>
                      <a:noFill/>
                    </a:ln>
                  </pic:spPr>
                </pic:pic>
              </a:graphicData>
            </a:graphic>
          </wp:inline>
        </w:drawing>
      </w:r>
    </w:p>
    <w:p w14:paraId="3980F77B" w14:textId="77777777" w:rsidR="0062719E" w:rsidRPr="008E4EFB" w:rsidRDefault="0062719E" w:rsidP="00ED686E">
      <w:pPr>
        <w:pStyle w:val="Abstract"/>
        <w:spacing w:before="0"/>
      </w:pPr>
      <w:r w:rsidRPr="008E4EFB">
        <w:rPr>
          <w:noProof/>
          <w:lang w:val="en-GB" w:eastAsia="en-GB"/>
        </w:rPr>
        <w:lastRenderedPageBreak/>
        <w:drawing>
          <wp:inline distT="0" distB="0" distL="0" distR="0" wp14:anchorId="46025BE0" wp14:editId="638B7A36">
            <wp:extent cx="5943600" cy="6423025"/>
            <wp:effectExtent l="0" t="0" r="0" b="0"/>
            <wp:docPr id="23" name="Picture 23"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10;&#10;Description automatically generated with low confidence"/>
                    <pic:cNvPicPr/>
                  </pic:nvPicPr>
                  <pic:blipFill>
                    <a:blip r:embed="rId19"/>
                    <a:stretch>
                      <a:fillRect/>
                    </a:stretch>
                  </pic:blipFill>
                  <pic:spPr>
                    <a:xfrm>
                      <a:off x="0" y="0"/>
                      <a:ext cx="5943600" cy="6423025"/>
                    </a:xfrm>
                    <a:prstGeom prst="rect">
                      <a:avLst/>
                    </a:prstGeom>
                  </pic:spPr>
                </pic:pic>
              </a:graphicData>
            </a:graphic>
          </wp:inline>
        </w:drawing>
      </w:r>
    </w:p>
    <w:p w14:paraId="40C22F6C" w14:textId="4486B322" w:rsidR="00AD6196" w:rsidRPr="008E4EFB" w:rsidRDefault="00AD6196" w:rsidP="00ED686E">
      <w:pPr>
        <w:pStyle w:val="Caption"/>
        <w:rPr>
          <w:rFonts w:ascii="Times New Roman" w:hAnsi="Times New Roman" w:cs="Times New Roman"/>
          <w:i w:val="0"/>
          <w:iCs w:val="0"/>
          <w:color w:val="auto"/>
          <w:sz w:val="24"/>
          <w:szCs w:val="24"/>
        </w:rPr>
      </w:pPr>
      <w:bookmarkStart w:id="12" w:name="_Toc179917559"/>
      <w:bookmarkStart w:id="13" w:name="_Toc179918039"/>
      <w:bookmarkStart w:id="14" w:name="_Toc184062894"/>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Total N and S deposition in 2010 using the MMF approach. A) Total annual N deposition (mg N/m2), the sum of wet and dry NO3- and NH4+ after applying the MMF approach, as well as HTAP II gridded surfaces of dry deposition of NH3, HNO3, and NO2 with no MMF</w:t>
      </w:r>
      <w:bookmarkEnd w:id="12"/>
      <w:bookmarkEnd w:id="13"/>
      <w:bookmarkEnd w:id="14"/>
    </w:p>
    <w:p w14:paraId="3C66E469" w14:textId="77777777" w:rsidR="0062719E" w:rsidRPr="008E4EFB" w:rsidRDefault="0062719E" w:rsidP="00ED686E">
      <w:pPr>
        <w:spacing w:line="240" w:lineRule="auto"/>
        <w:rPr>
          <w:rFonts w:ascii="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78DC61A6" wp14:editId="399B1D0F">
            <wp:extent cx="5943600" cy="3315335"/>
            <wp:effectExtent l="0" t="0" r="0" b="0"/>
            <wp:docPr id="1325087553" name="Picture 1" descr="A picture containing diagram, rectangle,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087553" name="Picture 1" descr="A picture containing diagram, rectangle, screenshot, line&#10;&#10;Description automatically generated"/>
                    <pic:cNvPicPr/>
                  </pic:nvPicPr>
                  <pic:blipFill>
                    <a:blip r:embed="rId20"/>
                    <a:stretch>
                      <a:fillRect/>
                    </a:stretch>
                  </pic:blipFill>
                  <pic:spPr>
                    <a:xfrm>
                      <a:off x="0" y="0"/>
                      <a:ext cx="5943600" cy="3315335"/>
                    </a:xfrm>
                    <a:prstGeom prst="rect">
                      <a:avLst/>
                    </a:prstGeom>
                  </pic:spPr>
                </pic:pic>
              </a:graphicData>
            </a:graphic>
          </wp:inline>
        </w:drawing>
      </w:r>
    </w:p>
    <w:p w14:paraId="4D681A58" w14:textId="07B8B49C" w:rsidR="009C3744" w:rsidRPr="008E4EFB" w:rsidRDefault="007D086E" w:rsidP="00ED686E">
      <w:pPr>
        <w:pStyle w:val="Caption"/>
        <w:rPr>
          <w:rFonts w:ascii="Times New Roman" w:hAnsi="Times New Roman" w:cs="Times New Roman"/>
          <w:i w:val="0"/>
          <w:iCs w:val="0"/>
          <w:color w:val="auto"/>
          <w:sz w:val="24"/>
          <w:szCs w:val="24"/>
        </w:rPr>
      </w:pPr>
      <w:bookmarkStart w:id="15" w:name="_Toc179917560"/>
      <w:bookmarkStart w:id="16" w:name="_Toc179918040"/>
      <w:bookmarkStart w:id="17" w:name="_Toc184062895"/>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3</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A comparison between HTAP II, MMF, and EMEP wet deposition fluxes in Europe results at EMEP observation sites. A boxplot shows the distribution of EMEP, HTAP II, and MMF modeled wet reactive nitrogen deposition (</w:t>
      </w:r>
      <w:proofErr w:type="spellStart"/>
      <w:r w:rsidRPr="008E4EFB">
        <w:rPr>
          <w:rFonts w:ascii="Times New Roman" w:hAnsi="Times New Roman" w:cs="Times New Roman"/>
          <w:i w:val="0"/>
          <w:iCs w:val="0"/>
          <w:color w:val="auto"/>
          <w:sz w:val="24"/>
          <w:szCs w:val="24"/>
        </w:rPr>
        <w:t>NH</w:t>
      </w:r>
      <w:r w:rsidRPr="001034F3">
        <w:rPr>
          <w:rFonts w:ascii="Times New Roman" w:hAnsi="Times New Roman" w:cs="Times New Roman"/>
          <w:i w:val="0"/>
          <w:iCs w:val="0"/>
          <w:color w:val="auto"/>
          <w:sz w:val="24"/>
          <w:szCs w:val="24"/>
          <w:vertAlign w:val="subscript"/>
        </w:rPr>
        <w:t>x</w:t>
      </w:r>
      <w:proofErr w:type="spellEnd"/>
      <w:r w:rsidRPr="008E4EFB">
        <w:rPr>
          <w:rFonts w:ascii="Times New Roman" w:hAnsi="Times New Roman" w:cs="Times New Roman"/>
          <w:i w:val="0"/>
          <w:iCs w:val="0"/>
          <w:color w:val="auto"/>
          <w:sz w:val="24"/>
          <w:szCs w:val="24"/>
        </w:rPr>
        <w:t xml:space="preserve"> and </w:t>
      </w:r>
      <w:proofErr w:type="spellStart"/>
      <w:r w:rsidRPr="008E4EFB">
        <w:rPr>
          <w:rFonts w:ascii="Times New Roman" w:hAnsi="Times New Roman" w:cs="Times New Roman"/>
          <w:i w:val="0"/>
          <w:iCs w:val="0"/>
          <w:color w:val="auto"/>
          <w:sz w:val="24"/>
          <w:szCs w:val="24"/>
        </w:rPr>
        <w:t>NO</w:t>
      </w:r>
      <w:r w:rsidRPr="001034F3">
        <w:rPr>
          <w:rFonts w:ascii="Times New Roman" w:hAnsi="Times New Roman" w:cs="Times New Roman"/>
          <w:i w:val="0"/>
          <w:iCs w:val="0"/>
          <w:color w:val="auto"/>
          <w:sz w:val="24"/>
          <w:szCs w:val="24"/>
          <w:vertAlign w:val="subscript"/>
        </w:rPr>
        <w:t>y</w:t>
      </w:r>
      <w:proofErr w:type="spellEnd"/>
      <w:r w:rsidRPr="008E4EFB">
        <w:rPr>
          <w:rFonts w:ascii="Times New Roman" w:hAnsi="Times New Roman" w:cs="Times New Roman"/>
          <w:i w:val="0"/>
          <w:iCs w:val="0"/>
          <w:color w:val="auto"/>
          <w:sz w:val="24"/>
          <w:szCs w:val="24"/>
        </w:rPr>
        <w:t xml:space="preserve">) results at each EMEP observation </w:t>
      </w:r>
      <w:proofErr w:type="gramStart"/>
      <w:r w:rsidRPr="008E4EFB">
        <w:rPr>
          <w:rFonts w:ascii="Times New Roman" w:hAnsi="Times New Roman" w:cs="Times New Roman"/>
          <w:i w:val="0"/>
          <w:iCs w:val="0"/>
          <w:color w:val="auto"/>
          <w:sz w:val="24"/>
          <w:szCs w:val="24"/>
        </w:rPr>
        <w:t>sites</w:t>
      </w:r>
      <w:proofErr w:type="gramEnd"/>
      <w:r w:rsidRPr="008E4EFB">
        <w:rPr>
          <w:rFonts w:ascii="Times New Roman" w:hAnsi="Times New Roman" w:cs="Times New Roman"/>
          <w:i w:val="0"/>
          <w:iCs w:val="0"/>
          <w:color w:val="auto"/>
          <w:sz w:val="24"/>
          <w:szCs w:val="24"/>
        </w:rPr>
        <w:t>. A boxplot shows the distribution of EMEP, HTAP II, and MMF modeled wet reactive nitrogen deposition (</w:t>
      </w:r>
      <w:proofErr w:type="spellStart"/>
      <w:r w:rsidRPr="008E4EFB">
        <w:rPr>
          <w:rFonts w:ascii="Times New Roman" w:hAnsi="Times New Roman" w:cs="Times New Roman"/>
          <w:i w:val="0"/>
          <w:iCs w:val="0"/>
          <w:color w:val="auto"/>
          <w:sz w:val="24"/>
          <w:szCs w:val="24"/>
        </w:rPr>
        <w:t>NH</w:t>
      </w:r>
      <w:r w:rsidRPr="008E4EFB">
        <w:rPr>
          <w:rFonts w:ascii="Times New Roman" w:hAnsi="Times New Roman" w:cs="Times New Roman"/>
          <w:i w:val="0"/>
          <w:iCs w:val="0"/>
          <w:color w:val="auto"/>
          <w:sz w:val="24"/>
          <w:szCs w:val="24"/>
          <w:vertAlign w:val="subscript"/>
        </w:rPr>
        <w:t>x</w:t>
      </w:r>
      <w:proofErr w:type="spellEnd"/>
      <w:r w:rsidRPr="008E4EFB">
        <w:rPr>
          <w:rFonts w:ascii="Times New Roman" w:hAnsi="Times New Roman" w:cs="Times New Roman"/>
          <w:i w:val="0"/>
          <w:iCs w:val="0"/>
          <w:color w:val="auto"/>
          <w:sz w:val="24"/>
          <w:szCs w:val="24"/>
        </w:rPr>
        <w:t xml:space="preserve"> and </w:t>
      </w:r>
      <w:proofErr w:type="spellStart"/>
      <w:r w:rsidRPr="008E4EFB">
        <w:rPr>
          <w:rFonts w:ascii="Times New Roman" w:hAnsi="Times New Roman" w:cs="Times New Roman"/>
          <w:i w:val="0"/>
          <w:iCs w:val="0"/>
          <w:color w:val="auto"/>
          <w:sz w:val="24"/>
          <w:szCs w:val="24"/>
        </w:rPr>
        <w:t>NO</w:t>
      </w:r>
      <w:r w:rsidRPr="008E4EFB">
        <w:rPr>
          <w:rFonts w:ascii="Times New Roman" w:hAnsi="Times New Roman" w:cs="Times New Roman"/>
          <w:i w:val="0"/>
          <w:iCs w:val="0"/>
          <w:color w:val="auto"/>
          <w:sz w:val="24"/>
          <w:szCs w:val="24"/>
          <w:vertAlign w:val="subscript"/>
        </w:rPr>
        <w:t>y</w:t>
      </w:r>
      <w:proofErr w:type="spellEnd"/>
      <w:r w:rsidRPr="008E4EFB">
        <w:rPr>
          <w:rFonts w:ascii="Times New Roman" w:hAnsi="Times New Roman" w:cs="Times New Roman"/>
          <w:i w:val="0"/>
          <w:iCs w:val="0"/>
          <w:color w:val="auto"/>
          <w:sz w:val="24"/>
          <w:szCs w:val="24"/>
        </w:rPr>
        <w:t>) results at each EMEP observation location. Three different interpolation distances are compared using MMF, 1 degree, 2.5 degrees, and 5 degrees.</w:t>
      </w:r>
      <w:bookmarkEnd w:id="15"/>
      <w:bookmarkEnd w:id="16"/>
      <w:bookmarkEnd w:id="17"/>
    </w:p>
    <w:p w14:paraId="40D707A9" w14:textId="77777777" w:rsidR="0062719E" w:rsidRDefault="0062719E" w:rsidP="00ED686E">
      <w:pPr>
        <w:pStyle w:val="Abstract"/>
        <w:jc w:val="center"/>
      </w:pPr>
    </w:p>
    <w:p w14:paraId="3D7F868A" w14:textId="77777777" w:rsidR="00936B99" w:rsidRDefault="00936B99" w:rsidP="00ED686E">
      <w:pPr>
        <w:pStyle w:val="Abstract"/>
        <w:jc w:val="center"/>
      </w:pPr>
    </w:p>
    <w:p w14:paraId="585EAFCD" w14:textId="77777777" w:rsidR="00936B99" w:rsidRDefault="00936B99" w:rsidP="00ED686E">
      <w:pPr>
        <w:pStyle w:val="Abstract"/>
        <w:jc w:val="center"/>
      </w:pPr>
    </w:p>
    <w:p w14:paraId="4F1A1D97" w14:textId="77777777" w:rsidR="00936B99" w:rsidRDefault="00936B99" w:rsidP="00ED686E">
      <w:pPr>
        <w:pStyle w:val="Abstract"/>
        <w:jc w:val="center"/>
      </w:pPr>
    </w:p>
    <w:p w14:paraId="44AE2BB1" w14:textId="77777777" w:rsidR="00936B99" w:rsidRPr="008E4EFB" w:rsidRDefault="00936B99" w:rsidP="00ED686E">
      <w:pPr>
        <w:pStyle w:val="Abstract"/>
        <w:jc w:val="center"/>
      </w:pPr>
    </w:p>
    <w:p w14:paraId="144DB251" w14:textId="77777777" w:rsidR="0062719E" w:rsidRPr="008E4EFB" w:rsidRDefault="0062719E" w:rsidP="00ED686E">
      <w:pPr>
        <w:pStyle w:val="Abstract"/>
        <w:jc w:val="center"/>
      </w:pPr>
      <w:r w:rsidRPr="008E4EFB">
        <w:rPr>
          <w:noProof/>
          <w:lang w:val="en-GB" w:eastAsia="en-GB"/>
        </w:rPr>
        <w:lastRenderedPageBreak/>
        <w:drawing>
          <wp:inline distT="0" distB="0" distL="0" distR="0" wp14:anchorId="0EB696C1" wp14:editId="0DC21679">
            <wp:extent cx="5486400" cy="2870395"/>
            <wp:effectExtent l="0" t="0" r="0" b="6350"/>
            <wp:docPr id="4" name="Picture 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imeline&#10;&#10;Description automatically generated"/>
                    <pic:cNvPicPr/>
                  </pic:nvPicPr>
                  <pic:blipFill>
                    <a:blip r:embed="rId21"/>
                    <a:stretch>
                      <a:fillRect/>
                    </a:stretch>
                  </pic:blipFill>
                  <pic:spPr>
                    <a:xfrm>
                      <a:off x="0" y="0"/>
                      <a:ext cx="5486400" cy="2870395"/>
                    </a:xfrm>
                    <a:prstGeom prst="rect">
                      <a:avLst/>
                    </a:prstGeom>
                  </pic:spPr>
                </pic:pic>
              </a:graphicData>
            </a:graphic>
          </wp:inline>
        </w:drawing>
      </w:r>
    </w:p>
    <w:p w14:paraId="6A079A40" w14:textId="1789BB5F" w:rsidR="00D45054" w:rsidRPr="008E4EFB" w:rsidRDefault="00D45054" w:rsidP="00ED686E">
      <w:pPr>
        <w:pStyle w:val="Caption"/>
        <w:rPr>
          <w:rFonts w:ascii="Times New Roman" w:hAnsi="Times New Roman" w:cs="Times New Roman"/>
          <w:i w:val="0"/>
          <w:iCs w:val="0"/>
          <w:color w:val="auto"/>
          <w:sz w:val="24"/>
          <w:szCs w:val="24"/>
        </w:rPr>
      </w:pPr>
      <w:bookmarkStart w:id="18" w:name="_Toc179917561"/>
      <w:bookmarkStart w:id="19" w:name="_Toc179918041"/>
      <w:bookmarkStart w:id="20" w:name="_Toc184062896"/>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4</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The difference between MMF and MMM deposition with a 2.5-degree interpolation distance. A) MMF minus MMM reactive nitrogen deposition in North America (A1) Europe (A2) and East Asia (A3) in mg N/m2. B) MMF minus MMM sulfate deposition in North America (B1) Europe (B2) and East Asia (B3) in mg S/m</w:t>
      </w:r>
      <w:r w:rsidRPr="008E4EFB">
        <w:rPr>
          <w:rFonts w:ascii="Times New Roman" w:hAnsi="Times New Roman" w:cs="Times New Roman"/>
          <w:i w:val="0"/>
          <w:iCs w:val="0"/>
          <w:color w:val="auto"/>
          <w:sz w:val="24"/>
          <w:szCs w:val="24"/>
          <w:vertAlign w:val="superscript"/>
        </w:rPr>
        <w:t>2</w:t>
      </w:r>
      <w:r w:rsidRPr="008E4EFB">
        <w:rPr>
          <w:rFonts w:ascii="Times New Roman" w:hAnsi="Times New Roman" w:cs="Times New Roman"/>
          <w:i w:val="0"/>
          <w:iCs w:val="0"/>
          <w:color w:val="auto"/>
          <w:sz w:val="24"/>
          <w:szCs w:val="24"/>
        </w:rPr>
        <w:t>. Results for other interpolation distances are shown in Figures S11 and S12, respectively.</w:t>
      </w:r>
      <w:bookmarkEnd w:id="18"/>
      <w:bookmarkEnd w:id="19"/>
      <w:bookmarkEnd w:id="20"/>
    </w:p>
    <w:p w14:paraId="32C56588" w14:textId="77777777" w:rsidR="0062719E" w:rsidRPr="008E4EFB" w:rsidRDefault="0062719E" w:rsidP="00ED686E">
      <w:pPr>
        <w:pStyle w:val="Abstract"/>
        <w:jc w:val="center"/>
      </w:pPr>
      <w:bookmarkStart w:id="21" w:name="_Hlk80008317"/>
    </w:p>
    <w:p w14:paraId="59D4EEF1" w14:textId="77777777" w:rsidR="0062719E" w:rsidRPr="008E4EFB" w:rsidRDefault="0062719E" w:rsidP="00ED686E">
      <w:pPr>
        <w:pStyle w:val="Abstract"/>
        <w:jc w:val="center"/>
      </w:pPr>
    </w:p>
    <w:p w14:paraId="58DF79E7" w14:textId="77777777" w:rsidR="0062719E" w:rsidRPr="008E4EFB" w:rsidRDefault="0062719E" w:rsidP="00ED686E">
      <w:pPr>
        <w:pStyle w:val="Abstract"/>
        <w:jc w:val="center"/>
      </w:pPr>
      <w:r w:rsidRPr="008E4EFB">
        <w:rPr>
          <w:noProof/>
        </w:rPr>
        <w:drawing>
          <wp:inline distT="0" distB="0" distL="0" distR="0" wp14:anchorId="69E4E7D0" wp14:editId="0D9DF7D3">
            <wp:extent cx="5943600" cy="3112770"/>
            <wp:effectExtent l="0" t="0" r="0" b="0"/>
            <wp:docPr id="1252237451" name="Picture 1" descr="A map of the united stat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237451" name="Picture 1" descr="A map of the united states&#10;&#10;Description automatically generated with low confidence"/>
                    <pic:cNvPicPr/>
                  </pic:nvPicPr>
                  <pic:blipFill>
                    <a:blip r:embed="rId22"/>
                    <a:stretch>
                      <a:fillRect/>
                    </a:stretch>
                  </pic:blipFill>
                  <pic:spPr>
                    <a:xfrm>
                      <a:off x="0" y="0"/>
                      <a:ext cx="5943600" cy="3112770"/>
                    </a:xfrm>
                    <a:prstGeom prst="rect">
                      <a:avLst/>
                    </a:prstGeom>
                  </pic:spPr>
                </pic:pic>
              </a:graphicData>
            </a:graphic>
          </wp:inline>
        </w:drawing>
      </w:r>
    </w:p>
    <w:p w14:paraId="128F5822" w14:textId="68CF0E6C" w:rsidR="0062719E" w:rsidRPr="00936B99" w:rsidRDefault="00BC0146" w:rsidP="00936B99">
      <w:pPr>
        <w:pStyle w:val="Caption"/>
        <w:rPr>
          <w:rFonts w:ascii="Times New Roman" w:hAnsi="Times New Roman" w:cs="Times New Roman"/>
          <w:i w:val="0"/>
          <w:iCs w:val="0"/>
          <w:color w:val="auto"/>
          <w:sz w:val="24"/>
          <w:szCs w:val="24"/>
        </w:rPr>
      </w:pPr>
      <w:bookmarkStart w:id="22" w:name="_Toc179917562"/>
      <w:bookmarkStart w:id="23" w:name="_Toc179918042"/>
      <w:bookmarkStart w:id="24" w:name="_Toc184062897"/>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5</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2010 Total N deposition in the continental USA </w:t>
      </w:r>
      <w:r w:rsidR="0062719E" w:rsidRPr="008E4EFB">
        <w:rPr>
          <w:rFonts w:ascii="Times New Roman" w:hAnsi="Times New Roman" w:cs="Times New Roman"/>
          <w:i w:val="0"/>
          <w:iCs w:val="0"/>
          <w:color w:val="auto"/>
          <w:sz w:val="24"/>
          <w:szCs w:val="24"/>
        </w:rPr>
        <w:t xml:space="preserve">A) Total N is modeled with 1) MMF (this work), 2) TDep annual map available from the NADP and 3) Tan et al.’s 2018 MMM. </w:t>
      </w:r>
      <w:bookmarkEnd w:id="21"/>
      <w:r w:rsidR="0062719E" w:rsidRPr="008E4EFB">
        <w:rPr>
          <w:rFonts w:ascii="Times New Roman" w:hAnsi="Times New Roman" w:cs="Times New Roman"/>
          <w:i w:val="0"/>
          <w:iCs w:val="0"/>
          <w:color w:val="auto"/>
          <w:sz w:val="24"/>
          <w:szCs w:val="24"/>
        </w:rPr>
        <w:t xml:space="preserve">B) 2010 </w:t>
      </w:r>
      <m:oMath>
        <m:sSub>
          <m:sSubPr>
            <m:ctrlPr>
              <w:rPr>
                <w:rFonts w:ascii="Cambria Math" w:hAnsi="Cambria Math" w:cs="Times New Roman"/>
                <w:i w:val="0"/>
                <w:iCs w:val="0"/>
                <w:color w:val="auto"/>
                <w:sz w:val="24"/>
                <w:szCs w:val="24"/>
              </w:rPr>
            </m:ctrlPr>
          </m:sSubPr>
          <m:e>
            <m:r>
              <w:rPr>
                <w:rFonts w:ascii="Cambria Math" w:hAnsi="Cambria Math" w:cs="Times New Roman"/>
                <w:color w:val="auto"/>
                <w:sz w:val="24"/>
                <w:szCs w:val="24"/>
              </w:rPr>
              <m:t>SO</m:t>
            </m:r>
          </m:e>
          <m:sub>
            <m:r>
              <w:rPr>
                <w:rFonts w:ascii="Cambria Math" w:hAnsi="Cambria Math" w:cs="Times New Roman"/>
                <w:color w:val="auto"/>
                <w:sz w:val="24"/>
                <w:szCs w:val="24"/>
              </w:rPr>
              <m:t>x</m:t>
            </m:r>
          </m:sub>
        </m:sSub>
      </m:oMath>
      <w:r w:rsidR="0062719E" w:rsidRPr="008E4EFB">
        <w:rPr>
          <w:rFonts w:ascii="Times New Roman" w:hAnsi="Times New Roman" w:cs="Times New Roman"/>
          <w:i w:val="0"/>
          <w:iCs w:val="0"/>
          <w:color w:val="auto"/>
          <w:sz w:val="24"/>
          <w:szCs w:val="24"/>
        </w:rPr>
        <w:t xml:space="preserve"> wet deposition in the US as modeled with 1) MMF (this work), 2) TDep annual map available from the NADP, and 3) Tan et al.’s 2018 multi-model mean HTAP II output.</w:t>
      </w:r>
      <w:bookmarkEnd w:id="22"/>
      <w:bookmarkEnd w:id="23"/>
      <w:bookmarkEnd w:id="24"/>
      <w:r w:rsidR="0062719E" w:rsidRPr="008E4EFB">
        <w:rPr>
          <w:rFonts w:ascii="Times New Roman" w:hAnsi="Times New Roman" w:cs="Times New Roman"/>
          <w:i w:val="0"/>
          <w:iCs w:val="0"/>
          <w:color w:val="auto"/>
          <w:sz w:val="24"/>
          <w:szCs w:val="24"/>
        </w:rPr>
        <w:t xml:space="preserve"> </w:t>
      </w:r>
    </w:p>
    <w:p w14:paraId="2034D06B" w14:textId="5C186130" w:rsidR="0062719E" w:rsidRPr="008E4EFB" w:rsidRDefault="0062719E" w:rsidP="00B71A9A">
      <w:pPr>
        <w:pStyle w:val="Abstract"/>
        <w:spacing w:before="0" w:line="360" w:lineRule="auto"/>
      </w:pPr>
      <w:r w:rsidRPr="008E4EFB">
        <w:lastRenderedPageBreak/>
        <w:t>There are spatial differences between an aggregated 1⁰ x 1⁰  version of the original TDep map of nitrogen deposition for the United States as available from the NADP (</w:t>
      </w:r>
      <w:r w:rsidRPr="007F403E">
        <w:rPr>
          <w:b/>
          <w:bCs/>
        </w:rPr>
        <w:t xml:space="preserve">Figure </w:t>
      </w:r>
      <w:r w:rsidR="005A173B" w:rsidRPr="007F403E">
        <w:rPr>
          <w:b/>
          <w:bCs/>
        </w:rPr>
        <w:t>2.</w:t>
      </w:r>
      <w:r w:rsidRPr="007F403E">
        <w:rPr>
          <w:b/>
          <w:bCs/>
        </w:rPr>
        <w:t>5</w:t>
      </w:r>
      <w:r w:rsidR="00F222C7" w:rsidRPr="007F403E">
        <w:rPr>
          <w:b/>
          <w:bCs/>
        </w:rPr>
        <w:t xml:space="preserve"> </w:t>
      </w:r>
      <w:r w:rsidRPr="007F403E">
        <w:rPr>
          <w:b/>
          <w:bCs/>
        </w:rPr>
        <w:t>A2</w:t>
      </w:r>
      <w:r w:rsidRPr="008E4EFB">
        <w:t>), the HTAP II (</w:t>
      </w:r>
      <w:r w:rsidRPr="007F403E">
        <w:rPr>
          <w:b/>
          <w:bCs/>
        </w:rPr>
        <w:t xml:space="preserve">Figure </w:t>
      </w:r>
      <w:r w:rsidR="005A173B" w:rsidRPr="007F403E">
        <w:rPr>
          <w:b/>
          <w:bCs/>
        </w:rPr>
        <w:t>2.</w:t>
      </w:r>
      <w:r w:rsidRPr="007F403E">
        <w:rPr>
          <w:b/>
          <w:bCs/>
        </w:rPr>
        <w:t>5</w:t>
      </w:r>
      <w:r w:rsidR="00F222C7" w:rsidRPr="007F403E">
        <w:rPr>
          <w:b/>
          <w:bCs/>
        </w:rPr>
        <w:t xml:space="preserve"> </w:t>
      </w:r>
      <w:r w:rsidRPr="007F403E">
        <w:rPr>
          <w:b/>
          <w:bCs/>
        </w:rPr>
        <w:t>A3</w:t>
      </w:r>
      <w:r w:rsidRPr="008E4EFB">
        <w:t xml:space="preserve">) deposition produced by Tan et al. </w:t>
      </w:r>
      <w:r w:rsidRPr="008E4EFB">
        <w:fldChar w:fldCharType="begin"/>
      </w:r>
      <w:r w:rsidRPr="008E4EFB">
        <w:instrText xml:space="preserve"> ADDIN ZOTERO_ITEM CSL_CITATION {"citationID":"ten2XGy1","properties":{"formattedCitation":"(Tan et al., 2018)","plainCitation":"(Tan et al., 2018)","dontUpdate":true,"noteIndex":0},"citationItems":[{"id":1231,"uris":["http://zotero.org/users/3110659/items/GSC9KE5I"],"itemData":{"id":1231,"type":"article-journal","abstract":"&lt;p&gt;&lt;strong class=\"journal-contentHeaderColor\"&gt;Abstract.&lt;/strong&gt; This study uses multi-model ensemble results of 11 models from the second phase of Task Force Hemispheric Transport of Air Pollution (HTAP II) to calculate the global sulfur (S) and nitrogen (N) deposition in 2010. Modeled wet deposition is evaluated with observation networks in North America, Europe and East Asia. The modeled results agree well with observations, with 76–83&amp;thinsp;% of stations being predicted within &lt;span class=\"inline-formula\"&gt;±&lt;/span&gt;50&amp;thinsp;% of observations. The models underestimate SO&lt;span class=\"inline-formula\"&gt;&lt;math xmlns=\"http://www.w3.org/1998/Math/MathML\" id=\"M2\" display=\"inline\" overflow=\"scroll\" dspmath=\"mathml\"&gt;&lt;mrow&gt;&lt;msubsup&gt;&lt;mi/&gt;&lt;mn mathvariant=\"normal\"&gt;4&lt;/mn&gt;&lt;mrow&gt;&lt;mn mathvariant=\"normal\"&gt;2&lt;/mn&gt;&lt;mo&gt;-&lt;/mo&gt;&lt;/mrow&gt;&lt;/msubsup&gt;&lt;/mrow&gt;&lt;/math&gt;&lt;span&gt;&lt;svg:svg xmlns:svg=\"http://www.w3.org/2000/svg\" width=\"13pt\" height=\"17pt\" class=\"svg-formula\" dspmath=\"mathimg\" md5hash=\"63f11f9b60a09208ebeae789905b238b\"&gt;&lt;svg:image xmlns:xlink=\"http://www.w3.org/1999/xlink\" xlink:href=\"acp-18-6847-2018-ie00001.svg\" width=\"13pt\" height=\"17pt\" src=\"acp-18-6847-2018-ie00001.png\"/&gt;&lt;/svg:svg&gt;&lt;/span&gt;&lt;/span&gt;, NO&lt;span class=\"inline-formula\"&gt;&lt;math xmlns=\"http://www.w3.org/1998/Math/MathML\" id=\"M3\" display=\"inline\" overflow=\"scroll\" dspmath=\"mathml\"&gt;&lt;mrow&gt;&lt;msubsup&gt;&lt;mi/&gt;&lt;mn mathvariant=\"normal\"&gt;3&lt;/mn&gt;&lt;mo&gt;-&lt;/mo&gt;&lt;/msubsup&gt;&lt;/mrow&gt;&lt;/math&gt;&lt;span&gt;&lt;svg:svg xmlns:svg=\"http://www.w3.org/2000/svg\" width=\"9pt\" height=\"16pt\" class=\"svg-formula\" dspmath=\"mathimg\" md5hash=\"0aaab3ee324d7a9ba8e4b96f67d8036e\"&gt;&lt;svg:image xmlns:xlink=\"http://www.w3.org/1999/xlink\" xlink:href=\"acp-18-6847-2018-ie00002.svg\" width=\"9pt\" height=\"16pt\" src=\"acp-18-6847-2018-ie00002.png\"/&gt;&lt;/svg:svg&gt;&lt;/span&gt;&lt;/span&gt; and NH&lt;span class=\"inline-formula\"&gt;&lt;math xmlns=\"http://www.w3.org/1998/Math/MathML\" id=\"M4\" display=\"inline\" overflow=\"scroll\" dspmath=\"mathml\"&gt;&lt;mrow&gt;&lt;msubsup&gt;&lt;mi/&gt;&lt;mn mathvariant=\"normal\"&gt;4&lt;/mn&gt;&lt;mo&gt;+&lt;/mo&gt;&lt;/msubsup&gt;&lt;/mrow&gt;&lt;/math&gt;&lt;span&gt;&lt;svg:svg xmlns:svg=\"http://www.w3.org/2000/svg\" width=\"8pt\" height=\"15pt\" class=\"svg-formula\" dspmath=\"mathimg\" md5hash=\"310866e2e55ea172cf2d52bb7208ba35\"&gt;&lt;svg:image xmlns:xlink=\"http://www.w3.org/1999/xlink\" xlink:href=\"acp-18-6847-2018-ie00003.svg\" width=\"8pt\" height=\"15pt\" src=\"acp-18-6847-2018-ie00003.png\"/&gt;&lt;/svg:svg&gt;&lt;/span&gt;&lt;/span&gt; wet depositions in some European and East Asian stations but overestimate NO&lt;span class=\"inline-formula\"&gt;&lt;math xmlns=\"http://www.w3.org/1998/Math/MathML\" id=\"M5\" display=\"inline\" overflow=\"scroll\" dspmath=\"mathml\"&gt;&lt;mrow&gt;&lt;msubsup&gt;&lt;mi/&gt;&lt;mn mathvariant=\"normal\"&gt;3&lt;/mn&gt;&lt;mo&gt;-&lt;/mo&gt;&lt;/msubsup&gt;&lt;/mrow&gt;&lt;/math&gt;&lt;span&gt;&lt;svg:svg xmlns:svg=\"http://www.w3.org/2000/svg\" width=\"9pt\" height=\"16pt\" class=\"svg-formula\" dspmath=\"mathimg\" md5hash=\"8c72af1edd6d67ed562efcaf5163d22b\"&gt;&lt;svg:image xmlns:xlink=\"http://www.w3.org/1999/xlink\" xlink:href=\"acp-18-6847-2018-ie00004.svg\" width=\"9pt\" height=\"16pt\" src=\"acp-18-6847-2018-ie00004.png\"/&gt;&lt;/svg:svg&gt;&lt;/span&gt;&lt;/span&gt; wet deposition in the eastern United States. Intercomparison with previous projects (PhotoComp, ACCMIP and HTAP I) shows that HTPA II has considerably improved the estimation of deposition at European and East Asian stations. Modeled dry deposition is generally higher than the “inferential” data calculated by observed concentration and modeled velocity in North America, but the inferential data have high uncertainty, too. The global S deposition is 84&amp;thinsp;Tg(S) in 2010, with 49&amp;thinsp;% in continental regions and 51&amp;thinsp;% in the ocean (19&amp;thinsp;% of which coastal). The global N deposition consists of 59&amp;thinsp;Tg(N) oxidized nitrogen (NO&lt;span class=\"inline-formula\"&gt;&lt;sub&gt;&lt;i&gt;y&lt;/i&gt;&lt;/sub&gt;)&lt;/span&gt; deposition and 64&amp;thinsp;Tg(N) reduced nitrogen (NH&lt;span class=\"inline-formula\"&gt;&lt;sub&gt;&lt;i&gt;x&lt;/i&gt;&lt;/sub&gt;)&lt;/span&gt; deposition in 2010. About 65&amp;thinsp;% of N is deposited in continental regions, and 35&amp;thinsp;% in the ocean (15&amp;thinsp;% of which coastal). The estimated outflow of pollution from land to ocean is about 4&amp;thinsp;Tg(S) for S deposition and 18&amp;thinsp;Tg(N) for N deposition. Comparing our results to the results in 2001 from HTAP I, we find that the global distributions of S and N deposition have changed considerably during the last 10 years. The global S deposition decreases 2&amp;thinsp;Tg(S) (3&amp;thinsp;%) from 2001 to 2010, with significant decreases in Europe (5&amp;thinsp;Tg(S) and 55&amp;thinsp;%), North America (3&amp;thinsp;Tg(S) and 29&amp;thinsp;%) and Russia (2&amp;thinsp;Tg(S) and 26&amp;thinsp;%), and increases in South Asia (2&amp;thinsp;Tg(S) and 42&amp;thinsp;%) and the Middle East (1&amp;thinsp;Tg(S) and 44&amp;thinsp;%). The global N deposition increases by 7&amp;thinsp;Tg(N) (6&amp;thinsp;%), mainly contributed by South Asia (5&amp;thinsp;Tg(N) and 39&amp;thinsp;%), East Asia (4&amp;thinsp;Tg(N) and 21&amp;thinsp;%) and Southeast Asia (2&amp;thinsp;Tg(N) and 21&amp;thinsp;%). The NH&lt;span class=\"inline-formula\"&gt;&lt;sub&gt;&lt;i&gt;x&lt;/i&gt;&lt;/sub&gt;&lt;/span&gt; deposition increases with no control policy on NH&lt;span class=\"inline-formula\"&gt;&lt;sub&gt;3&lt;/sub&gt;&lt;/span&gt; emission in North America. On the other hand, NO&lt;span class=\"inline-formula\"&gt;&lt;sub&gt;&lt;i&gt;y&lt;/i&gt;&lt;/sub&gt;&lt;/span&gt; deposition has started to dominate in East Asia (especially China) due to boosted NO&lt;span class=\"inline-formula\"&gt;&lt;sub&gt;&lt;i&gt;x&lt;/i&gt;&lt;/sub&gt;&lt;/span&gt; emission.&lt;/p&gt;","container-title":"Atmospheric Chemistry and Physics","DOI":"https://doi.org/10.5194/acp-18-6847-2018","ISSN":"1680-7316","issue":"9","language":"English","note":"publisher: Copernicus GmbH","page":"6847-6866","source":"acp.copernicus.org","title":"Multi-model study of HTAP II on sulfur and nitrogen deposition","volume":"18","author":[{"family":"Tan","given":"Jiani"},{"family":"Fu","given":"Joshua S."},{"family":"Dentener","given":"Frank"},{"family":"Sun","given":"Jian"},{"family":"Emmons","given":"Louisa"},{"family":"Tilmes","given":"Simone"},{"family":"Sudo","given":"Kengo"},{"family":"Flemming","given":"Johannes"},{"family":"Jonson","given":"Jan Eiof"},{"family":"Gravel","given":"Sylvie"},{"family":"Bian","given":"Huisheng"},{"family":"Davila","given":"Yanko"},{"family":"Henze","given":"Daven K."},{"family":"Lund","given":"Marianne T."},{"family":"Kucsera","given":"Tom"},{"family":"Takemura","given":"Toshihiko"},{"family":"Keating","given":"Terry"}],"issued":{"date-parts":[["2018",5,16]]}}}],"schema":"https://github.com/citation-style-language/schema/raw/master/csl-citation.json"} </w:instrText>
      </w:r>
      <w:r w:rsidRPr="008E4EFB">
        <w:fldChar w:fldCharType="separate"/>
      </w:r>
      <w:r w:rsidRPr="008E4EFB">
        <w:t>( 2018)</w:t>
      </w:r>
      <w:r w:rsidRPr="008E4EFB">
        <w:fldChar w:fldCharType="end"/>
      </w:r>
      <w:r w:rsidRPr="008E4EFB">
        <w:t xml:space="preserve"> corresponding to the same area, and the deposition map produced in this work (</w:t>
      </w:r>
      <w:r w:rsidRPr="007F403E">
        <w:rPr>
          <w:b/>
          <w:bCs/>
        </w:rPr>
        <w:t xml:space="preserve">Figure </w:t>
      </w:r>
      <w:r w:rsidR="005A173B" w:rsidRPr="007F403E">
        <w:rPr>
          <w:b/>
          <w:bCs/>
        </w:rPr>
        <w:t>2.</w:t>
      </w:r>
      <w:r w:rsidRPr="007F403E">
        <w:rPr>
          <w:b/>
          <w:bCs/>
        </w:rPr>
        <w:t>5</w:t>
      </w:r>
      <w:r w:rsidR="00F222C7" w:rsidRPr="007F403E">
        <w:rPr>
          <w:b/>
          <w:bCs/>
        </w:rPr>
        <w:t xml:space="preserve"> </w:t>
      </w:r>
      <w:r w:rsidRPr="007F403E">
        <w:rPr>
          <w:b/>
          <w:bCs/>
        </w:rPr>
        <w:t>A1</w:t>
      </w:r>
      <w:r w:rsidRPr="008E4EFB">
        <w:t xml:space="preserve">). A similar pattern is seen </w:t>
      </w:r>
      <w:proofErr w:type="gramStart"/>
      <w:r w:rsidRPr="008E4EFB">
        <w:t>in</w:t>
      </w:r>
      <w:proofErr w:type="gramEnd"/>
      <w:r w:rsidRPr="008E4EFB">
        <w:t xml:space="preserve"> the map of SO</w:t>
      </w:r>
      <w:r w:rsidRPr="008E4EFB">
        <w:rPr>
          <w:vertAlign w:val="subscript"/>
        </w:rPr>
        <w:t>4</w:t>
      </w:r>
      <w:r w:rsidRPr="008E4EFB">
        <w:rPr>
          <w:vertAlign w:val="superscript"/>
        </w:rPr>
        <w:t>2-</w:t>
      </w:r>
      <w:r w:rsidRPr="008E4EFB">
        <w:t xml:space="preserve"> deposition (</w:t>
      </w:r>
      <w:r w:rsidRPr="007F403E">
        <w:rPr>
          <w:b/>
          <w:bCs/>
        </w:rPr>
        <w:t xml:space="preserve">Figure </w:t>
      </w:r>
      <w:r w:rsidR="005A173B" w:rsidRPr="007F403E">
        <w:rPr>
          <w:b/>
          <w:bCs/>
        </w:rPr>
        <w:t>2.</w:t>
      </w:r>
      <w:r w:rsidRPr="007F403E">
        <w:rPr>
          <w:b/>
          <w:bCs/>
        </w:rPr>
        <w:t>5</w:t>
      </w:r>
      <w:r w:rsidR="00F222C7" w:rsidRPr="007F403E">
        <w:rPr>
          <w:b/>
          <w:bCs/>
        </w:rPr>
        <w:t xml:space="preserve"> </w:t>
      </w:r>
      <w:r w:rsidRPr="007F403E">
        <w:rPr>
          <w:b/>
          <w:bCs/>
        </w:rPr>
        <w:t xml:space="preserve">B1; </w:t>
      </w:r>
      <w:r w:rsidR="005A173B" w:rsidRPr="007F403E">
        <w:rPr>
          <w:b/>
          <w:bCs/>
        </w:rPr>
        <w:t>2.</w:t>
      </w:r>
      <w:r w:rsidRPr="007F403E">
        <w:rPr>
          <w:b/>
          <w:bCs/>
        </w:rPr>
        <w:t>5</w:t>
      </w:r>
      <w:r w:rsidR="00F222C7" w:rsidRPr="007F403E">
        <w:rPr>
          <w:b/>
          <w:bCs/>
        </w:rPr>
        <w:t xml:space="preserve"> </w:t>
      </w:r>
      <w:r w:rsidRPr="007F403E">
        <w:rPr>
          <w:b/>
          <w:bCs/>
        </w:rPr>
        <w:t>B3;</w:t>
      </w:r>
      <w:r w:rsidR="005A173B" w:rsidRPr="007F403E">
        <w:rPr>
          <w:b/>
          <w:bCs/>
        </w:rPr>
        <w:t xml:space="preserve"> 2.</w:t>
      </w:r>
      <w:r w:rsidRPr="007F403E">
        <w:rPr>
          <w:b/>
          <w:bCs/>
        </w:rPr>
        <w:t>5</w:t>
      </w:r>
      <w:r w:rsidR="00F222C7" w:rsidRPr="007F403E">
        <w:rPr>
          <w:b/>
          <w:bCs/>
        </w:rPr>
        <w:t xml:space="preserve"> </w:t>
      </w:r>
      <w:r w:rsidRPr="007F403E">
        <w:rPr>
          <w:b/>
          <w:bCs/>
        </w:rPr>
        <w:t>B3</w:t>
      </w:r>
      <w:r w:rsidRPr="008E4EFB">
        <w:t>). While the TDep maps have been aggregated to the 1x1 degree resolution of the HTAP fields, there is still different regional variation in the deposition patterns in the TDep maps than the HTAP II maps. In particular, TDep is capturing higher west coast values that HTAP II does not while showing lower values in the Midwest/New York/Pennsylvania region.</w:t>
      </w:r>
    </w:p>
    <w:p w14:paraId="252C57F6" w14:textId="1960B65B" w:rsidR="0062719E" w:rsidRDefault="0062719E" w:rsidP="00936B99">
      <w:pPr>
        <w:pStyle w:val="Abstract"/>
        <w:spacing w:before="0" w:line="360" w:lineRule="auto"/>
      </w:pPr>
      <w:r w:rsidRPr="008E4EFB">
        <w:t xml:space="preserve">The </w:t>
      </w:r>
      <w:r w:rsidRPr="008E4EFB">
        <w:rPr>
          <w:iCs/>
        </w:rPr>
        <w:t>R</w:t>
      </w:r>
      <w:r w:rsidRPr="008E4EFB">
        <w:rPr>
          <w:iCs/>
          <w:vertAlign w:val="superscript"/>
        </w:rPr>
        <w:t>2</w:t>
      </w:r>
      <w:r w:rsidRPr="008E4EFB">
        <w:rPr>
          <w:iCs/>
        </w:rPr>
        <w:t xml:space="preserve"> value for the linear regression between MMF wet SO</w:t>
      </w:r>
      <w:r w:rsidRPr="008E4EFB">
        <w:rPr>
          <w:iCs/>
          <w:vertAlign w:val="subscript"/>
        </w:rPr>
        <w:t>4</w:t>
      </w:r>
      <w:r w:rsidRPr="008E4EFB">
        <w:rPr>
          <w:iCs/>
          <w:vertAlign w:val="superscript"/>
        </w:rPr>
        <w:t>2-</w:t>
      </w:r>
      <w:r w:rsidRPr="008E4EFB">
        <w:rPr>
          <w:iCs/>
        </w:rPr>
        <w:t xml:space="preserve"> and observed</w:t>
      </w:r>
      <w:r w:rsidRPr="008E4EFB">
        <w:t xml:space="preserve"> </w:t>
      </w:r>
      <w:r w:rsidRPr="008E4EFB">
        <w:fldChar w:fldCharType="begin"/>
      </w:r>
      <w:r w:rsidRPr="008E4EFB">
        <w:instrText xml:space="preserve"> QUOTE </w:instrText>
      </w:r>
      <m:oMath>
        <m:sSub>
          <m:sSubPr>
            <m:ctrlPr>
              <w:rPr>
                <w:rFonts w:ascii="Cambria Math" w:hAnsi="Cambria Math"/>
                <w:i/>
              </w:rPr>
            </m:ctrlPr>
          </m:sSubPr>
          <m:e>
            <m:r>
              <m:rPr>
                <m:sty m:val="p"/>
              </m:rPr>
              <w:rPr>
                <w:rFonts w:ascii="Cambria Math" w:hAnsi="Cambria Math"/>
              </w:rPr>
              <m:t>NH</m:t>
            </m:r>
          </m:e>
          <m:sub>
            <m:r>
              <m:rPr>
                <m:sty m:val="p"/>
              </m:rPr>
              <w:rPr>
                <w:rFonts w:ascii="Cambria Math" w:hAnsi="Cambria Math"/>
              </w:rPr>
              <m:t>x</m:t>
            </m:r>
          </m:sub>
        </m:sSub>
      </m:oMath>
      <w:r w:rsidRPr="008E4EFB">
        <w:instrText xml:space="preserve"> </w:instrText>
      </w:r>
      <w:r w:rsidRPr="008E4EFB">
        <w:fldChar w:fldCharType="end"/>
      </w:r>
      <w:r w:rsidRPr="008E4EFB">
        <w:rPr>
          <w:iCs/>
        </w:rPr>
        <w:t>wet SO</w:t>
      </w:r>
      <w:r w:rsidRPr="008E4EFB">
        <w:rPr>
          <w:iCs/>
          <w:vertAlign w:val="subscript"/>
        </w:rPr>
        <w:t>4</w:t>
      </w:r>
      <w:r w:rsidRPr="008E4EFB">
        <w:rPr>
          <w:iCs/>
          <w:vertAlign w:val="superscript"/>
        </w:rPr>
        <w:t>2-</w:t>
      </w:r>
      <w:r w:rsidRPr="008E4EFB">
        <w:rPr>
          <w:iCs/>
        </w:rPr>
        <w:t xml:space="preserve"> in the US is 0.64 (</w:t>
      </w:r>
      <w:r w:rsidRPr="007F403E">
        <w:rPr>
          <w:b/>
          <w:bCs/>
          <w:iCs/>
        </w:rPr>
        <w:t xml:space="preserve">Figure </w:t>
      </w:r>
      <w:r w:rsidR="00F222C7" w:rsidRPr="007F403E">
        <w:rPr>
          <w:b/>
          <w:bCs/>
          <w:iCs/>
        </w:rPr>
        <w:t>2.</w:t>
      </w:r>
      <w:r w:rsidRPr="007F403E">
        <w:rPr>
          <w:b/>
          <w:bCs/>
          <w:iCs/>
        </w:rPr>
        <w:t>6</w:t>
      </w:r>
      <w:r w:rsidRPr="008E4EFB">
        <w:rPr>
          <w:iCs/>
        </w:rPr>
        <w:t>). The R</w:t>
      </w:r>
      <w:r w:rsidRPr="008E4EFB">
        <w:rPr>
          <w:iCs/>
          <w:vertAlign w:val="superscript"/>
        </w:rPr>
        <w:t>2</w:t>
      </w:r>
      <w:r w:rsidRPr="008E4EFB">
        <w:rPr>
          <w:iCs/>
        </w:rPr>
        <w:t xml:space="preserve"> value for the linear regression between the HTAP II wet SO</w:t>
      </w:r>
      <w:r w:rsidRPr="008E4EFB">
        <w:rPr>
          <w:iCs/>
          <w:vertAlign w:val="subscript"/>
        </w:rPr>
        <w:t>4</w:t>
      </w:r>
      <w:r w:rsidRPr="008E4EFB">
        <w:rPr>
          <w:iCs/>
          <w:vertAlign w:val="superscript"/>
        </w:rPr>
        <w:t>2-</w:t>
      </w:r>
      <w:r w:rsidRPr="008E4EFB">
        <w:rPr>
          <w:iCs/>
          <w:vertAlign w:val="subscript"/>
        </w:rPr>
        <w:t xml:space="preserve"> </w:t>
      </w:r>
      <w:r w:rsidRPr="008E4EFB">
        <w:rPr>
          <w:iCs/>
        </w:rPr>
        <w:t>and observed SO</w:t>
      </w:r>
      <w:r w:rsidRPr="008E4EFB">
        <w:rPr>
          <w:iCs/>
          <w:vertAlign w:val="subscript"/>
        </w:rPr>
        <w:t>4</w:t>
      </w:r>
      <w:r w:rsidRPr="008E4EFB">
        <w:rPr>
          <w:iCs/>
          <w:vertAlign w:val="superscript"/>
        </w:rPr>
        <w:t>2-</w:t>
      </w:r>
      <w:r w:rsidRPr="008E4EFB">
        <w:t xml:space="preserve"> </w:t>
      </w:r>
      <w:r w:rsidRPr="008E4EFB">
        <w:fldChar w:fldCharType="begin"/>
      </w:r>
      <w:r w:rsidRPr="008E4EFB">
        <w:instrText xml:space="preserve"> QUOTE </w:instrText>
      </w:r>
      <m:oMath>
        <m:sSub>
          <m:sSubPr>
            <m:ctrlPr>
              <w:rPr>
                <w:rFonts w:ascii="Cambria Math" w:hAnsi="Cambria Math"/>
                <w:i/>
              </w:rPr>
            </m:ctrlPr>
          </m:sSubPr>
          <m:e>
            <m:r>
              <m:rPr>
                <m:sty m:val="p"/>
              </m:rPr>
              <w:rPr>
                <w:rFonts w:ascii="Cambria Math" w:hAnsi="Cambria Math"/>
              </w:rPr>
              <m:t>NH</m:t>
            </m:r>
          </m:e>
          <m:sub>
            <m:r>
              <m:rPr>
                <m:sty m:val="p"/>
              </m:rPr>
              <w:rPr>
                <w:rFonts w:ascii="Cambria Math" w:hAnsi="Cambria Math"/>
              </w:rPr>
              <m:t>x</m:t>
            </m:r>
          </m:sub>
        </m:sSub>
      </m:oMath>
      <w:r w:rsidRPr="008E4EFB">
        <w:instrText xml:space="preserve"> </w:instrText>
      </w:r>
      <w:r w:rsidRPr="008E4EFB">
        <w:fldChar w:fldCharType="end"/>
      </w:r>
      <w:r w:rsidRPr="008E4EFB">
        <w:t>is</w:t>
      </w:r>
      <w:r w:rsidRPr="008E4EFB">
        <w:rPr>
          <w:iCs/>
        </w:rPr>
        <w:t xml:space="preserve"> 0.0.60, and 0.89 for the linear regression between the TDep wet SO</w:t>
      </w:r>
      <w:r w:rsidRPr="008E4EFB">
        <w:rPr>
          <w:iCs/>
          <w:vertAlign w:val="subscript"/>
        </w:rPr>
        <w:t>4</w:t>
      </w:r>
      <w:r w:rsidRPr="008E4EFB">
        <w:rPr>
          <w:iCs/>
          <w:vertAlign w:val="superscript"/>
        </w:rPr>
        <w:t>2-</w:t>
      </w:r>
      <w:r w:rsidRPr="008E4EFB">
        <w:rPr>
          <w:iCs/>
          <w:vertAlign w:val="subscript"/>
        </w:rPr>
        <w:t xml:space="preserve"> </w:t>
      </w:r>
      <w:r w:rsidRPr="008E4EFB">
        <w:rPr>
          <w:iCs/>
        </w:rPr>
        <w:t>and observed SO</w:t>
      </w:r>
      <w:r w:rsidRPr="008E4EFB">
        <w:rPr>
          <w:iCs/>
          <w:vertAlign w:val="subscript"/>
        </w:rPr>
        <w:t>4</w:t>
      </w:r>
      <w:r w:rsidRPr="008E4EFB">
        <w:rPr>
          <w:iCs/>
          <w:vertAlign w:val="superscript"/>
        </w:rPr>
        <w:t>2-</w:t>
      </w:r>
      <w:r w:rsidRPr="008E4EFB">
        <w:t xml:space="preserve"> </w:t>
      </w:r>
      <w:r w:rsidRPr="008E4EFB">
        <w:fldChar w:fldCharType="begin"/>
      </w:r>
      <w:r w:rsidRPr="008E4EFB">
        <w:instrText xml:space="preserve"> QUOTE </w:instrText>
      </w:r>
      <m:oMath>
        <m:sSub>
          <m:sSubPr>
            <m:ctrlPr>
              <w:rPr>
                <w:rFonts w:ascii="Cambria Math" w:hAnsi="Cambria Math"/>
                <w:i/>
              </w:rPr>
            </m:ctrlPr>
          </m:sSubPr>
          <m:e>
            <m:r>
              <m:rPr>
                <m:sty m:val="p"/>
              </m:rPr>
              <w:rPr>
                <w:rFonts w:ascii="Cambria Math" w:hAnsi="Cambria Math"/>
              </w:rPr>
              <m:t>NH</m:t>
            </m:r>
          </m:e>
          <m:sub>
            <m:r>
              <m:rPr>
                <m:sty m:val="p"/>
              </m:rPr>
              <w:rPr>
                <w:rFonts w:ascii="Cambria Math" w:hAnsi="Cambria Math"/>
              </w:rPr>
              <m:t>x</m:t>
            </m:r>
          </m:sub>
        </m:sSub>
      </m:oMath>
      <w:r w:rsidRPr="008E4EFB">
        <w:instrText xml:space="preserve"> </w:instrText>
      </w:r>
      <w:r w:rsidRPr="008E4EFB">
        <w:fldChar w:fldCharType="end"/>
      </w:r>
      <w:r w:rsidRPr="008E4EFB">
        <w:rPr>
          <w:iCs/>
        </w:rPr>
        <w:t>(</w:t>
      </w:r>
      <w:r w:rsidRPr="007F403E">
        <w:rPr>
          <w:b/>
          <w:bCs/>
          <w:iCs/>
        </w:rPr>
        <w:t xml:space="preserve">Figure </w:t>
      </w:r>
      <w:r w:rsidR="005A173B" w:rsidRPr="007F403E">
        <w:rPr>
          <w:b/>
          <w:bCs/>
          <w:iCs/>
        </w:rPr>
        <w:t>2.</w:t>
      </w:r>
      <w:r w:rsidRPr="007F403E">
        <w:rPr>
          <w:b/>
          <w:bCs/>
          <w:iCs/>
        </w:rPr>
        <w:t>6</w:t>
      </w:r>
      <w:r w:rsidRPr="008E4EFB">
        <w:rPr>
          <w:iCs/>
        </w:rPr>
        <w:t>). This means that TDep is better reproducing the NADP/NTN measurements and their spatial differences, whereas the MMF fields remain more similar to the HTAP II ensemble model output. The higher TDep R</w:t>
      </w:r>
      <w:r w:rsidRPr="008E4EFB">
        <w:rPr>
          <w:iCs/>
          <w:vertAlign w:val="superscript"/>
        </w:rPr>
        <w:t>2</w:t>
      </w:r>
      <w:r w:rsidRPr="008E4EFB">
        <w:rPr>
          <w:iCs/>
        </w:rPr>
        <w:t xml:space="preserve"> value likely occurs because of the finer mesh (12 km) used in the TDep product, the closer proximity to individual stations as compared to HTAP II used in the MMF approach, and the ability of the regional model to capture gradients. In principle, emissions should be the same but in global models they are averaged over larger areas. All three datasets produce similar values to the measured wet </w:t>
      </w:r>
      <w:proofErr w:type="spellStart"/>
      <w:r w:rsidRPr="008E4EFB">
        <w:t>SO</w:t>
      </w:r>
      <w:r w:rsidRPr="008E4EFB">
        <w:rPr>
          <w:vertAlign w:val="subscript"/>
        </w:rPr>
        <w:t>x</w:t>
      </w:r>
      <w:proofErr w:type="spellEnd"/>
      <w:r w:rsidRPr="008E4EFB">
        <w:t xml:space="preserve"> deposition at the NADP/NTN sites (</w:t>
      </w:r>
      <w:r w:rsidRPr="007F403E">
        <w:rPr>
          <w:b/>
          <w:bCs/>
        </w:rPr>
        <w:t xml:space="preserve">Figure </w:t>
      </w:r>
      <w:r w:rsidR="005A173B" w:rsidRPr="007F403E">
        <w:rPr>
          <w:b/>
          <w:bCs/>
        </w:rPr>
        <w:t>2.</w:t>
      </w:r>
      <w:r w:rsidRPr="007F403E">
        <w:rPr>
          <w:b/>
          <w:bCs/>
        </w:rPr>
        <w:t>6</w:t>
      </w:r>
      <w:r w:rsidRPr="008E4EFB">
        <w:t>). The NH</w:t>
      </w:r>
      <w:r w:rsidRPr="008E4EFB">
        <w:rPr>
          <w:vertAlign w:val="subscript"/>
        </w:rPr>
        <w:t>4</w:t>
      </w:r>
      <w:r w:rsidRPr="008E4EFB">
        <w:t xml:space="preserve"> and NO</w:t>
      </w:r>
      <w:r w:rsidRPr="008E4EFB">
        <w:rPr>
          <w:vertAlign w:val="subscript"/>
        </w:rPr>
        <w:t>3</w:t>
      </w:r>
      <w:r w:rsidRPr="008E4EFB">
        <w:t xml:space="preserve"> wet deposition values are shown in Figures S2</w:t>
      </w:r>
      <w:r w:rsidR="005A173B" w:rsidRPr="008E4EFB">
        <w:t>.2</w:t>
      </w:r>
      <w:r w:rsidRPr="008E4EFB">
        <w:t xml:space="preserve"> and </w:t>
      </w:r>
      <w:proofErr w:type="gramStart"/>
      <w:r w:rsidRPr="008E4EFB">
        <w:t>S3, and</w:t>
      </w:r>
      <w:proofErr w:type="gramEnd"/>
      <w:r w:rsidRPr="008E4EFB">
        <w:t xml:space="preserve"> have much lower correlations (for all three interpolation distances), with an R</w:t>
      </w:r>
      <w:r w:rsidRPr="008E4EFB">
        <w:rPr>
          <w:vertAlign w:val="superscript"/>
        </w:rPr>
        <w:t>2</w:t>
      </w:r>
      <w:r w:rsidRPr="008E4EFB">
        <w:t xml:space="preserve"> of 0.1 for NO</w:t>
      </w:r>
      <w:r w:rsidRPr="008E4EFB">
        <w:rPr>
          <w:vertAlign w:val="subscript"/>
        </w:rPr>
        <w:t>3</w:t>
      </w:r>
      <w:r w:rsidRPr="008E4EFB">
        <w:t xml:space="preserve"> and 0.53 for NH</w:t>
      </w:r>
      <w:r w:rsidRPr="008E4EFB">
        <w:rPr>
          <w:vertAlign w:val="subscript"/>
        </w:rPr>
        <w:t>4</w:t>
      </w:r>
      <w:r w:rsidRPr="008E4EFB">
        <w:t xml:space="preserve"> at a 2.5⁰ weighted distance</w:t>
      </w:r>
      <w:r w:rsidR="009C3744" w:rsidRPr="008E4EFB">
        <w:t>.</w:t>
      </w:r>
    </w:p>
    <w:p w14:paraId="4CD2149F" w14:textId="77777777" w:rsidR="00936B99" w:rsidRPr="008E4EFB" w:rsidRDefault="00936B99" w:rsidP="00936B99">
      <w:pPr>
        <w:pStyle w:val="Style3"/>
        <w:numPr>
          <w:ilvl w:val="1"/>
          <w:numId w:val="9"/>
        </w:numPr>
        <w:spacing w:before="0" w:line="360" w:lineRule="auto"/>
        <w:rPr>
          <w:rFonts w:cs="Times New Roman"/>
          <w:iCs/>
          <w:szCs w:val="24"/>
        </w:rPr>
      </w:pPr>
      <w:bookmarkStart w:id="25" w:name="_Toc179917967"/>
      <w:r w:rsidRPr="008E4EFB">
        <w:rPr>
          <w:rFonts w:cs="Times New Roman"/>
          <w:iCs/>
          <w:szCs w:val="24"/>
        </w:rPr>
        <w:t>Consistency of MMF deposition with global emission estimates.</w:t>
      </w:r>
      <w:bookmarkEnd w:id="25"/>
    </w:p>
    <w:p w14:paraId="326DF918" w14:textId="77777777" w:rsidR="00936B99" w:rsidRPr="008E4EFB" w:rsidRDefault="00936B99" w:rsidP="00936B99">
      <w:pPr>
        <w:pStyle w:val="Text"/>
        <w:spacing w:before="0" w:line="360" w:lineRule="auto"/>
        <w:ind w:firstLine="0"/>
      </w:pPr>
      <w:r w:rsidRPr="008E4EFB">
        <w:t xml:space="preserve">Geddes et al. </w:t>
      </w:r>
      <w:r w:rsidRPr="008E4EFB">
        <w:fldChar w:fldCharType="begin"/>
      </w:r>
      <w:r w:rsidRPr="008E4EFB">
        <w:instrText xml:space="preserve"> ADDIN ZOTERO_ITEM CSL_CITATION {"citationID":"d7HTYaSu","properties":{"formattedCitation":"(Geddes and Martin, 2017)","plainCitation":"(Geddes and Martin, 2017)","dontUpdate":true,"noteIndex":0},"citationItems":[{"id":47,"uris":["http://zotero.org/users/3110659/items/P5KYNYXJ"],"itemData":{"id":47,"type":"article-journal","abstract":"&lt;p&gt;&lt;strong class=\"journal-contentHeaderColor\"&gt;Abstract.&lt;/strong&gt; Reactive nitrogen oxides (NO&lt;sub&gt;&lt;i&gt;y&lt;/i&gt;&lt;/sub&gt;) are a major constituent of the nitrogen deposited from the atmosphere, but observational constraints on their deposition are limited by poor or nonexistent measurement coverage in many parts of the world. Here we apply NO&lt;sub&gt;2&lt;/sub&gt; observations from multiple satellite instruments (GOME, SCIAMACHY, and GOME-2) to constrain the global deposition of NO&lt;sub&gt;&lt;i&gt;y&lt;/i&gt;&lt;/sub&gt; over the last 2 decades. We accomplish this by producing top-down estimates of NO&lt;sub&gt;&lt;i&gt;x&lt;/i&gt;&lt;/sub&gt; emissions from inverse modeling of satellite NO&lt;sub&gt;2&lt;/sub&gt; columns over 1996–2014, and including these emissions in the GEOS-Chem chemical transport model to simulate chemistry, transport, and deposition of NO&lt;sub&gt;&lt;i&gt;y&lt;/i&gt;&lt;/sub&gt;. Our estimates of long-term mean wet nitrate (NO&lt;sub&gt;3&lt;/sub&gt;&lt;sup&gt;−&lt;/sup&gt;) deposition are highly consistent with available measurements in North America, Europe, and East Asia combined (&lt;i&gt;r&lt;/i&gt; = 0.83, normalized mean bias = −7 %, &lt;i&gt;N&lt;/i&gt; = 136). Likewise, our calculated trends in wet NO&lt;sub&gt;3&lt;/sub&gt;&lt;sup&gt;−&lt;/sup&gt; deposition are largely consistent with the measurements, with 129 of the 136 gridded model–data pairs sharing overlapping 95 % confidence intervals. We find that global mean NO&lt;sub&gt;&lt;i&gt;y&lt;/i&gt;&lt;/sub&gt; deposition over 1996–2014 is 56.0 Tg N yr&lt;sup&gt;−1&lt;/sup&gt;, with a minimum in 2006 of 50.5 Tg N and a maximum in 2012 of 60.8 Tg N. Regional trends are large, with opposing signs in different parts of the world. Over 1996 to 2014, NO&lt;sub&gt;&lt;i&gt;y&lt;/i&gt;&lt;/sub&gt; deposition decreased by up to 60 % in eastern North America, doubled in regions of East Asia, and declined by 20 % in parts of western Europe. About 40 % of the global NO&lt;sub&gt;&lt;i&gt;y&lt;/i&gt;&lt;/sub&gt; deposition occurs over oceans, with deposition to the North Atlantic Ocean declining and deposition to the northwestern Pacific Ocean increasing. Using the residual between NO&lt;sub&gt;&lt;i&gt;x&lt;/i&gt;&lt;/sub&gt; emissions and NO&lt;sub&gt;&lt;i&gt;y&lt;/i&gt;&lt;/sub&gt; deposition over specific land regions, we investigate how NO&lt;sub&gt;&lt;i&gt;x&lt;/i&gt;&lt;/sub&gt; export via atmospheric transport has changed over the last 2 decades. Net export from the continental United States decreased substantially, from 2.9 Tg N yr&lt;sup&gt;−1&lt;/sup&gt; in 1996 to 1.5 Tg N yr&lt;sup&gt;−1&lt;/sup&gt; in 2014. Export from China more than tripled between 1996 and 2011 (from 1.0 to 3.5 Tg N yr&lt;sup&gt;−1&lt;/sup&gt;), before a striking decline to 2.5 Tg N yr&lt;sup&gt;−1&lt;/sup&gt; by 2014. We find that declines in NO&lt;sub&gt;&lt;i&gt;x&lt;/i&gt;&lt;/sub&gt; export from some western European countries have counteracted increases in emissions from neighboring countries to the east. A sensitivity study indicates that simulated NO&lt;sub&gt;&lt;i&gt;y&lt;/i&gt;&lt;/sub&gt; deposition is robust to uncertainties in NH&lt;sub&gt;3&lt;/sub&gt; emissions with a few exceptions. Our novel long-term study provides timely context on the rapid redistribution of atmospheric nitrogen transport and subsequent deposition to ecosystems around the world.&lt;/p&gt;","container-title":"Atmospheric Chemistry and Physics","DOI":"10.5194/acp-17-10071-2017","ISSN":"1680-7316","issue":"16","language":"English","note":"publisher: Copernicus GmbH","page":"10071-10091","source":"acp.copernicus.org","title":"Global deposition of total reactive nitrogen oxides from 1996 to 2014 constrained with satellite observations of NO&lt;sub&gt;2&lt;/sub&gt; columns","volume":"17","author":[{"family":"Geddes","given":"Jeffrey A."},{"family":"Martin","given":"Randall V."}],"issued":{"date-parts":[["2017",8,29]]}}}],"schema":"https://github.com/citation-style-language/schema/raw/master/csl-citation.json"} </w:instrText>
      </w:r>
      <w:r w:rsidRPr="008E4EFB">
        <w:fldChar w:fldCharType="separate"/>
      </w:r>
      <w:r w:rsidRPr="008E4EFB">
        <w:t>( 2017)</w:t>
      </w:r>
      <w:r w:rsidRPr="008E4EFB">
        <w:fldChar w:fldCharType="end"/>
      </w:r>
      <w:r w:rsidRPr="008E4EFB">
        <w:t xml:space="preserve"> used satellite observations to report global </w:t>
      </w:r>
      <w:proofErr w:type="spellStart"/>
      <w:r w:rsidRPr="008E4EFB">
        <w:t>NO</w:t>
      </w:r>
      <w:r w:rsidRPr="008E4EFB">
        <w:rPr>
          <w:vertAlign w:val="subscript"/>
        </w:rPr>
        <w:t>y</w:t>
      </w:r>
      <w:proofErr w:type="spellEnd"/>
      <w:r w:rsidRPr="008E4EFB">
        <w:fldChar w:fldCharType="begin"/>
      </w:r>
      <w:r w:rsidRPr="008E4EFB">
        <w:instrText xml:space="preserve"> QUOTE </w:instrText>
      </w:r>
      <m:oMath>
        <m:sSub>
          <m:sSubPr>
            <m:ctrlPr>
              <w:rPr>
                <w:rFonts w:ascii="Cambria Math" w:hAnsi="Cambria Math"/>
              </w:rPr>
            </m:ctrlPr>
          </m:sSubPr>
          <m:e>
            <m:r>
              <m:rPr>
                <m:sty m:val="p"/>
              </m:rPr>
              <w:rPr>
                <w:rFonts w:ascii="Cambria Math" w:hAnsi="Cambria Math"/>
              </w:rPr>
              <m:t>NO</m:t>
            </m:r>
          </m:e>
          <m:sub>
            <m:r>
              <m:rPr>
                <m:sty m:val="p"/>
              </m:rPr>
              <w:rPr>
                <w:rFonts w:ascii="Cambria Math" w:hAnsi="Cambria Math"/>
              </w:rPr>
              <m:t>y</m:t>
            </m:r>
          </m:sub>
        </m:sSub>
      </m:oMath>
      <w:r w:rsidRPr="008E4EFB">
        <w:instrText xml:space="preserve"> </w:instrText>
      </w:r>
      <w:r w:rsidRPr="008E4EFB">
        <w:fldChar w:fldCharType="end"/>
      </w:r>
      <w:r w:rsidRPr="008E4EFB">
        <w:t xml:space="preserve"> emissions of 57.5 Tg-N/yr in 2010, similar to the 60.4 Tg-N emissions reported by HTAP II. This matches well with the total global MMF-derived </w:t>
      </w:r>
      <w:proofErr w:type="spellStart"/>
      <w:r w:rsidRPr="008E4EFB">
        <w:t>NO</w:t>
      </w:r>
      <w:r w:rsidRPr="008E4EFB">
        <w:rPr>
          <w:vertAlign w:val="subscript"/>
        </w:rPr>
        <w:t>y</w:t>
      </w:r>
      <w:proofErr w:type="spellEnd"/>
      <w:r w:rsidRPr="008E4EFB">
        <w:t xml:space="preserve"> deposition (58.1 Tg-N). HTAP II ammonia emissions were 59.3 Tg-N, slightly lower than the MMF NH</w:t>
      </w:r>
      <w:r w:rsidRPr="008E4EFB">
        <w:rPr>
          <w:vertAlign w:val="subscript"/>
        </w:rPr>
        <w:t>3</w:t>
      </w:r>
      <w:r w:rsidRPr="008E4EFB">
        <w:t xml:space="preserve"> and NH</w:t>
      </w:r>
      <w:r w:rsidRPr="008E4EFB">
        <w:rPr>
          <w:vertAlign w:val="subscript"/>
        </w:rPr>
        <w:t>4</w:t>
      </w:r>
      <w:r w:rsidRPr="008E4EFB">
        <w:t xml:space="preserve">+ deposition of 62.3 Tg-N. The total MMM sulfur emissions for 2010 were 90.7 Tg S, very similar to the MMF sulfur deposition of 88.9 Tg-N. </w:t>
      </w:r>
    </w:p>
    <w:p w14:paraId="1C859C83" w14:textId="77777777" w:rsidR="00936B99" w:rsidRPr="008E4EFB" w:rsidRDefault="00936B99" w:rsidP="00B71A9A">
      <w:pPr>
        <w:pStyle w:val="Abstract"/>
        <w:spacing w:before="0" w:line="360" w:lineRule="auto"/>
      </w:pPr>
    </w:p>
    <w:p w14:paraId="31374FF6" w14:textId="77777777" w:rsidR="0062719E" w:rsidRPr="008E4EFB" w:rsidRDefault="0062719E" w:rsidP="00ED686E">
      <w:pPr>
        <w:pStyle w:val="Abstract"/>
      </w:pPr>
      <w:r w:rsidRPr="008E4EFB">
        <w:rPr>
          <w:noProof/>
        </w:rPr>
        <w:lastRenderedPageBreak/>
        <w:t xml:space="preserve">  </w:t>
      </w:r>
      <w:r w:rsidRPr="008E4EFB">
        <w:rPr>
          <w:noProof/>
        </w:rPr>
        <w:drawing>
          <wp:inline distT="0" distB="0" distL="0" distR="0" wp14:anchorId="0039044A" wp14:editId="26664BEC">
            <wp:extent cx="5943600" cy="3544570"/>
            <wp:effectExtent l="0" t="0" r="0" b="0"/>
            <wp:docPr id="1361215290" name="Picture 1" descr="A picture containing text, screensh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15290" name="Picture 1" descr="A picture containing text, screenshot, line, diagram&#10;&#10;Description automatically generated"/>
                    <pic:cNvPicPr/>
                  </pic:nvPicPr>
                  <pic:blipFill>
                    <a:blip r:embed="rId23"/>
                    <a:stretch>
                      <a:fillRect/>
                    </a:stretch>
                  </pic:blipFill>
                  <pic:spPr>
                    <a:xfrm>
                      <a:off x="0" y="0"/>
                      <a:ext cx="5943600" cy="3544570"/>
                    </a:xfrm>
                    <a:prstGeom prst="rect">
                      <a:avLst/>
                    </a:prstGeom>
                  </pic:spPr>
                </pic:pic>
              </a:graphicData>
            </a:graphic>
          </wp:inline>
        </w:drawing>
      </w:r>
    </w:p>
    <w:p w14:paraId="320350CF" w14:textId="7A91F621" w:rsidR="0062719E" w:rsidRPr="008E4EFB" w:rsidRDefault="003E584A" w:rsidP="00C410C7">
      <w:pPr>
        <w:pStyle w:val="Caption"/>
        <w:rPr>
          <w:rFonts w:ascii="Times New Roman" w:hAnsi="Times New Roman" w:cs="Times New Roman"/>
          <w:i w:val="0"/>
          <w:iCs w:val="0"/>
          <w:color w:val="auto"/>
          <w:sz w:val="24"/>
          <w:szCs w:val="24"/>
        </w:rPr>
      </w:pPr>
      <w:bookmarkStart w:id="26" w:name="_Toc179917563"/>
      <w:bookmarkStart w:id="27" w:name="_Toc179918043"/>
      <w:bookmarkStart w:id="28" w:name="_Toc184062898"/>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6</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Observed and modeled wet SO</w:t>
      </w:r>
      <w:r w:rsidRPr="008E4EFB">
        <w:rPr>
          <w:rFonts w:ascii="Times New Roman" w:hAnsi="Times New Roman" w:cs="Times New Roman"/>
          <w:i w:val="0"/>
          <w:iCs w:val="0"/>
          <w:color w:val="auto"/>
          <w:sz w:val="24"/>
          <w:szCs w:val="24"/>
          <w:vertAlign w:val="subscript"/>
        </w:rPr>
        <w:t>4</w:t>
      </w:r>
      <w:r w:rsidRPr="008E4EFB">
        <w:rPr>
          <w:rFonts w:ascii="Times New Roman" w:hAnsi="Times New Roman" w:cs="Times New Roman"/>
          <w:i w:val="0"/>
          <w:iCs w:val="0"/>
          <w:color w:val="auto"/>
          <w:sz w:val="24"/>
          <w:szCs w:val="24"/>
          <w:vertAlign w:val="superscript"/>
        </w:rPr>
        <w:t>2-</w:t>
      </w:r>
      <w:r w:rsidRPr="008E4EFB">
        <w:rPr>
          <w:rFonts w:ascii="Times New Roman" w:hAnsi="Times New Roman" w:cs="Times New Roman"/>
          <w:i w:val="0"/>
          <w:iCs w:val="0"/>
          <w:color w:val="auto"/>
          <w:sz w:val="24"/>
          <w:szCs w:val="24"/>
        </w:rPr>
        <w:t xml:space="preserve"> deposition in the US in 2010. </w:t>
      </w:r>
      <w:r w:rsidR="0062719E" w:rsidRPr="008E4EFB">
        <w:rPr>
          <w:rFonts w:ascii="Times New Roman" w:hAnsi="Times New Roman" w:cs="Times New Roman"/>
          <w:i w:val="0"/>
          <w:iCs w:val="0"/>
          <w:color w:val="auto"/>
          <w:sz w:val="24"/>
          <w:szCs w:val="24"/>
        </w:rPr>
        <w:t xml:space="preserve">Each NADP/NTN wet deposition measurement and the associated HTAP II, TDep, or MMF </w:t>
      </w:r>
      <m:oMath>
        <m:sSub>
          <m:sSubPr>
            <m:ctrlPr>
              <w:rPr>
                <w:rFonts w:ascii="Cambria Math" w:hAnsi="Cambria Math" w:cs="Times New Roman"/>
                <w:i w:val="0"/>
                <w:iCs w:val="0"/>
                <w:color w:val="auto"/>
                <w:sz w:val="24"/>
                <w:szCs w:val="24"/>
              </w:rPr>
            </m:ctrlPr>
          </m:sSubPr>
          <m:e>
            <m:r>
              <w:rPr>
                <w:rFonts w:ascii="Cambria Math" w:hAnsi="Cambria Math" w:cs="Times New Roman"/>
                <w:color w:val="auto"/>
                <w:sz w:val="24"/>
                <w:szCs w:val="24"/>
              </w:rPr>
              <m:t>NH</m:t>
            </m:r>
          </m:e>
          <m:sub>
            <m:r>
              <w:rPr>
                <w:rFonts w:ascii="Cambria Math" w:hAnsi="Cambria Math" w:cs="Times New Roman"/>
                <w:color w:val="auto"/>
                <w:sz w:val="24"/>
                <w:szCs w:val="24"/>
              </w:rPr>
              <m:t>x</m:t>
            </m:r>
          </m:sub>
        </m:sSub>
      </m:oMath>
      <w:r w:rsidR="0062719E" w:rsidRPr="008E4EFB">
        <w:rPr>
          <w:rFonts w:ascii="Times New Roman" w:hAnsi="Times New Roman" w:cs="Times New Roman"/>
          <w:i w:val="0"/>
          <w:iCs w:val="0"/>
          <w:color w:val="auto"/>
          <w:sz w:val="24"/>
          <w:szCs w:val="24"/>
        </w:rPr>
        <w:t xml:space="preserve"> wet deposition modeled value, with all values shown together in A. The black line is the 1:1 line. Similar plots are shown in Figures S</w:t>
      </w:r>
      <w:r w:rsidR="005A173B" w:rsidRPr="008E4EFB">
        <w:rPr>
          <w:rFonts w:ascii="Times New Roman" w:hAnsi="Times New Roman" w:cs="Times New Roman"/>
          <w:i w:val="0"/>
          <w:iCs w:val="0"/>
          <w:color w:val="auto"/>
          <w:sz w:val="24"/>
          <w:szCs w:val="24"/>
        </w:rPr>
        <w:t>2.</w:t>
      </w:r>
      <w:r w:rsidR="0062719E" w:rsidRPr="008E4EFB">
        <w:rPr>
          <w:rFonts w:ascii="Times New Roman" w:hAnsi="Times New Roman" w:cs="Times New Roman"/>
          <w:i w:val="0"/>
          <w:iCs w:val="0"/>
          <w:color w:val="auto"/>
          <w:sz w:val="24"/>
          <w:szCs w:val="24"/>
        </w:rPr>
        <w:t>2 and S</w:t>
      </w:r>
      <w:r w:rsidR="005A173B" w:rsidRPr="008E4EFB">
        <w:rPr>
          <w:rFonts w:ascii="Times New Roman" w:hAnsi="Times New Roman" w:cs="Times New Roman"/>
          <w:i w:val="0"/>
          <w:iCs w:val="0"/>
          <w:color w:val="auto"/>
          <w:sz w:val="24"/>
          <w:szCs w:val="24"/>
        </w:rPr>
        <w:t>2.</w:t>
      </w:r>
      <w:r w:rsidR="0062719E" w:rsidRPr="008E4EFB">
        <w:rPr>
          <w:rFonts w:ascii="Times New Roman" w:hAnsi="Times New Roman" w:cs="Times New Roman"/>
          <w:i w:val="0"/>
          <w:iCs w:val="0"/>
          <w:color w:val="auto"/>
          <w:sz w:val="24"/>
          <w:szCs w:val="24"/>
        </w:rPr>
        <w:t>3 for wet NO</w:t>
      </w:r>
      <w:r w:rsidR="0062719E" w:rsidRPr="008E4EFB">
        <w:rPr>
          <w:rFonts w:ascii="Times New Roman" w:hAnsi="Times New Roman" w:cs="Times New Roman"/>
          <w:i w:val="0"/>
          <w:iCs w:val="0"/>
          <w:color w:val="auto"/>
          <w:sz w:val="24"/>
          <w:szCs w:val="24"/>
          <w:vertAlign w:val="subscript"/>
        </w:rPr>
        <w:t>3</w:t>
      </w:r>
      <w:r w:rsidR="0062719E" w:rsidRPr="008E4EFB">
        <w:rPr>
          <w:rFonts w:ascii="Times New Roman" w:hAnsi="Times New Roman" w:cs="Times New Roman"/>
          <w:i w:val="0"/>
          <w:iCs w:val="0"/>
          <w:color w:val="auto"/>
          <w:sz w:val="24"/>
          <w:szCs w:val="24"/>
        </w:rPr>
        <w:t xml:space="preserve"> and wet NH</w:t>
      </w:r>
      <w:r w:rsidR="0062719E" w:rsidRPr="008E4EFB">
        <w:rPr>
          <w:rFonts w:ascii="Times New Roman" w:hAnsi="Times New Roman" w:cs="Times New Roman"/>
          <w:i w:val="0"/>
          <w:iCs w:val="0"/>
          <w:color w:val="auto"/>
          <w:sz w:val="24"/>
          <w:szCs w:val="24"/>
          <w:vertAlign w:val="subscript"/>
        </w:rPr>
        <w:t>4.</w:t>
      </w:r>
      <w:bookmarkEnd w:id="26"/>
      <w:bookmarkEnd w:id="27"/>
      <w:bookmarkEnd w:id="28"/>
    </w:p>
    <w:p w14:paraId="514505A2" w14:textId="77777777" w:rsidR="00B428D9" w:rsidRPr="008E4EFB" w:rsidRDefault="00B428D9" w:rsidP="00ED686E">
      <w:pPr>
        <w:pStyle w:val="Abstract"/>
      </w:pPr>
    </w:p>
    <w:p w14:paraId="0069F1EE" w14:textId="77777777" w:rsidR="009665C4" w:rsidRDefault="009665C4" w:rsidP="00ED686E">
      <w:pPr>
        <w:pStyle w:val="Text"/>
        <w:spacing w:before="0"/>
        <w:ind w:firstLine="0"/>
      </w:pPr>
    </w:p>
    <w:p w14:paraId="179D2A89" w14:textId="77777777" w:rsidR="00936B99" w:rsidRDefault="00936B99" w:rsidP="00ED686E">
      <w:pPr>
        <w:pStyle w:val="Text"/>
        <w:spacing w:before="0"/>
        <w:ind w:firstLine="0"/>
      </w:pPr>
    </w:p>
    <w:p w14:paraId="4ED999F8" w14:textId="77777777" w:rsidR="00936B99" w:rsidRDefault="00936B99" w:rsidP="00ED686E">
      <w:pPr>
        <w:pStyle w:val="Text"/>
        <w:spacing w:before="0"/>
        <w:ind w:firstLine="0"/>
      </w:pPr>
    </w:p>
    <w:p w14:paraId="20D0888E" w14:textId="77777777" w:rsidR="00936B99" w:rsidRDefault="00936B99" w:rsidP="00ED686E">
      <w:pPr>
        <w:pStyle w:val="Text"/>
        <w:spacing w:before="0"/>
        <w:ind w:firstLine="0"/>
      </w:pPr>
    </w:p>
    <w:p w14:paraId="596B0EB7" w14:textId="77777777" w:rsidR="00936B99" w:rsidRDefault="00936B99" w:rsidP="00ED686E">
      <w:pPr>
        <w:pStyle w:val="Text"/>
        <w:spacing w:before="0"/>
        <w:ind w:firstLine="0"/>
      </w:pPr>
    </w:p>
    <w:p w14:paraId="320690E9" w14:textId="77777777" w:rsidR="00936B99" w:rsidRDefault="00936B99" w:rsidP="00ED686E">
      <w:pPr>
        <w:pStyle w:val="Text"/>
        <w:spacing w:before="0"/>
        <w:ind w:firstLine="0"/>
      </w:pPr>
    </w:p>
    <w:p w14:paraId="4CCA4BFE" w14:textId="77777777" w:rsidR="00936B99" w:rsidRDefault="00936B99" w:rsidP="00ED686E">
      <w:pPr>
        <w:pStyle w:val="Text"/>
        <w:spacing w:before="0"/>
        <w:ind w:firstLine="0"/>
      </w:pPr>
    </w:p>
    <w:p w14:paraId="36C9514B" w14:textId="77777777" w:rsidR="00936B99" w:rsidRDefault="00936B99" w:rsidP="00ED686E">
      <w:pPr>
        <w:pStyle w:val="Text"/>
        <w:spacing w:before="0"/>
        <w:ind w:firstLine="0"/>
      </w:pPr>
    </w:p>
    <w:p w14:paraId="7A127C8A" w14:textId="77777777" w:rsidR="00936B99" w:rsidRDefault="00936B99" w:rsidP="00ED686E">
      <w:pPr>
        <w:pStyle w:val="Text"/>
        <w:spacing w:before="0"/>
        <w:ind w:firstLine="0"/>
      </w:pPr>
    </w:p>
    <w:p w14:paraId="7EA010B2" w14:textId="77777777" w:rsidR="00936B99" w:rsidRDefault="00936B99" w:rsidP="00ED686E">
      <w:pPr>
        <w:pStyle w:val="Text"/>
        <w:spacing w:before="0"/>
        <w:ind w:firstLine="0"/>
      </w:pPr>
    </w:p>
    <w:p w14:paraId="7378588A" w14:textId="77777777" w:rsidR="00936B99" w:rsidRDefault="00936B99" w:rsidP="00ED686E">
      <w:pPr>
        <w:pStyle w:val="Text"/>
        <w:spacing w:before="0"/>
        <w:ind w:firstLine="0"/>
      </w:pPr>
    </w:p>
    <w:p w14:paraId="4DDD2879" w14:textId="77777777" w:rsidR="00936B99" w:rsidRDefault="00936B99" w:rsidP="00ED686E">
      <w:pPr>
        <w:pStyle w:val="Text"/>
        <w:spacing w:before="0"/>
        <w:ind w:firstLine="0"/>
      </w:pPr>
    </w:p>
    <w:p w14:paraId="38E8A790" w14:textId="77777777" w:rsidR="00936B99" w:rsidRDefault="00936B99" w:rsidP="00ED686E">
      <w:pPr>
        <w:pStyle w:val="Text"/>
        <w:spacing w:before="0"/>
        <w:ind w:firstLine="0"/>
      </w:pPr>
    </w:p>
    <w:p w14:paraId="64CE7C13" w14:textId="77777777" w:rsidR="00936B99" w:rsidRDefault="00936B99" w:rsidP="00ED686E">
      <w:pPr>
        <w:pStyle w:val="Text"/>
        <w:spacing w:before="0"/>
        <w:ind w:firstLine="0"/>
      </w:pPr>
    </w:p>
    <w:p w14:paraId="203756A8" w14:textId="77777777" w:rsidR="00936B99" w:rsidRDefault="00936B99" w:rsidP="00ED686E">
      <w:pPr>
        <w:pStyle w:val="Text"/>
        <w:spacing w:before="0"/>
        <w:ind w:firstLine="0"/>
      </w:pPr>
    </w:p>
    <w:p w14:paraId="270FD2AC" w14:textId="77777777" w:rsidR="00936B99" w:rsidRDefault="00936B99" w:rsidP="00ED686E">
      <w:pPr>
        <w:pStyle w:val="Text"/>
        <w:spacing w:before="0"/>
        <w:ind w:firstLine="0"/>
      </w:pPr>
    </w:p>
    <w:p w14:paraId="0381E50C" w14:textId="77777777" w:rsidR="00936B99" w:rsidRPr="008E4EFB" w:rsidRDefault="00936B99" w:rsidP="00ED686E">
      <w:pPr>
        <w:pStyle w:val="Text"/>
        <w:spacing w:before="0"/>
        <w:ind w:firstLine="0"/>
      </w:pPr>
    </w:p>
    <w:p w14:paraId="721F9AC9" w14:textId="35AD8D6C" w:rsidR="0062719E" w:rsidRPr="008E4EFB" w:rsidRDefault="0062719E" w:rsidP="00936B99">
      <w:pPr>
        <w:pStyle w:val="Style3"/>
        <w:numPr>
          <w:ilvl w:val="1"/>
          <w:numId w:val="9"/>
        </w:numPr>
        <w:spacing w:before="0" w:line="360" w:lineRule="auto"/>
        <w:rPr>
          <w:rFonts w:cs="Times New Roman"/>
          <w:iCs/>
          <w:szCs w:val="24"/>
        </w:rPr>
      </w:pPr>
      <w:bookmarkStart w:id="29" w:name="_Toc179917968"/>
      <w:r w:rsidRPr="008E4EFB">
        <w:rPr>
          <w:rFonts w:cs="Times New Roman"/>
          <w:iCs/>
          <w:szCs w:val="24"/>
        </w:rPr>
        <w:lastRenderedPageBreak/>
        <w:t>Deposition over China.</w:t>
      </w:r>
      <w:bookmarkEnd w:id="29"/>
    </w:p>
    <w:p w14:paraId="41820310" w14:textId="666E5D37" w:rsidR="0062719E" w:rsidRPr="008E4EFB" w:rsidRDefault="0062719E" w:rsidP="00936B99">
      <w:pPr>
        <w:pStyle w:val="Abstract"/>
        <w:spacing w:before="0" w:line="360" w:lineRule="auto"/>
      </w:pPr>
      <w:r w:rsidRPr="008E4EFB">
        <w:t>A promising data set of wet deposition measurements (NO</w:t>
      </w:r>
      <w:r w:rsidRPr="008E4EFB">
        <w:rPr>
          <w:vertAlign w:val="subscript"/>
        </w:rPr>
        <w:t>3</w:t>
      </w:r>
      <w:r w:rsidRPr="008E4EFB">
        <w:rPr>
          <w:vertAlign w:val="superscript"/>
        </w:rPr>
        <w:t>-</w:t>
      </w:r>
      <w:r w:rsidRPr="008E4EFB">
        <w:t>, NH</w:t>
      </w:r>
      <w:r w:rsidRPr="008E4EFB">
        <w:rPr>
          <w:vertAlign w:val="subscript"/>
        </w:rPr>
        <w:t>4</w:t>
      </w:r>
      <w:r w:rsidRPr="008E4EFB">
        <w:rPr>
          <w:vertAlign w:val="superscript"/>
        </w:rPr>
        <w:t>+</w:t>
      </w:r>
      <w:r w:rsidRPr="008E4EFB">
        <w:t>, and SO</w:t>
      </w:r>
      <w:r w:rsidRPr="008E4EFB">
        <w:rPr>
          <w:vertAlign w:val="subscript"/>
        </w:rPr>
        <w:t>4</w:t>
      </w:r>
      <w:r w:rsidRPr="008E4EFB">
        <w:rPr>
          <w:vertAlign w:val="superscript"/>
        </w:rPr>
        <w:t>2-</w:t>
      </w:r>
      <w:r w:rsidRPr="008E4EFB">
        <w:t xml:space="preserve">) in China is available through the National Nitrogen Deposition Monitoring Network (NNDMN </w:t>
      </w:r>
      <w:r w:rsidRPr="008E4EFB">
        <w:fldChar w:fldCharType="begin"/>
      </w:r>
      <w:r w:rsidR="00652E13" w:rsidRPr="008E4EFB">
        <w:instrText xml:space="preserve"> ADDIN ZOTERO_ITEM CSL_CITATION {"citationID":"gsJ5tqBL","properties":{"formattedCitation":"(Wen Xu et al., 2019)","plainCitation":"(Wen Xu et al., 2019)","noteIndex":0},"citationItems":[{"id":63,"uris":["http://zotero.org/users/3110659/items/MCC5TVDJ"],"itemData":{"id":63,"type":"article-journal","abstract":"Atmospheric nitrogen (N) deposition has increased substantially across China since 1980; however, data for N deposition fluxes since the 2000s has been very limited. Understanding and mitigating the impacts of N deposition requires long-term quantification of dry as well as wet deposition of key reactive nitrogen (Nr) species. Here we present a dataset for inorganic N concentrations and deposition for the period 2010–2015 in China, compiled from the nationwide deposition monitoring network. The dataset comprises information from 32 monitoring sites on concentrations and bulk deposition (wet plus part of dry deposition) fluxes of NH4+-N and NO3−-N, air concentrations and dry deposition fluxes of the major Nr species NH3, NO2, HNO3, and particulate NH4+ and NO3−. This unique database is available inter alia to advance understanding of the spatial patterns of inorganic N concentrations and deposition in China and its associated effects, constrain primary Nr (e.g., NH3, NOx) emission inventories, and validate outputs of atmospheric chemistry and transport models.","container-title":"Scientific Data","DOI":"10.1038/s41597-019-0061-2","ISSN":"2052-4463","issue":"1","journalAbbreviation":"Sci Data","language":"en","license":"2019 The Author(s)","note":"Bandiera_abtest: a\nCc_license_type: cc_publicdomain\nCg_type: Nature Research Journals\nnumber: 1\nPrimary_atype: Research\npublisher: Nature Publishing Group\nSubject_term: Atmospheric chemistry;Environmental monitoring\nSubject_term_id: atmospheric-chemistry;environmental-monitoring","page":"51","source":"www.nature.com","title":"A database of atmospheric nitrogen concentration and deposition from the nationwide monitoring network in China","volume":"6","author":[{"family":"Xu","given":"Wen"},{"family":"Zhang","given":"Lin"},{"family":"Liu","given":"Xuejun"}],"issued":{"date-parts":[["2019",5,9]]}}}],"schema":"https://github.com/citation-style-language/schema/raw/master/csl-citation.json"} </w:instrText>
      </w:r>
      <w:r w:rsidRPr="008E4EFB">
        <w:fldChar w:fldCharType="separate"/>
      </w:r>
      <w:r w:rsidR="00B864BC" w:rsidRPr="008E4EFB">
        <w:t>(Wen Xu et al., 2019)</w:t>
      </w:r>
      <w:r w:rsidRPr="008E4EFB">
        <w:fldChar w:fldCharType="end"/>
      </w:r>
      <w:r w:rsidRPr="008E4EFB">
        <w:t xml:space="preserve">). It is comparable to other regional measurements </w:t>
      </w:r>
      <w:r w:rsidRPr="008E4EFB">
        <w:fldChar w:fldCharType="begin"/>
      </w:r>
      <w:r w:rsidRPr="008E4EFB">
        <w:instrText xml:space="preserve"> ADDIN ZOTERO_ITEM CSL_CITATION {"citationID":"375McBej","properties":{"formattedCitation":"(Wen et al., 2020)","plainCitation":"(Wen et al., 2020)","noteIndex":0},"citationItems":[{"id":56,"uris":["http://zotero.org/users/3110659/items/DKE9YLYX"],"itemData":{"id":56,"type":"article-journal","abstract":"China has experienced a dramatic change in atmospheric reactive nitrogen (Nr) emissions over the past four decades. However, it remains unclear how nitrogen (N) deposition has responded to increases and/or decreases in Nr emissions. This study quantitatively assesses temporal and spatial variations in measurements of bulk and calculated dry N deposition in China from 1980 to 2018. A long-term database (1980–2018) shows that bulk N deposition peaked in around 2000, and had declined by 45% by 2016–2018. Recent bulk and dry N deposition (based on monitoring from 2011 to 2018) decreased from 2011 to 2018, with current average values of 19.4 ± 0.8 and 20.6 ± 0.4 kg N ha−1 yr−1, respectively. Oxidized N deposition, especially dry deposition, decreased after 2010 due to NOx emission controls. In contrast, reduced N deposition was approximately constant, with reductions in bulk NH4+-N deposition offset by a continuous increase in dry NH3 deposition. Elevated NH3 concentrations were found at nationwide monitoring sites even at urban sites, suggesting a strong influence of both agricultural and non-agricultural sources. Current emission controls are reducing Nr emissions and deposition but further mitigation measures are needed, especially of NH3, built on broader regional emission control strategies.","container-title":"Environment International","DOI":"10.1016/j.envint.2020.106022","ISSN":"0160-4120","journalAbbreviation":"Environment International","language":"en","page":"106022","source":"ScienceDirect","title":"Changes of nitrogen deposition in China from 1980 to 2018","volume":"144","author":[{"family":"Wen","given":"Zhang"},{"family":"Xu","given":"Wen"},{"family":"Li","given":"Qi"},{"family":"Han","given":"Mengjuan"},{"family":"Tang","given":"Aohan"},{"family":"Zhang","given":"Ying"},{"family":"Luo","given":"Xiaosheng"},{"family":"Shen","given":"Jianlin"},{"family":"Wang","given":"Wei"},{"family":"Li","given":"Kaihui"},{"family":"Pan","given":"Yuepeng"},{"family":"Zhang","given":"Lin"},{"family":"Li","given":"Wenqing"},{"family":"Collett","given":"Jeffery Lee"},{"family":"Zhong","given":"Buqing"},{"family":"Wang","given":"Xuemei"},{"family":"Goulding","given":"Keith"},{"family":"Zhang","given":"Fusuo"},{"family":"Liu","given":"Xuejun"}],"issued":{"date-parts":[["2020",11,1]]}}}],"schema":"https://github.com/citation-style-language/schema/raw/master/csl-citation.json"} </w:instrText>
      </w:r>
      <w:r w:rsidRPr="008E4EFB">
        <w:fldChar w:fldCharType="separate"/>
      </w:r>
      <w:r w:rsidR="00B864BC" w:rsidRPr="008E4EFB">
        <w:t>(Wen et al., 2020)</w:t>
      </w:r>
      <w:r w:rsidRPr="008E4EFB">
        <w:fldChar w:fldCharType="end"/>
      </w:r>
      <w:r w:rsidRPr="008E4EFB">
        <w:t xml:space="preserve">. However, these data only exist for a fraction of 2010 (from September onwards) for a few sites; rather than </w:t>
      </w:r>
      <w:proofErr w:type="gramStart"/>
      <w:r w:rsidRPr="008E4EFB">
        <w:t>use</w:t>
      </w:r>
      <w:proofErr w:type="gramEnd"/>
      <w:r w:rsidRPr="008E4EFB">
        <w:t xml:space="preserve"> partial data to represent an entire year, these sites were not included in </w:t>
      </w:r>
      <w:r w:rsidR="00853B17" w:rsidRPr="008E4EFB">
        <w:t>this</w:t>
      </w:r>
      <w:r w:rsidRPr="008E4EFB">
        <w:t xml:space="preserve"> study. Research in China </w:t>
      </w:r>
      <w:r w:rsidRPr="008E4EFB">
        <w:fldChar w:fldCharType="begin"/>
      </w:r>
      <w:r w:rsidR="00652E13" w:rsidRPr="008E4EFB">
        <w:instrText xml:space="preserve"> ADDIN ZOTERO_ITEM CSL_CITATION {"citationID":"5uz8vv2d","properties":{"formattedCitation":"(L. Liu et al., 2020)","plainCitation":"(L. Liu et al., 2020)","noteIndex":0},"citationItems":[{"id":592,"uris":["http://zotero.org/users/3110659/items/FEHEYNDF"],"itemData":{"id":592,"type":"article-journal","abstract":"China has the largest reactive nitrogen deposition worldwide. Understanding the change of nitrogen deposition and its socioeconomic drivers in China is crucial for the function and sustainability of regional and global ecosystems. Here we presented satellite-derived nitrogen deposition constrained with the national ground-based measurements over China. We found that oxidized nitrogen deposition peaked at 7.0 kg N ha−1 in 2012, then decreased to 6.2 kg N ha−1 in 2017. In contrast, reduced nitrogen deposition increased continuously, and reached 12.6 kg N ha−1 in 2017. The Chinese Clean Air Act is responsible for the reduction of oxidized nitrogen emissions, while there is no current effective control policy for ammonia emissions in place resulting in reduced nitrogen deposition reaching levels of approximately twice that of oxidized nitrogen in 2017. The ratio of reduced to oxidized nitrogen deposition decreased from 1.30 in 2008 to 1.08 in 2011, while this ratio began to increase from 1.08 in 2011 to 1.56 in 2017. This suggests reduced nitrogen deposition would become more important in the air quality and their ecological consequences in the future. The total nitrogen deposition in China was about 3–4 times that in the US and Europe. The policy of controlling nitrogen pollution is urgent, especially for reducing ammonia emissions, while ensuring the sustainable production of agriculture and maintaining food security.","container-title":"Journal of Cleaner Production","DOI":"10.1016/j.jclepro.2020.122875","ISSN":"0959-6526","journalAbbreviation":"Journal of Cleaner Production","language":"en","page":"122875","source":"ScienceDirect","title":"Fall of oxidized while rise of reduced reactive nitrogen deposition in China","volume":"272","author":[{"family":"Liu","given":"Lei"},{"family":"Zhang","given":"Xiuying"},{"family":"Xu","given":"Wen"},{"family":"Liu","given":"Xuejun"},{"family":"Zhang","given":"Yan"},{"family":"Li","given":"Yi"},{"family":"Wei","given":"Jing"},{"family":"Lu","given":"Xuehe"},{"family":"Wang","given":"Shanqian"},{"family":"Zhang","given":"Wuting"},{"family":"Zhao","given":"Limin"},{"family":"Wang","given":"Zhen"},{"family":"Wu","given":"Xiaodi"}],"issued":{"date-parts":[["2020",11,1]]}}}],"schema":"https://github.com/citation-style-language/schema/raw/master/csl-citation.json"} </w:instrText>
      </w:r>
      <w:r w:rsidRPr="008E4EFB">
        <w:fldChar w:fldCharType="separate"/>
      </w:r>
      <w:r w:rsidR="00B864BC" w:rsidRPr="008E4EFB">
        <w:t>(L. Liu et al., 2020)</w:t>
      </w:r>
      <w:r w:rsidRPr="008E4EFB">
        <w:fldChar w:fldCharType="end"/>
      </w:r>
      <w:r w:rsidRPr="008E4EFB">
        <w:t xml:space="preserve"> analyzed the spatial pattern of N deposition by combining satellite </w:t>
      </w:r>
      <w:r w:rsidRPr="008E4EFB">
        <w:softHyphen/>
        <w:t xml:space="preserve">observations with NNDMN deposition measurements </w:t>
      </w:r>
      <w:r w:rsidRPr="008E4EFB">
        <w:fldChar w:fldCharType="begin"/>
      </w:r>
      <w:r w:rsidR="00652E13" w:rsidRPr="008E4EFB">
        <w:instrText xml:space="preserve"> ADDIN ZOTERO_ITEM CSL_CITATION {"citationID":"UmH9YDm9","properties":{"formattedCitation":"(Wen Xu et al., 2019)","plainCitation":"(Wen Xu et al., 2019)","noteIndex":0},"citationItems":[{"id":63,"uris":["http://zotero.org/users/3110659/items/MCC5TVDJ"],"itemData":{"id":63,"type":"article-journal","abstract":"Atmospheric nitrogen (N) deposition has increased substantially across China since 1980; however, data for N deposition fluxes since the 2000s has been very limited. Understanding and mitigating the impacts of N deposition requires long-term quantification of dry as well as wet deposition of key reactive nitrogen (Nr) species. Here we present a dataset for inorganic N concentrations and deposition for the period 2010–2015 in China, compiled from the nationwide deposition monitoring network. The dataset comprises information from 32 monitoring sites on concentrations and bulk deposition (wet plus part of dry deposition) fluxes of NH4+-N and NO3−-N, air concentrations and dry deposition fluxes of the major Nr species NH3, NO2, HNO3, and particulate NH4+ and NO3−. This unique database is available inter alia to advance understanding of the spatial patterns of inorganic N concentrations and deposition in China and its associated effects, constrain primary Nr (e.g., NH3, NOx) emission inventories, and validate outputs of atmospheric chemistry and transport models.","container-title":"Scientific Data","DOI":"10.1038/s41597-019-0061-2","ISSN":"2052-4463","issue":"1","journalAbbreviation":"Sci Data","language":"en","license":"2019 The Author(s)","note":"Bandiera_abtest: a\nCc_license_type: cc_publicdomain\nCg_type: Nature Research Journals\nnumber: 1\nPrimary_atype: Research\npublisher: Nature Publishing Group\nSubject_term: Atmospheric chemistry;Environmental monitoring\nSubject_term_id: atmospheric-chemistry;environmental-monitoring","page":"51","source":"www.nature.com","title":"A database of atmospheric nitrogen concentration and deposition from the nationwide monitoring network in China","volume":"6","author":[{"family":"Xu","given":"Wen"},{"family":"Zhang","given":"Lin"},{"family":"Liu","given":"Xuejun"}],"issued":{"date-parts":[["2019",5,9]]}}}],"schema":"https://github.com/citation-style-language/schema/raw/master/csl-citation.json"} </w:instrText>
      </w:r>
      <w:r w:rsidRPr="008E4EFB">
        <w:fldChar w:fldCharType="separate"/>
      </w:r>
      <w:r w:rsidR="00B864BC" w:rsidRPr="008E4EFB">
        <w:t>(Wen Xu et al., 2019)</w:t>
      </w:r>
      <w:r w:rsidRPr="008E4EFB">
        <w:fldChar w:fldCharType="end"/>
      </w:r>
      <w:r w:rsidRPr="008E4EFB">
        <w:t>; they found a 2012 average of 18.21 kg N ha</w:t>
      </w:r>
      <w:r w:rsidRPr="008E4EFB">
        <w:rPr>
          <w:vertAlign w:val="superscript"/>
        </w:rPr>
        <w:t>-1</w:t>
      </w:r>
      <w:r w:rsidRPr="008E4EFB">
        <w:t xml:space="preserve"> for China? Additional work combining the GEOS-Chem (</w:t>
      </w:r>
      <w:hyperlink r:id="rId24" w:history="1">
        <w:r w:rsidRPr="008E4EFB">
          <w:rPr>
            <w:rStyle w:val="Hyperlink"/>
            <w:color w:val="auto"/>
          </w:rPr>
          <w:t>http://acmg.seas.harvard.edu/geos/</w:t>
        </w:r>
      </w:hyperlink>
      <w:r w:rsidRPr="008E4EFB">
        <w:t xml:space="preserve">) model with satellite observations and surface measurements reports the average annual deposition from 2008-2012 as 16.4 Tg-N with 10.2 Tg-N from </w:t>
      </w:r>
      <w:proofErr w:type="spellStart"/>
      <w:r w:rsidRPr="008E4EFB">
        <w:t>NH</w:t>
      </w:r>
      <w:r w:rsidRPr="008E4EFB">
        <w:rPr>
          <w:vertAlign w:val="subscript"/>
        </w:rPr>
        <w:t>x</w:t>
      </w:r>
      <w:proofErr w:type="spellEnd"/>
      <w:r w:rsidRPr="008E4EFB">
        <w:t xml:space="preserve"> and 6.2 Tg-N from </w:t>
      </w:r>
      <w:proofErr w:type="spellStart"/>
      <w:r w:rsidRPr="008E4EFB">
        <w:t>NO</w:t>
      </w:r>
      <w:r w:rsidRPr="008E4EFB">
        <w:rPr>
          <w:vertAlign w:val="subscript"/>
        </w:rPr>
        <w:t>y</w:t>
      </w:r>
      <w:proofErr w:type="spellEnd"/>
      <w:r w:rsidRPr="008E4EFB">
        <w:t xml:space="preserve"> </w:t>
      </w:r>
      <w:r w:rsidRPr="008E4EFB">
        <w:fldChar w:fldCharType="begin"/>
      </w:r>
      <w:r w:rsidRPr="008E4EFB">
        <w:instrText xml:space="preserve"> ADDIN ZOTERO_ITEM CSL_CITATION {"citationID":"fCzXoDca","properties":{"formattedCitation":"(Zhao et al., 2017)","plainCitation":"(Zhao et al., 2017)","noteIndex":0},"citationItems":[{"id":41,"uris":["http://zotero.org/users/3110659/items/2G4HU76P"],"itemData":{"id":41,"type":"article-journal","abstract":"We present a national-scale model analysis on the sources and processes of inorganic nitrogen deposition over China using the GEOS-Chem model at 1/2° × 1/3° horizontal resolution. Model results for 2008–2012 are evaluated with an ensemble of surface measurements of wet deposition flux and gaseous ammonia (NH3) concentration, and satellite measurements of tropospheric NO2 columns. Annual total inorganic nitrogen deposition fluxes are simulated to be generally less than 10 kg N ha−1 a−1 in western China (less than 2 kg N ha−1 a−1 over Tibet), 15–50 kg N ha−1 a−1 in eastern China, and 16.4 kg N ha−1 a−1 averaged over China. Annual total deposition to China is 16.4 Tg N, with 10.2 Tg N (62%) from reduced nitrogen (NHx) and 6.2 Tg N from oxidized nitrogen (NOy). Domestic anthropogenic sources contribute 86% of the total deposition; foreign anthropogenic sources 7% and natural sources 7%. Annually 23% of domestically emitted NH3 and 36% for NOx are exported outside the terrestrial land of China. We find that atmospheric nitrogen deposition is about half of the nitrogen input from fertilizer application (29.6 Tg N a−1), and is much higher than that from natural biological fixation (7.3 Tg N a−1) over China. A comparison of nitrogen deposition with critical load estimates for eutrophication indicates that about 15% of the land over China experiences critical load exceedances, demonstrating the necessity of nitrogen emission controls to avoid potential negative ecological effects.","container-title":"Atmospheric Environment","DOI":"10.1016/j.atmosenv.2017.01.018","ISSN":"1352-2310","journalAbbreviation":"Atmospheric Environment","language":"en","page":"32-40","source":"ScienceDirect","title":"Atmospheric nitrogen deposition to China: A model analysis on nitrogen budget and critical load exceedance","title-short":"Atmospheric nitrogen deposition to China","volume":"153","author":[{"family":"Zhao","given":"Yuanhong"},{"family":"Zhang","given":"Lin"},{"family":"Chen","given":"Youfan"},{"family":"Liu","given":"Xuejun"},{"family":"Xu","given":"Wen"},{"family":"Pan","given":"Yuepeng"},{"family":"Duan","given":"Lei"}],"issued":{"date-parts":[["2017",3,1]]}}}],"schema":"https://github.com/citation-style-language/schema/raw/master/csl-citation.json"} </w:instrText>
      </w:r>
      <w:r w:rsidRPr="008E4EFB">
        <w:fldChar w:fldCharType="separate"/>
      </w:r>
      <w:r w:rsidR="00B864BC" w:rsidRPr="008E4EFB">
        <w:t>(Zhao et al., 2017)</w:t>
      </w:r>
      <w:r w:rsidRPr="008E4EFB">
        <w:fldChar w:fldCharType="end"/>
      </w:r>
      <w:r w:rsidRPr="008E4EFB">
        <w:t xml:space="preserve">. The averages reported by these studies are consistent with </w:t>
      </w:r>
      <w:r w:rsidR="00853B17" w:rsidRPr="008E4EFB">
        <w:t xml:space="preserve">this </w:t>
      </w:r>
      <w:r w:rsidR="00661DDA" w:rsidRPr="008E4EFB">
        <w:t>study</w:t>
      </w:r>
      <w:r w:rsidRPr="008E4EFB">
        <w:t xml:space="preserve"> (16.9 kg ha</w:t>
      </w:r>
      <w:r w:rsidRPr="008E4EFB">
        <w:rPr>
          <w:bdr w:val="none" w:sz="0" w:space="0" w:color="auto" w:frame="1"/>
          <w:vertAlign w:val="superscript"/>
        </w:rPr>
        <w:t>−1</w:t>
      </w:r>
      <w:r w:rsidRPr="008E4EFB">
        <w:rPr>
          <w:bdr w:val="none" w:sz="0" w:space="0" w:color="auto" w:frame="1"/>
        </w:rPr>
        <w:t xml:space="preserve"> </w:t>
      </w:r>
      <w:r w:rsidRPr="008E4EFB">
        <w:t>yr</w:t>
      </w:r>
      <w:r w:rsidRPr="008E4EFB">
        <w:rPr>
          <w:bdr w:val="none" w:sz="0" w:space="0" w:color="auto" w:frame="1"/>
          <w:vertAlign w:val="superscript"/>
        </w:rPr>
        <w:t>−1</w:t>
      </w:r>
      <w:r w:rsidRPr="008E4EFB">
        <w:t>) despite the difference in year and spatial resolution. The spatial pattern of N deposition in 2010 (</w:t>
      </w:r>
      <w:r w:rsidRPr="007F403E">
        <w:rPr>
          <w:b/>
          <w:bCs/>
        </w:rPr>
        <w:t>Figure 2</w:t>
      </w:r>
      <w:r w:rsidR="00F222C7" w:rsidRPr="007F403E">
        <w:rPr>
          <w:b/>
          <w:bCs/>
        </w:rPr>
        <w:t>.2</w:t>
      </w:r>
      <w:r w:rsidRPr="007F403E">
        <w:rPr>
          <w:b/>
          <w:bCs/>
        </w:rPr>
        <w:t>A</w:t>
      </w:r>
      <w:r w:rsidRPr="008E4EFB">
        <w:t xml:space="preserve">) also remains similar to that of previous decades </w:t>
      </w:r>
      <w:r w:rsidRPr="008E4EFB">
        <w:fldChar w:fldCharType="begin"/>
      </w:r>
      <w:r w:rsidRPr="008E4EFB">
        <w:instrText xml:space="preserve"> ADDIN ZOTERO_ITEM CSL_CITATION {"citationID":"BoMQnyFX","properties":{"formattedCitation":"(Jia et al., 2014)","plainCitation":"(Jia et al., 2014)","noteIndex":0},"citationItems":[{"id":591,"uris":["http://zotero.org/users/3110659/items/4TGMWGK6"],"itemData":{"id":591,"type":"article-journal","abstract":"Atmospheric nitrogen (N) deposition, an important component in the global N cycle, has increased sharply in recent decades in China. Here, we constructed national-scale inorganic N wet deposition (Ndep) patterns in China based on data from 280 observational sites and analysed the effects of anthropogenic sources and precipitation on Ndep. Our results showed that the mean Ndep over China increased approximately 25%, from 11.11 kg ha−1 a−1 in the 1990s to 13.87 in the 2000s. Ndep was highest over southern China and exhibited a decreasing gradient from southern to western and northern China. The decadal difference in Ndep between the 1990s and 2000s was primarily caused by increases in energy consumption and N fertiliser use. Our findings conformed that anthropogenic activities were the main reason for the Ndep increase and provide a scientific background for studies on ecological effects of N deposition in China.","container-title":"Scientific Reports","DOI":"10.1038/srep03763","ISSN":"2045-2322","issue":"1","journalAbbreviation":"Sci Rep","language":"en","license":"2014 The Author(s)","note":"Bandiera_abtest: a\nCc_license_type: cc_y\nCg_type: Nature Research Journals\nnumber: 1\nPrimary_atype: Research\npublisher: Nature Publishing Group\nSubject_term: Atmospheric chemistry;Biogeochemistry\nSubject_term_id: atmospheric-chemistry;biogeochemistry","page":"3763","source":"www.nature.com","title":"Spatial and decadal variations in inorganic nitrogen wet deposition in China induced by human activity","volume":"4","author":[{"family":"Jia","given":"Yanlong"},{"family":"Yu","given":"Guirui"},{"family":"He","given":"Nianpeng"},{"family":"Zhan","given":"Xiaoyun"},{"family":"Fang","given":"Huajun"},{"family":"Sheng","given":"Wenping"},{"family":"Zuo","given":"Yao"},{"family":"Zhang","given":"Dayong"},{"family":"Wang","given":"Qiufeng"}],"issued":{"date-parts":[["2014",1,20]]}}}],"schema":"https://github.com/citation-style-language/schema/raw/master/csl-citation.json"} </w:instrText>
      </w:r>
      <w:r w:rsidRPr="008E4EFB">
        <w:fldChar w:fldCharType="separate"/>
      </w:r>
      <w:r w:rsidR="00B864BC" w:rsidRPr="008E4EFB">
        <w:t>(Jia et al., 2014)</w:t>
      </w:r>
      <w:r w:rsidRPr="008E4EFB">
        <w:fldChar w:fldCharType="end"/>
      </w:r>
      <w:r w:rsidRPr="008E4EFB">
        <w:t xml:space="preserve">, with high deposition in eastern China and low deposition over the Tibetan Plateau. This pattern is confirmed in 2006 and 2013 </w:t>
      </w:r>
      <w:r w:rsidRPr="008E4EFB">
        <w:fldChar w:fldCharType="begin"/>
      </w:r>
      <w:r w:rsidRPr="008E4EFB">
        <w:instrText xml:space="preserve"> ADDIN ZOTERO_ITEM CSL_CITATION {"citationID":"ZXFacvaP","properties":{"formattedCitation":"(Qu et al., 2017)","plainCitation":"(Qu et al., 2017)","noteIndex":0},"citationItems":[{"id":589,"uris":["http://zotero.org/users/3110659/items/5LFLSBUY"],"itemData":{"id":589,"type":"article-journal","container-title":"Environmental Science and Pollution Research","DOI":"10.1007/s11356-016-7995-0","ISSN":"0944-1344, 1614-7499","issue":"3","journalAbbreviation":"Environ Sci Pollut Res","language":"en","page":"2578-2588","source":"DOI.org (Crossref)","title":"Comparison of four methods for spatial interpolation of estimated atmospheric nitrogen deposition in South China","volume":"24","author":[{"family":"Qu","given":"Linglu"},{"family":"Xiao","given":"Huayun"},{"family":"Zheng","given":"Nengjian"},{"family":"Zhang","given":"Zhongyi"},{"family":"Xu","given":"Yu"}],"issued":{"date-parts":[["2017",1]]}}}],"schema":"https://github.com/citation-style-language/schema/raw/master/csl-citation.json"} </w:instrText>
      </w:r>
      <w:r w:rsidRPr="008E4EFB">
        <w:fldChar w:fldCharType="separate"/>
      </w:r>
      <w:r w:rsidR="00B864BC" w:rsidRPr="008E4EFB">
        <w:t>(Qu et al., 2017)</w:t>
      </w:r>
      <w:r w:rsidRPr="008E4EFB">
        <w:fldChar w:fldCharType="end"/>
      </w:r>
      <w:r w:rsidRPr="008E4EFB">
        <w:t xml:space="preserve">. </w:t>
      </w:r>
    </w:p>
    <w:p w14:paraId="33BC41F9" w14:textId="60DFF3D7" w:rsidR="0062719E" w:rsidRPr="008E4EFB" w:rsidRDefault="0062719E" w:rsidP="00B71A9A">
      <w:pPr>
        <w:pStyle w:val="Style3"/>
        <w:numPr>
          <w:ilvl w:val="1"/>
          <w:numId w:val="9"/>
        </w:numPr>
        <w:spacing w:before="0" w:line="360" w:lineRule="auto"/>
        <w:rPr>
          <w:rFonts w:cs="Times New Roman"/>
          <w:szCs w:val="24"/>
        </w:rPr>
      </w:pPr>
      <w:bookmarkStart w:id="30" w:name="_Toc179917969"/>
      <w:r w:rsidRPr="008E4EFB">
        <w:rPr>
          <w:rFonts w:cs="Times New Roman"/>
          <w:szCs w:val="24"/>
        </w:rPr>
        <w:t>Limitations of interpolation</w:t>
      </w:r>
      <w:bookmarkEnd w:id="30"/>
      <w:r w:rsidRPr="008E4EFB">
        <w:rPr>
          <w:rFonts w:cs="Times New Roman"/>
          <w:szCs w:val="24"/>
        </w:rPr>
        <w:t xml:space="preserve"> </w:t>
      </w:r>
    </w:p>
    <w:p w14:paraId="583BBA08" w14:textId="620CE9DB" w:rsidR="0062719E" w:rsidRPr="008E4EFB" w:rsidRDefault="0062719E" w:rsidP="00B71A9A">
      <w:pPr>
        <w:pStyle w:val="Text"/>
        <w:spacing w:before="0" w:line="360" w:lineRule="auto"/>
        <w:ind w:firstLine="0"/>
      </w:pPr>
      <w:r w:rsidRPr="008E4EFB">
        <w:t>As seen in Table 2</w:t>
      </w:r>
      <w:r w:rsidR="00953B86" w:rsidRPr="008E4EFB">
        <w:t>.2</w:t>
      </w:r>
      <w:r w:rsidRPr="008E4EFB">
        <w:t xml:space="preserve">, the largest difference between MMM and MMF is found in coastal regions and particularly the open ocean. While MMF does give improved deposition estimates by incorporating in-situ measurements, it is worth considering the scale of the model. Observations of deposition are probably not everywhere representative for a 1⁰ or larger resolution and observations of precipitation may also not be homogenous in all directions at that scale, especially </w:t>
      </w:r>
      <w:proofErr w:type="gramStart"/>
      <w:r w:rsidRPr="008E4EFB">
        <w:t>over  heterogeneous</w:t>
      </w:r>
      <w:proofErr w:type="gramEnd"/>
      <w:r w:rsidRPr="008E4EFB">
        <w:t xml:space="preserve"> terrain. So, for example, the coarse resolution of the model, even with added </w:t>
      </w:r>
      <w:proofErr w:type="gramStart"/>
      <w:r w:rsidRPr="008E4EFB">
        <w:t>measurements</w:t>
      </w:r>
      <w:proofErr w:type="gramEnd"/>
      <w:r w:rsidRPr="008E4EFB">
        <w:t xml:space="preserve"> is likely not accurately capturing gradients between coastal and inland deposition. While higher resolution precipitation values are available in some regions (e.g., PRISM in the US), there is still a dearth of both wet and dry deposition measurements. Even on the North American continental scale, Schwede et al. </w:t>
      </w:r>
      <w:r w:rsidRPr="008E4EFB">
        <w:fldChar w:fldCharType="begin"/>
      </w:r>
      <w:r w:rsidRPr="008E4EFB">
        <w:instrText xml:space="preserve"> ADDIN ZOTERO_ITEM CSL_CITATION {"citationID":"JEaBk560","properties":{"formattedCitation":"(Schwede et al., 2011)","plainCitation":"(Schwede et al., 2011)","dontUpdate":true,"noteIndex":0},"citationItems":[{"id":2103,"uris":["http://zotero.org/users/3110659/items/E2X4NSWM"],"itemData":{"id":2103,"type":"article-journal","abstract":"To assess long-term trends in atmospheric deposition, the U.S. operates the Clean Air Status and Trends Network (CASTNET) and Canada operates the Canadian Air and Precipitation Monitoring Network (CAPMoN). Both networks use modeled dry deposition velocities and measured atmospheric concentrations to compute estimates of dry deposition. While concentration measurements from the two networks are comparable, flux estimates can be significantly different due to differences in the model-estimated dry deposition velocities. This study intercompares the dry deposition velocity models used by the networks to identify those model inputs and model algorithms that are responsible for the differences in the dry deposition velocity predictions of the gaseous trace species ozone (O3), sulfur dioxide (SO2), and nitric acid (HNO3). The Big-Leaf Model (BLM) used for CAPMoN was inserted into the CASTNET modeling framework so that the on-site meteorological data obtained at the CASTNET sites could be used as input to both models. The models were run for four CASTNET sites that spanned different land use types and climatologies. The models were incrementally modified to assess the impacts of algorithmic differences on the predicted deposition velocities. While differences in aerodynamic resistance between the models contributed strongly to differences in predicted dry deposition velocities for HNO3, it is the non-stomatal (ground and cuticle) resistance parameterizations that cause the largest differences for other chemical species. The study points to the need for further consideration of these resistances. Additionally, comparisons of both models against recent independent flux data are needed to assess the accuracy of the models.","container-title":"Atmospheric Environment","DOI":"10.1016/j.atmosenv.2010.11.050","ISSN":"1352-2310","issue":"6","journalAbbreviation":"Atmospheric Environment","language":"en","page":"1337-1346","source":"ScienceDirect","title":"An intercomparison of the deposition models used in the CASTNET and CAPMoN networks","volume":"45","author":[{"family":"Schwede","given":"Donna"},{"family":"Zhang","given":"Leiming"},{"family":"Vet","given":"Robert"},{"family":"Lear","given":"Gary"}],"issued":{"date-parts":[["2011",2,1]]}}}],"schema":"https://github.com/citation-style-language/schema/raw/master/csl-citation.json"} </w:instrText>
      </w:r>
      <w:r w:rsidRPr="008E4EFB">
        <w:fldChar w:fldCharType="separate"/>
      </w:r>
      <w:r w:rsidRPr="008E4EFB">
        <w:t>(2011)</w:t>
      </w:r>
      <w:r w:rsidRPr="008E4EFB">
        <w:fldChar w:fldCharType="end"/>
      </w:r>
      <w:r w:rsidRPr="008E4EFB">
        <w:t xml:space="preserve"> showed that partially overlapping dry deposition estimates from CASTNET (USA) and </w:t>
      </w:r>
      <w:proofErr w:type="spellStart"/>
      <w:r w:rsidRPr="008E4EFB">
        <w:t>CAPMoN</w:t>
      </w:r>
      <w:proofErr w:type="spellEnd"/>
      <w:r w:rsidRPr="008E4EFB">
        <w:t xml:space="preserve"> (Canada)can be very different, despite using similar methodologies. This adds uncertainty to the dry deposition data (though there are very few dry deposition estimates included in this study) and emphasizes the importance of understanding deposition velocity model methodology. </w:t>
      </w:r>
    </w:p>
    <w:p w14:paraId="065CB72D" w14:textId="134D5799" w:rsidR="0062719E" w:rsidRPr="008E4EFB" w:rsidRDefault="0062719E" w:rsidP="00B71A9A">
      <w:pPr>
        <w:pStyle w:val="Text"/>
        <w:spacing w:before="0" w:line="360" w:lineRule="auto"/>
        <w:ind w:firstLine="0"/>
      </w:pPr>
      <w:r w:rsidRPr="008E4EFB">
        <w:lastRenderedPageBreak/>
        <w:t>The differences between the TDep, MMM, and MMF gridded deposition (</w:t>
      </w:r>
      <w:r w:rsidRPr="007F403E">
        <w:rPr>
          <w:b/>
          <w:bCs/>
        </w:rPr>
        <w:t xml:space="preserve">Figure </w:t>
      </w:r>
      <w:r w:rsidR="00F222C7" w:rsidRPr="007F403E">
        <w:rPr>
          <w:b/>
          <w:bCs/>
        </w:rPr>
        <w:t>2.</w:t>
      </w:r>
      <w:r w:rsidRPr="007F403E">
        <w:rPr>
          <w:b/>
          <w:bCs/>
        </w:rPr>
        <w:t>5</w:t>
      </w:r>
      <w:r w:rsidRPr="008E4EFB">
        <w:t xml:space="preserve">) are clearly visible in the center of the US. While the general patterns of deposition are similar for the three products, the magnitude of deposition in the aggregated TDep dataset (1⁰ x 1⁰) is higher in the eastern US and lower in the western US than either of the other two deposition fields. This difference is likely due to the precipitation </w:t>
      </w:r>
      <w:proofErr w:type="gramStart"/>
      <w:r w:rsidRPr="008E4EFB">
        <w:t>dataset</w:t>
      </w:r>
      <w:proofErr w:type="gramEnd"/>
      <w:r w:rsidRPr="008E4EFB">
        <w:t xml:space="preserve"> used to calculate wet deposition. The MMF deposition is based on the MMM dataset; therefore, both utilize the same precipitation dataset, from a combination of 11 global models. However, TDep wet deposition is produced by multiplying PRISM precipitation data and an interpolated gridded surface dataset of wet NH</w:t>
      </w:r>
      <w:r w:rsidRPr="008E4EFB">
        <w:rPr>
          <w:vertAlign w:val="subscript"/>
        </w:rPr>
        <w:t>4</w:t>
      </w:r>
      <w:r w:rsidRPr="008E4EFB">
        <w:rPr>
          <w:vertAlign w:val="superscript"/>
        </w:rPr>
        <w:t>+</w:t>
      </w:r>
      <w:r w:rsidRPr="008E4EFB">
        <w:t xml:space="preserve"> concentrations. PRISM is a reanalysis product designed to interpolate precipitation in particularly complex landscapes using weather radar and rainfall gauge observations, though it is not identical to observations because it used long-term averages as predictor grids </w:t>
      </w:r>
      <w:r w:rsidRPr="008E4EFB">
        <w:fldChar w:fldCharType="begin"/>
      </w:r>
      <w:r w:rsidR="00652E13" w:rsidRPr="008E4EFB">
        <w:instrText xml:space="preserve"> ADDIN ZOTERO_ITEM CSL_CITATION {"citationID":"WH0tvwWA","properties":{"formattedCitation":"(M. Zhang et al., 2018)","plainCitation":"(M. Zhang et al., 2018)","noteIndex":0},"citationItems":[{"id":329,"uris":["http://zotero.org/users/3110659/items/R3LSYQAN"],"itemData":{"id":329,"type":"article-journal","abstract":"A variety of spatially continuous rainfall products are available but little evaluation of their accuracy has been published for areas with high spatial variability in rainfall. Five gridded rainfall products (PRISM, RTMA, and the interpolated Florida Automated Weather Network, FAWN, rainfall layers based on three interpolated methods) were assessed for Florida State. Point-to-pixel and pixel-to-pixel comparisons were performed to compare the five products. On average, the PRISM and RTMA products resulted in a better fit with the daily FAWN rainfall datasets, while FAWN-based interpolated products resulted in a better fit with the monthly FAWN rainfall datasets based on point-to-pixel analysis. Inverse distance weighting and ordinary kriging methods performed slightly better than the thin plate spline method in predicting daily rainfall. In general, monthly and seasonal rainfall amounts from PRISM and RTMA products were higher and lower, respectively, than reference rainfall amounts from FAWN gauge stations and FAWN-based interpolated products.","container-title":"Hydrological Sciences Journal","DOI":"10.1080/02626667.2018.1444767","ISSN":"0262-6667","issue":"4","note":"publisher: Taylor &amp; Francis\n_eprint: https://doi.org/10.1080/02626667.2018.1444767","page":"561-582","source":"Taylor and Francis+NEJM","title":"Evaluation and comparison of interpolated gauge rainfall data and gridded rainfall data in Florida, USA","volume":"63","author":[{"family":"Zhang","given":"Meijing"},{"family":"Leon","given":"Conrado","dropping-particle":"de"},{"family":"Migliaccio","given":"Kati"}],"issued":{"date-parts":[["2018",3,12]]}}}],"schema":"https://github.com/citation-style-language/schema/raw/master/csl-citation.json"} </w:instrText>
      </w:r>
      <w:r w:rsidRPr="008E4EFB">
        <w:fldChar w:fldCharType="separate"/>
      </w:r>
      <w:r w:rsidR="00B864BC" w:rsidRPr="008E4EFB">
        <w:t>(M. Zhang et al., 2018)</w:t>
      </w:r>
      <w:r w:rsidRPr="008E4EFB">
        <w:fldChar w:fldCharType="end"/>
      </w:r>
      <w:r w:rsidRPr="008E4EFB">
        <w:t xml:space="preserve">. It captures much more localized variation in precipitation due to geographical variations which are not captured in the lower resolution global precipitation models used in the HTAP II MMM </w:t>
      </w:r>
      <w:r w:rsidRPr="008E4EFB">
        <w:fldChar w:fldCharType="begin"/>
      </w:r>
      <w:r w:rsidR="0059488F" w:rsidRPr="008E4EFB">
        <w:instrText xml:space="preserve"> ADDIN ZOTERO_ITEM CSL_CITATION {"citationID":"5EYBGSPe","properties":{"formattedCitation":"(J. Tan et al., 2018)","plainCitation":"(J. Tan et al., 2018)","noteIndex":0},"citationItems":[{"id":1231,"uris":["http://zotero.org/users/3110659/items/GSC9KE5I"],"itemData":{"id":1231,"type":"article-journal","abstract":"&lt;p&gt;&lt;strong class=\"journal-contentHeaderColor\"&gt;Abstract.&lt;/strong&gt; This study uses multi-model ensemble results of 11 models from the second phase of Task Force Hemispheric Transport of Air Pollution (HTAP II) to calculate the global sulfur (S) and nitrogen (N) deposition in 2010. Modeled wet deposition is evaluated with observation networks in North America, Europe and East Asia. The modeled results agree well with observations, with 76–83&amp;thinsp;% of stations being predicted within &lt;span class=\"inline-formula\"&gt;±&lt;/span&gt;50&amp;thinsp;% of observations. The models underestimate SO&lt;span class=\"inline-formula\"&gt;&lt;math xmlns=\"http://www.w3.org/1998/Math/MathML\" id=\"M2\" display=\"inline\" overflow=\"scroll\" dspmath=\"mathml\"&gt;&lt;mrow&gt;&lt;msubsup&gt;&lt;mi/&gt;&lt;mn mathvariant=\"normal\"&gt;4&lt;/mn&gt;&lt;mrow&gt;&lt;mn mathvariant=\"normal\"&gt;2&lt;/mn&gt;&lt;mo&gt;-&lt;/mo&gt;&lt;/mrow&gt;&lt;/msubsup&gt;&lt;/mrow&gt;&lt;/math&gt;&lt;span&gt;&lt;svg:svg xmlns:svg=\"http://www.w3.org/2000/svg\" width=\"13pt\" height=\"17pt\" class=\"svg-formula\" dspmath=\"mathimg\" md5hash=\"63f11f9b60a09208ebeae789905b238b\"&gt;&lt;svg:image xmlns:xlink=\"http://www.w3.org/1999/xlink\" xlink:href=\"acp-18-6847-2018-ie00001.svg\" width=\"13pt\" height=\"17pt\" src=\"acp-18-6847-2018-ie00001.png\"/&gt;&lt;/svg:svg&gt;&lt;/span&gt;&lt;/span&gt;, NO&lt;span class=\"inline-formula\"&gt;&lt;math xmlns=\"http://www.w3.org/1998/Math/MathML\" id=\"M3\" display=\"inline\" overflow=\"scroll\" dspmath=\"mathml\"&gt;&lt;mrow&gt;&lt;msubsup&gt;&lt;mi/&gt;&lt;mn mathvariant=\"normal\"&gt;3&lt;/mn&gt;&lt;mo&gt;-&lt;/mo&gt;&lt;/msubsup&gt;&lt;/mrow&gt;&lt;/math&gt;&lt;span&gt;&lt;svg:svg xmlns:svg=\"http://www.w3.org/2000/svg\" width=\"9pt\" height=\"16pt\" class=\"svg-formula\" dspmath=\"mathimg\" md5hash=\"0aaab3ee324d7a9ba8e4b96f67d8036e\"&gt;&lt;svg:image xmlns:xlink=\"http://www.w3.org/1999/xlink\" xlink:href=\"acp-18-6847-2018-ie00002.svg\" width=\"9pt\" height=\"16pt\" src=\"acp-18-6847-2018-ie00002.png\"/&gt;&lt;/svg:svg&gt;&lt;/span&gt;&lt;/span&gt; and NH&lt;span class=\"inline-formula\"&gt;&lt;math xmlns=\"http://www.w3.org/1998/Math/MathML\" id=\"M4\" display=\"inline\" overflow=\"scroll\" dspmath=\"mathml\"&gt;&lt;mrow&gt;&lt;msubsup&gt;&lt;mi/&gt;&lt;mn mathvariant=\"normal\"&gt;4&lt;/mn&gt;&lt;mo&gt;+&lt;/mo&gt;&lt;/msubsup&gt;&lt;/mrow&gt;&lt;/math&gt;&lt;span&gt;&lt;svg:svg xmlns:svg=\"http://www.w3.org/2000/svg\" width=\"8pt\" height=\"15pt\" class=\"svg-formula\" dspmath=\"mathimg\" md5hash=\"310866e2e55ea172cf2d52bb7208ba35\"&gt;&lt;svg:image xmlns:xlink=\"http://www.w3.org/1999/xlink\" xlink:href=\"acp-18-6847-2018-ie00003.svg\" width=\"8pt\" height=\"15pt\" src=\"acp-18-6847-2018-ie00003.png\"/&gt;&lt;/svg:svg&gt;&lt;/span&gt;&lt;/span&gt; wet depositions in some European and East Asian stations but overestimate NO&lt;span class=\"inline-formula\"&gt;&lt;math xmlns=\"http://www.w3.org/1998/Math/MathML\" id=\"M5\" display=\"inline\" overflow=\"scroll\" dspmath=\"mathml\"&gt;&lt;mrow&gt;&lt;msubsup&gt;&lt;mi/&gt;&lt;mn mathvariant=\"normal\"&gt;3&lt;/mn&gt;&lt;mo&gt;-&lt;/mo&gt;&lt;/msubsup&gt;&lt;/mrow&gt;&lt;/math&gt;&lt;span&gt;&lt;svg:svg xmlns:svg=\"http://www.w3.org/2000/svg\" width=\"9pt\" height=\"16pt\" class=\"svg-formula\" dspmath=\"mathimg\" md5hash=\"8c72af1edd6d67ed562efcaf5163d22b\"&gt;&lt;svg:image xmlns:xlink=\"http://www.w3.org/1999/xlink\" xlink:href=\"acp-18-6847-2018-ie00004.svg\" width=\"9pt\" height=\"16pt\" src=\"acp-18-6847-2018-ie00004.png\"/&gt;&lt;/svg:svg&gt;&lt;/span&gt;&lt;/span&gt; wet deposition in the eastern United States. Intercomparison with previous projects (PhotoComp, ACCMIP and HTAP I) shows that HTPA II has considerably improved the estimation of deposition at European and East Asian stations. Modeled dry deposition is generally higher than the “inferential” data calculated by observed concentration and modeled velocity in North America, but the inferential data have high uncertainty, too. The global S deposition is 84&amp;thinsp;Tg(S) in 2010, with 49&amp;thinsp;% in continental regions and 51&amp;thinsp;% in the ocean (19&amp;thinsp;% of which coastal). The global N deposition consists of 59&amp;thinsp;Tg(N) oxidized nitrogen (NO&lt;span class=\"inline-formula\"&gt;&lt;sub&gt;&lt;i&gt;y&lt;/i&gt;&lt;/sub&gt;)&lt;/span&gt; deposition and 64&amp;thinsp;Tg(N) reduced nitrogen (NH&lt;span class=\"inline-formula\"&gt;&lt;sub&gt;&lt;i&gt;x&lt;/i&gt;&lt;/sub&gt;)&lt;/span&gt; deposition in 2010. About 65&amp;thinsp;% of N is deposited in continental regions, and 35&amp;thinsp;% in the ocean (15&amp;thinsp;% of which coastal). The estimated outflow of pollution from land to ocean is about 4&amp;thinsp;Tg(S) for S deposition and 18&amp;thinsp;Tg(N) for N deposition. Comparing our results to the results in 2001 from HTAP I, we find that the global distributions of S and N deposition have changed considerably during the last 10 years. The global S deposition decreases 2&amp;thinsp;Tg(S) (3&amp;thinsp;%) from 2001 to 2010, with significant decreases in Europe (5&amp;thinsp;Tg(S) and 55&amp;thinsp;%), North America (3&amp;thinsp;Tg(S) and 29&amp;thinsp;%) and Russia (2&amp;thinsp;Tg(S) and 26&amp;thinsp;%), and increases in South Asia (2&amp;thinsp;Tg(S) and 42&amp;thinsp;%) and the Middle East (1&amp;thinsp;Tg(S) and 44&amp;thinsp;%). The global N deposition increases by 7&amp;thinsp;Tg(N) (6&amp;thinsp;%), mainly contributed by South Asia (5&amp;thinsp;Tg(N) and 39&amp;thinsp;%), East Asia (4&amp;thinsp;Tg(N) and 21&amp;thinsp;%) and Southeast Asia (2&amp;thinsp;Tg(N) and 21&amp;thinsp;%). The NH&lt;span class=\"inline-formula\"&gt;&lt;sub&gt;&lt;i&gt;x&lt;/i&gt;&lt;/sub&gt;&lt;/span&gt; deposition increases with no control policy on NH&lt;span class=\"inline-formula\"&gt;&lt;sub&gt;3&lt;/sub&gt;&lt;/span&gt; emission in North America. On the other hand, NO&lt;span class=\"inline-formula\"&gt;&lt;sub&gt;&lt;i&gt;y&lt;/i&gt;&lt;/sub&gt;&lt;/span&gt; deposition has started to dominate in East Asia (especially China) due to boosted NO&lt;span class=\"inline-formula\"&gt;&lt;sub&gt;&lt;i&gt;x&lt;/i&gt;&lt;/sub&gt;&lt;/span&gt; emission.&lt;/p&gt;","container-title":"Atmospheric Chemistry and Physics","DOI":"https://doi.org/10.5194/acp-18-6847-2018","ISSN":"1680-7316","issue":"9","language":"English","note":"publisher: Copernicus GmbH","page":"6847-6866","source":"acp.copernicus.org","title":"Multi-model study of HTAP II on sulfur and nitrogen deposition","volume":"18","author":[{"family":"Tan","given":"Jiani"},{"family":"Fu","given":"Joshua S."},{"family":"Dentener","given":"Frank"},{"family":"Sun","given":"Jian"},{"family":"Emmons","given":"Louisa"},{"family":"Tilmes","given":"Simone"},{"family":"Sudo","given":"Kengo"},{"family":"Flemming","given":"Johannes"},{"family":"Jonson","given":"Jan Eiof"},{"family":"Gravel","given":"Sylvie"},{"family":"Bian","given":"Huisheng"},{"family":"Davila","given":"Yanko"},{"family":"Henze","given":"Daven K."},{"family":"Lund","given":"Marianne T."},{"family":"Kucsera","given":"Tom"},{"family":"Takemura","given":"Toshihiko"},{"family":"Keating","given":"Terry"}],"issued":{"date-parts":[["2018",5,16]]}}}],"schema":"https://github.com/citation-style-language/schema/raw/master/csl-citation.json"} </w:instrText>
      </w:r>
      <w:r w:rsidRPr="008E4EFB">
        <w:fldChar w:fldCharType="separate"/>
      </w:r>
      <w:r w:rsidR="0059488F" w:rsidRPr="008E4EFB">
        <w:t>(J. Tan et al., 2018)</w:t>
      </w:r>
      <w:r w:rsidRPr="008E4EFB">
        <w:fldChar w:fldCharType="end"/>
      </w:r>
      <w:r w:rsidRPr="008E4EFB">
        <w:t>. To illustrate this, we compare PRISM to the available Community Atmosphere Model with Chemistry (</w:t>
      </w:r>
      <w:hyperlink r:id="rId25" w:history="1">
        <w:r w:rsidRPr="008E4EFB">
          <w:rPr>
            <w:rStyle w:val="Hyperlink"/>
            <w:color w:val="auto"/>
          </w:rPr>
          <w:t>https://www2.acom.ucar.edu/gcm/cam-chem</w:t>
        </w:r>
      </w:hyperlink>
      <w:r w:rsidRPr="008E4EFB">
        <w:t xml:space="preserve">, “CAM-Chem”), which was one of the </w:t>
      </w:r>
      <w:proofErr w:type="gramStart"/>
      <w:r w:rsidRPr="008E4EFB">
        <w:t>models in the HTAP II ensemble.</w:t>
      </w:r>
      <w:proofErr w:type="gramEnd"/>
      <w:r w:rsidRPr="008E4EFB">
        <w:t xml:space="preserve"> Subtracting the CAM-Chem precipitation output over the US from aggregated PRISM precipitation shows that CAM-Chem greatly underestimates precipitation volume in the US in 2010 (</w:t>
      </w:r>
      <w:r w:rsidRPr="00427197">
        <w:rPr>
          <w:b/>
          <w:bCs/>
        </w:rPr>
        <w:t>Figure S</w:t>
      </w:r>
      <w:r w:rsidR="00627FBF" w:rsidRPr="00427197">
        <w:rPr>
          <w:b/>
          <w:bCs/>
        </w:rPr>
        <w:t>2.</w:t>
      </w:r>
      <w:r w:rsidRPr="00427197">
        <w:rPr>
          <w:b/>
          <w:bCs/>
        </w:rPr>
        <w:t>6</w:t>
      </w:r>
      <w:r w:rsidRPr="008E4EFB">
        <w:t xml:space="preserve">). We note, however, that this comparison does not take differences in precipitation frequency between the model and observations into account. This matters because if the difference in precipitation volume comes from a few large magnitude storms, it will not influence the overall wet deposition values much. This is a good example of the differences that occur when comparing global and regional climate models and serves to emphasize the importance of resolving spatial and temporal scales. The total deposition within the US borders is similar for the MMF, HTAP II, and aggregated TDep gridded surfaces; however, the spatial distribution is different. </w:t>
      </w:r>
    </w:p>
    <w:p w14:paraId="2DEBECE6" w14:textId="33F3CB9F" w:rsidR="0062719E" w:rsidRPr="008E4EFB" w:rsidRDefault="0062719E" w:rsidP="00B71A9A">
      <w:pPr>
        <w:pStyle w:val="Text"/>
        <w:spacing w:before="0" w:line="360" w:lineRule="auto"/>
        <w:ind w:firstLine="0"/>
        <w:rPr>
          <w:vertAlign w:val="subscript"/>
        </w:rPr>
      </w:pPr>
      <w:r w:rsidRPr="008E4EFB">
        <w:rPr>
          <w:iCs/>
        </w:rPr>
        <w:t>MMF and MMM deposition distributions are similar because MMF is based on HTAP II. Likewise, the MMF results are similar to the TDep values at observation locations because, despite the difference in precipitation, both utilize the same NADP/NTN measurements to constrain the models. The key difference between MMF, when compared to MMM, is that measurement</w:t>
      </w:r>
      <w:r w:rsidRPr="008E4EFB">
        <w:t xml:space="preserve"> locations are not centered in each 1⁰ x 1⁰ grid cell; therefore, the center of each grid cell (the value compared to the observation, by interpolation to the station location) will not </w:t>
      </w:r>
      <w:r w:rsidRPr="008E4EFB">
        <w:lastRenderedPageBreak/>
        <w:t xml:space="preserve">exactly equal the measured deposition but will instead be equal to the measurements weighted proportionally to distance from the centroid. This means that the graphical comparison of Figure </w:t>
      </w:r>
      <w:r w:rsidR="008A678F" w:rsidRPr="008E4EFB">
        <w:t>2.</w:t>
      </w:r>
      <w:r w:rsidRPr="008E4EFB">
        <w:t xml:space="preserve">6 </w:t>
      </w:r>
      <w:proofErr w:type="gramStart"/>
      <w:r w:rsidRPr="008E4EFB">
        <w:t>is showing</w:t>
      </w:r>
      <w:proofErr w:type="gramEnd"/>
      <w:r w:rsidRPr="008E4EFB">
        <w:t xml:space="preserve"> the actual measurement locations and 3 different model results with some meaningful influence from measurements that are nonetheless unique values, except in the very rare instance that the measurement corresponds exactly to the center of a grid cell. Figure </w:t>
      </w:r>
      <w:r w:rsidR="008A678F" w:rsidRPr="008E4EFB">
        <w:t>2.</w:t>
      </w:r>
      <w:r w:rsidRPr="008E4EFB">
        <w:t xml:space="preserve">6 shows a stronger correlation for </w:t>
      </w:r>
      <w:r w:rsidR="007668AD" w:rsidRPr="008E4EFB">
        <w:t>SO</w:t>
      </w:r>
      <w:r w:rsidR="007668AD" w:rsidRPr="008E4EFB">
        <w:rPr>
          <w:vertAlign w:val="subscript"/>
        </w:rPr>
        <w:t>4</w:t>
      </w:r>
      <w:r w:rsidR="007668AD" w:rsidRPr="008E4EFB">
        <w:rPr>
          <w:vertAlign w:val="superscript"/>
        </w:rPr>
        <w:t>2-</w:t>
      </w:r>
      <w:r w:rsidR="007668AD" w:rsidRPr="008E4EFB">
        <w:t xml:space="preserve"> </w:t>
      </w:r>
      <w:r w:rsidRPr="008E4EFB">
        <w:t>than Figures S</w:t>
      </w:r>
      <w:r w:rsidR="00D46C7C" w:rsidRPr="008E4EFB">
        <w:t>2.</w:t>
      </w:r>
      <w:r w:rsidRPr="008E4EFB">
        <w:t>2 and S</w:t>
      </w:r>
      <w:r w:rsidR="00D46C7C" w:rsidRPr="008E4EFB">
        <w:t>2.</w:t>
      </w:r>
      <w:proofErr w:type="gramStart"/>
      <w:r w:rsidRPr="008E4EFB">
        <w:t>3 do</w:t>
      </w:r>
      <w:proofErr w:type="gramEnd"/>
      <w:r w:rsidRPr="008E4EFB">
        <w:t xml:space="preserve"> for the nitrogen species. This could be related to the relatively shorter timescales of </w:t>
      </w:r>
      <w:proofErr w:type="spellStart"/>
      <w:r w:rsidRPr="008E4EFB">
        <w:t>NO</w:t>
      </w:r>
      <w:r w:rsidRPr="008E4EFB">
        <w:rPr>
          <w:vertAlign w:val="subscript"/>
        </w:rPr>
        <w:t>y</w:t>
      </w:r>
      <w:proofErr w:type="spellEnd"/>
      <w:r w:rsidRPr="008E4EFB">
        <w:rPr>
          <w:vertAlign w:val="subscript"/>
        </w:rPr>
        <w:t xml:space="preserve"> </w:t>
      </w:r>
      <w:r w:rsidRPr="008E4EFB">
        <w:t xml:space="preserve">and </w:t>
      </w:r>
      <w:proofErr w:type="spellStart"/>
      <w:r w:rsidRPr="008E4EFB">
        <w:t>NH</w:t>
      </w:r>
      <w:r w:rsidRPr="008E4EFB">
        <w:rPr>
          <w:vertAlign w:val="subscript"/>
        </w:rPr>
        <w:t>x</w:t>
      </w:r>
      <w:proofErr w:type="spellEnd"/>
      <w:r w:rsidRPr="008E4EFB">
        <w:rPr>
          <w:vertAlign w:val="subscript"/>
        </w:rPr>
        <w:t xml:space="preserve"> </w:t>
      </w:r>
      <w:r w:rsidRPr="008E4EFB">
        <w:t xml:space="preserve">in the atmosphere. The relatively coarse resolution of the global models cannot deal with these gradients, so the shorter timescales are reflected in the observations which are therefore less representative </w:t>
      </w:r>
      <w:proofErr w:type="gramStart"/>
      <w:r w:rsidRPr="008E4EFB">
        <w:t>for</w:t>
      </w:r>
      <w:proofErr w:type="gramEnd"/>
      <w:r w:rsidRPr="008E4EFB">
        <w:t xml:space="preserve"> the larger grid scales of the models. </w:t>
      </w:r>
    </w:p>
    <w:p w14:paraId="4EEC0C32" w14:textId="3D3059F4" w:rsidR="0062719E" w:rsidRPr="008E4EFB" w:rsidRDefault="0062719E" w:rsidP="00B71A9A">
      <w:pPr>
        <w:pStyle w:val="Abstract"/>
        <w:spacing w:before="0" w:line="360" w:lineRule="auto"/>
      </w:pPr>
      <w:r w:rsidRPr="008E4EFB">
        <w:t>TDep maps of North American nitrogen deposition created with Schwede and Lear’s methodology (2014), using IDW, are widely in use and freely available from the NADP. The sensitivity analysis demonstrates that as the interpolation distance increases, the influence of the observations on the HTAP II grid increases, smoothing some of the artifacts that can occur using a small interpolation distance (</w:t>
      </w:r>
      <w:r w:rsidRPr="00427197">
        <w:rPr>
          <w:b/>
          <w:bCs/>
        </w:rPr>
        <w:t xml:space="preserve">Figures </w:t>
      </w:r>
      <w:r w:rsidR="00D46C7C" w:rsidRPr="00427197">
        <w:rPr>
          <w:b/>
          <w:bCs/>
        </w:rPr>
        <w:t>2.</w:t>
      </w:r>
      <w:r w:rsidRPr="00427197">
        <w:rPr>
          <w:b/>
          <w:bCs/>
        </w:rPr>
        <w:t>6, S</w:t>
      </w:r>
      <w:r w:rsidR="00D46C7C" w:rsidRPr="00427197">
        <w:rPr>
          <w:b/>
          <w:bCs/>
        </w:rPr>
        <w:t>2.</w:t>
      </w:r>
      <w:r w:rsidRPr="00427197">
        <w:rPr>
          <w:b/>
          <w:bCs/>
        </w:rPr>
        <w:t>2, S</w:t>
      </w:r>
      <w:r w:rsidR="00D46C7C" w:rsidRPr="00427197">
        <w:rPr>
          <w:b/>
          <w:bCs/>
        </w:rPr>
        <w:t>2.</w:t>
      </w:r>
      <w:r w:rsidRPr="00427197">
        <w:rPr>
          <w:b/>
          <w:bCs/>
        </w:rPr>
        <w:t>3</w:t>
      </w:r>
      <w:r w:rsidRPr="008E4EFB">
        <w:t xml:space="preserve">). In this respect it is worth mentioning that the original TDep dataset for North America used a maximum distance of 30 km plus half the cell size of PRISM (2.07 km). While it is not entirely clear how this distance was determined, operational factors such as the station density and the grid size of the regional model are likely important factors. In contrast, the maximum distances explored in this study are much larger (1⁰, 2.5⁰, 5⁰) and are more adapted to the grid size of the current generation of global atmospheric chemistry transport models, and considerations of transport distances of atmospheric components. From </w:t>
      </w:r>
      <w:r w:rsidR="007962B1" w:rsidRPr="008E4EFB">
        <w:t>my</w:t>
      </w:r>
      <w:r w:rsidRPr="008E4EFB">
        <w:t xml:space="preserve"> analysis there is no obvious better weighting distance that improves </w:t>
      </w:r>
      <w:proofErr w:type="gramStart"/>
      <w:r w:rsidRPr="008E4EFB">
        <w:t>the comparison</w:t>
      </w:r>
      <w:proofErr w:type="gramEnd"/>
      <w:r w:rsidRPr="008E4EFB">
        <w:t xml:space="preserve"> with observations. An adaptive distance weighting that considers the expected gradients between the observation point and the remote model grid could be explored as a way forward.</w:t>
      </w:r>
    </w:p>
    <w:p w14:paraId="1CE00DD4" w14:textId="46DE9290" w:rsidR="00D51C2F" w:rsidRPr="008E4EFB" w:rsidRDefault="0062719E" w:rsidP="00B71A9A">
      <w:pPr>
        <w:pStyle w:val="Abstract"/>
        <w:spacing w:before="0" w:line="360" w:lineRule="auto"/>
      </w:pPr>
      <w:r w:rsidRPr="008E4EFB">
        <w:t xml:space="preserve"> However, there are strong limitations associated with using IDW </w:t>
      </w:r>
      <w:r w:rsidRPr="008E4EFB">
        <w:fldChar w:fldCharType="begin"/>
      </w:r>
      <w:r w:rsidRPr="008E4EFB">
        <w:instrText xml:space="preserve"> ADDIN ZOTERO_ITEM CSL_CITATION {"citationID":"Ep46DXzW","properties":{"formattedCitation":"(Sahu et al., 2010)","plainCitation":"(Sahu et al., 2010)","noteIndex":0},"citationItems":[{"id":604,"uris":["http://zotero.org/users/3110659/items/7TGKPF8X"],"itemData":{"id":604,"type":"article-journal","abstract":"Summary. Motivated by the problem of predicting chemical deposition in eastern USA at weekly, seasonal and annual scales, the paper develops a framework for joint modelling of point- and grid-referenced spatiotemporal data in this context. The hierarchical model proposed can provide accurate spatial interpolation and temporal aggregation by combining information from observed point-referenced monitoring data and gridded output from a numerical simulation model known as the ‘community multi-scale air quality model’. The technique avoids the change-of-support problem which arises in other hierarchical models for data fusion settings to combine point- and grid-referenced data. The hierarchical space–time model is fitted to weekly wet sulphate and nitrate deposition data over eastern USA. The model is validated with set-aside data from a number of monitoring sites. Predictive Bayesian methods are developed and illustrated for inference on aggregated summaries such as quarterly and annual sulphate and nitrate deposition maps. The highest wet sulphate deposition occurs near major emissions sources such as fossil-fuelled power plants whereas lower values occur near background monitoring sites.","container-title":"Journal of the Royal Statistical Society: Series C (Applied Statistics)","DOI":"10.1111/j.1467-9876.2009.00685.x","ISSN":"1467-9876","issue":"1","language":"en","license":"© 2010 Royal Statistical Society","note":"_eprint: https://rss.onlinelibrary.wiley.com/doi/pdf/10.1111/j.1467-9876.2009.00685.x","page":"77-103","source":"Wiley Online Library","title":"Fusing point and areal level space–time data with application to wet deposition","volume":"59","author":[{"family":"Sahu","given":"Sujit K."},{"family":"Gelfand","given":"Alan E."},{"family":"Holland","given":"David M."}],"issued":{"date-parts":[["2010"]]}}}],"schema":"https://github.com/citation-style-language/schema/raw/master/csl-citation.json"} </w:instrText>
      </w:r>
      <w:r w:rsidRPr="008E4EFB">
        <w:fldChar w:fldCharType="separate"/>
      </w:r>
      <w:r w:rsidR="00B864BC" w:rsidRPr="008E4EFB">
        <w:t>(Sahu et al., 2010)</w:t>
      </w:r>
      <w:r w:rsidRPr="008E4EFB">
        <w:fldChar w:fldCharType="end"/>
      </w:r>
      <w:r w:rsidRPr="008E4EFB">
        <w:t xml:space="preserve">, and other interpolation methods such as kriging or geographically weighted regression could provide smoother surfaces with fewer artifacts. </w:t>
      </w:r>
      <w:r w:rsidR="008E720D" w:rsidRPr="008E4EFB">
        <w:t xml:space="preserve">IDW </w:t>
      </w:r>
      <w:proofErr w:type="gramStart"/>
      <w:r w:rsidR="008E720D" w:rsidRPr="008E4EFB">
        <w:t>makes the assumption</w:t>
      </w:r>
      <w:proofErr w:type="gramEnd"/>
      <w:r w:rsidR="008E720D" w:rsidRPr="008E4EFB">
        <w:t xml:space="preserve"> that the observations are unbiased and </w:t>
      </w:r>
      <w:r w:rsidR="00203C2B" w:rsidRPr="008E4EFB">
        <w:t>so it forces an exact fit of the mapped surface to the observations. This is unlikely to be true d</w:t>
      </w:r>
      <w:r w:rsidR="001C2AE6" w:rsidRPr="008E4EFB">
        <w:t>ue</w:t>
      </w:r>
      <w:r w:rsidR="00203C2B" w:rsidRPr="008E4EFB">
        <w:t xml:space="preserve"> to measurement </w:t>
      </w:r>
      <w:proofErr w:type="gramStart"/>
      <w:r w:rsidR="001C2AE6" w:rsidRPr="008E4EFB">
        <w:t>errors</w:t>
      </w:r>
      <w:proofErr w:type="gramEnd"/>
      <w:r w:rsidR="001C2AE6" w:rsidRPr="008E4EFB">
        <w:t xml:space="preserve"> so IDW is instead imposing the biases and noise from the measurements onto the mapped output. Other approaches do not make the same assumption and </w:t>
      </w:r>
      <w:r w:rsidR="001C2AE6" w:rsidRPr="008E4EFB">
        <w:lastRenderedPageBreak/>
        <w:t xml:space="preserve">can therefore avoid </w:t>
      </w:r>
      <w:r w:rsidR="007225F5" w:rsidRPr="008E4EFB">
        <w:t xml:space="preserve">these artifacts. </w:t>
      </w:r>
      <w:r w:rsidRPr="008E4EFB">
        <w:t xml:space="preserve">IDW is a fast and flexible interpolation method, but it does not minimize error and can produce inaccurate results in regions with sparse measurements and large sub-grid variability. This problem is relevant to much of the world. The lack of measurement sites globally is a hindrance that can be alleviated by including information obtained from satellite remote sensing </w:t>
      </w:r>
      <w:r w:rsidRPr="008E4EFB">
        <w:fldChar w:fldCharType="begin"/>
      </w:r>
      <w:r w:rsidRPr="008E4EFB">
        <w:instrText xml:space="preserve"> ADDIN ZOTERO_ITEM CSL_CITATION {"citationID":"vLMP7No8","properties":{"formattedCitation":"(Walker et al., 2019)","plainCitation":"(Walker et al., 2019)","noteIndex":0},"citationItems":[{"id":20,"uris":["http://zotero.org/users/3110659/items/VKXJLVIE"],"itemData":{"id":20,"type":"article-journal","abstract":"Frameworks for limiting ecosystem exposure to excess nutrients and acidity require accurate and complete deposition budgets of reactive nitrogen (Nr). While much progress has been made in developing total Nr deposition budgets for the U.S., current budgets remain limited by key data and knowledge gaps. Analysis of National Atmospheric Deposition Program Total Deposition (NADP/TDep) data illustrates several aspects of current Nr deposition that motivate additional research. Averaged across the continental U.S., dry deposition contributes slightly more (55%) to total deposition than wet deposition and is the dominant process (&gt;90%) over broad areas of the Southwest and other arid regions of the West. Lack of dry deposition measurements imposes a reliance on models, resulting in a much higher degree of uncertainty relative to wet deposition which is routinely measured. As nitrogen oxide (NOx) emissions continue to decline, reduced forms of inorganic nitrogen (NHx = NH3 + NH4+) now contribute &gt;50% of total Nr deposition over large areas of the U.S. Expanded monitoring and additional process-level research are needed to better understand NHx deposition, its contribution to total Nr deposition budgets, and the processes by which reduced N deposits to ecosystems. Urban and suburban areas are hotspots where routine monitoring of oxidized and reduced Nr deposition is needed. Finally, deposition budgets have incomplete information about the speciation of atmospheric nitrogen; monitoring networks do not capture important forms of Nr such as organic nitrogen. Building on these themes, we detail the state of the science of Nr deposition budgets in the U.S. and highlight research priorities to improve deposition budgets in terms of monitoring and flux measurements, leaf- to regional-scale modeling, source apportionment, and characterization of deposition trends and patterns.","container-title":"Science of The Total Environment","DOI":"10.1016/j.scitotenv.2019.07.058","ISSN":"0048-9697","journalAbbreviation":"Science of The Total Environment","language":"en","page":"1328-1352","source":"ScienceDirect","title":"Toward the improvement of total nitrogen deposition budgets in the United States","volume":"691","author":[{"family":"Walker","given":"J. T."},{"family":"Beachley","given":"G."},{"family":"Amos","given":"H. M."},{"family":"Baron","given":"J. S."},{"family":"Bash","given":"J."},{"family":"Baumgardner","given":"R."},{"family":"Bell","given":"M. D."},{"family":"Benedict","given":"K. B."},{"family":"Chen","given":"X."},{"family":"Clow","given":"D. W."},{"family":"Cole","given":"A."},{"family":"Coughlin","given":"J. G."},{"family":"Cruz","given":"K."},{"family":"Daly","given":"R. W."},{"family":"Decina","given":"S. M."},{"family":"Elliott","given":"E. M."},{"family":"Fenn","given":"M. E."},{"family":"Ganzeveld","given":"L."},{"family":"Gebhart","given":"K."},{"family":"Isil","given":"S. S."},{"family":"Kerschner","given":"B. M."},{"family":"Larson","given":"R. S."},{"family":"Lavery","given":"T."},{"family":"Lear","given":"G. G."},{"family":"Macy","given":"T."},{"family":"Mast","given":"M. A."},{"family":"Mishoe","given":"K."},{"family":"Morris","given":"K. H."},{"family":"Padgett","given":"P. E."},{"family":"Pouyat","given":"R. V."},{"family":"Puchalski","given":"M."},{"family":"Pye","given":"H. O. T."},{"family":"Rea","given":"A. W."},{"family":"Rhodes","given":"M. F."},{"family":"Rogers","given":"C. M."},{"family":"Saylor","given":"R."},{"family":"Scheffe","given":"R."},{"family":"Schichtel","given":"B. A."},{"family":"Schwede","given":"D. B."},{"family":"Sexstone","given":"G. A."},{"family":"Sive","given":"B. C."},{"family":"Sosa Echeverría","given":"R."},{"family":"Templer","given":"P. H."},{"family":"Thompson","given":"T."},{"family":"Tong","given":"D."},{"family":"Wetherbee","given":"G. A."},{"family":"Whitlow","given":"T. H."},{"family":"Wu","given":"Z."},{"family":"Yu","given":"Z."},{"family":"Zhang","given":"L."}],"issued":{"date-parts":[["2019",11,15]]}}}],"schema":"https://github.com/citation-style-language/schema/raw/master/csl-citation.json"} </w:instrText>
      </w:r>
      <w:r w:rsidRPr="008E4EFB">
        <w:fldChar w:fldCharType="separate"/>
      </w:r>
      <w:r w:rsidR="00B864BC" w:rsidRPr="008E4EFB">
        <w:t>(Walker et al., 2019)</w:t>
      </w:r>
      <w:r w:rsidRPr="008E4EFB">
        <w:fldChar w:fldCharType="end"/>
      </w:r>
      <w:r w:rsidRPr="008E4EFB">
        <w:t>.</w:t>
      </w:r>
      <w:r w:rsidR="00632FA4" w:rsidRPr="008E4EFB">
        <w:t xml:space="preserve"> </w:t>
      </w:r>
      <w:r w:rsidRPr="008E4EFB">
        <w:t xml:space="preserve">Future work should also investigate methods such as </w:t>
      </w:r>
      <w:r w:rsidR="000A258B" w:rsidRPr="008E4EFB">
        <w:t xml:space="preserve">kriging or various </w:t>
      </w:r>
      <w:r w:rsidRPr="008E4EFB">
        <w:t xml:space="preserve">machine learning techniques with spatial information to avoid these limitations. </w:t>
      </w:r>
    </w:p>
    <w:p w14:paraId="260303ED" w14:textId="3E709D21" w:rsidR="0062719E" w:rsidRPr="008E4EFB" w:rsidRDefault="0062719E" w:rsidP="00B71A9A">
      <w:pPr>
        <w:pStyle w:val="Abstract"/>
        <w:spacing w:before="0" w:line="360" w:lineRule="auto"/>
      </w:pPr>
      <w:r w:rsidRPr="008E4EFB">
        <w:t xml:space="preserve">These results from measurement-model fusion are important because previous methods on a global scale have relied primarily on models </w:t>
      </w:r>
      <w:r w:rsidRPr="008E4EFB">
        <w:fldChar w:fldCharType="begin"/>
      </w:r>
      <w:r w:rsidR="0004467C" w:rsidRPr="008E4EFB">
        <w:instrText xml:space="preserve"> ADDIN ZOTERO_ITEM CSL_CITATION {"citationID":"TqhVJejJ","properties":{"formattedCitation":"(J. Tan et al., 2018; Vet et al., 2014)","plainCitation":"(J. Tan et al., 2018; Vet et al., 2014)","noteIndex":0},"citationItems":[{"id":"La0QkTYw/eTbbuvzw","uris":["http://zotero.org/users/local/UDk7s0H0/items/7Q7RBD3U"],"itemData":{"id":"f89W5F0P/lZE0jb3f","type":"article-journal","abstract":"A global assessment of precipitation chemistry and deposition has been carried out under the direction of the World Meteorological Organization (WMO) Global Atmosphere Watch (GAW) Scientific Advisory Group for Precipitation Chemistry (SAG-PC). The assessment addressed three questions: (1) what do measurements and model estimates of precipitation chemistry and wet, dry and total deposition of sulfur, nitrogen, sea salt, base cations, organic acids, acidity, and phosphorus show globally and regionally? (2) has the wet deposition of major ions changed since 2000 (and, where information and data are available, since 1990) and (3) what are the major gaps and uncertainties in our knowledge? To that end, regionally-representative measurements for two 3-year-averaging periods, 2000–2002 and 2005–2007, were compiled worldwide. Data from the 2000–2002 averaging period were combined with 2001 ensemble-mean modeling results from 21 global chemical transport models produced in Phase 1 of the Coordinated Model Studies Activities of the Task Force on Hemispheric Transport of Air Pollution (TF HTAP). The measurement data and modeling results were used to generate global and regional maps of major ion concentrations in precipitation and deposition. A major product of the assessment is a database of quality assured ion concentration and wet deposition data gathered from regional and national monitoring networks. The database is available for download from the World Data Centre for Precipitation Chemistry (http://wdcpc.org/). The assessment concludes that global concentrations and deposition of sulfur and nitrogen are reasonably well characterized with levels generally highest near emission sources and more than an order of magnitude lower in areas largely free of anthropogenic influences. In many parts of the world, wet deposition of reduced nitrogen exceeds that of oxidized nitrogen and is increasing. Sulfur and nitrogen concentrations and deposition in North America and Europe have declined significantly in line with emission reduction policies. Major regions of the world, including South America, the more remote areas of North America, much of Asia, Africa, Oceania, polar regions, and all of the oceans, are inadequately sampled for all of the major ions in wet and dry deposition, and particularly so for phosphorus, organic forms of nitrogen, and weak acids including carbonates and organic acids. Measurement-based inferential estimates of dry deposition are limited to sulfur and some nitrogen in only a few regions of the world and methods are highly uncertain. The assessment concludes with recommendations to address major gaps and uncertainties in global ion concentration and deposition measurements.","collection-title":"A global assessment of precipitation chemistry and deposition of sulfur, nitrogen, sea salt, base cations, organic acids, acidity and pH, and phosphorus","container-title":"Atmospheric Environment","DOI":"10.1016/j.atmosenv.2013.10.060","ISSN":"1352-2310","journalAbbreviation":"Atmospheric Environment","language":"en","page":"3-100","source":"ScienceDirect","title":"A global assessment of precipitation chemistry and deposition of sulfur, nitrogen, sea salt, base cations, organic acids, acidity and pH, and phosphorus","volume":"93","author":[{"family":"Vet","given":"Robert"},{"family":"Artz","given":"Richard S."},{"family":"Carou","given":"Silvina"},{"family":"Shaw","given":"Mike"},{"family":"Ro","given":"Chul-Un"},{"family":"Aas","given":"Wenche"},{"family":"Baker","given":"Alex"},{"family":"Bowersox","given":"Van C."},{"family":"Dentener","given":"Frank"},{"family":"Galy-Lacaux","given":"Corinne"},{"family":"Hou","given":"Amy"},{"family":"Pienaar","given":"Jacobus J."},{"family":"Gillett","given":"Robert"},{"family":"Forti","given":"M. Cristina"},{"family":"Gromov","given":"Sergey"},{"family":"Hara","given":"Hiroshi"},{"family":"Khodzher","given":"Tamara"},{"family":"Mahowald","given":"Natalie M."},{"family":"Nickovic","given":"Slobodan"},{"family":"Rao","given":"P. S. P."},{"family":"Reid","given":"Neville W."}],"issued":{"date-parts":[["2014",8,1]]}}},{"id":1231,"uris":["http://zotero.org/users/3110659/items/GSC9KE5I"],"itemData":{"id":1231,"type":"article-journal","abstract":"&lt;p&gt;&lt;strong class=\"journal-contentHeaderColor\"&gt;Abstract.&lt;/strong&gt; This study uses multi-model ensemble results of 11 models from the second phase of Task Force Hemispheric Transport of Air Pollution (HTAP II) to calculate the global sulfur (S) and nitrogen (N) deposition in 2010. Modeled wet deposition is evaluated with observation networks in North America, Europe and East Asia. The modeled results agree well with observations, with 76–83&amp;thinsp;% of stations being predicted within &lt;span class=\"inline-formula\"&gt;±&lt;/span&gt;50&amp;thinsp;% of observations. The models underestimate SO&lt;span class=\"inline-formula\"&gt;&lt;math xmlns=\"http://www.w3.org/1998/Math/MathML\" id=\"M2\" display=\"inline\" overflow=\"scroll\" dspmath=\"mathml\"&gt;&lt;mrow&gt;&lt;msubsup&gt;&lt;mi/&gt;&lt;mn mathvariant=\"normal\"&gt;4&lt;/mn&gt;&lt;mrow&gt;&lt;mn mathvariant=\"normal\"&gt;2&lt;/mn&gt;&lt;mo&gt;-&lt;/mo&gt;&lt;/mrow&gt;&lt;/msubsup&gt;&lt;/mrow&gt;&lt;/math&gt;&lt;span&gt;&lt;svg:svg xmlns:svg=\"http://www.w3.org/2000/svg\" width=\"13pt\" height=\"17pt\" class=\"svg-formula\" dspmath=\"mathimg\" md5hash=\"63f11f9b60a09208ebeae789905b238b\"&gt;&lt;svg:image xmlns:xlink=\"http://www.w3.org/1999/xlink\" xlink:href=\"acp-18-6847-2018-ie00001.svg\" width=\"13pt\" height=\"17pt\" src=\"acp-18-6847-2018-ie00001.png\"/&gt;&lt;/svg:svg&gt;&lt;/span&gt;&lt;/span&gt;, NO&lt;span class=\"inline-formula\"&gt;&lt;math xmlns=\"http://www.w3.org/1998/Math/MathML\" id=\"M3\" display=\"inline\" overflow=\"scroll\" dspmath=\"mathml\"&gt;&lt;mrow&gt;&lt;msubsup&gt;&lt;mi/&gt;&lt;mn mathvariant=\"normal\"&gt;3&lt;/mn&gt;&lt;mo&gt;-&lt;/mo&gt;&lt;/msubsup&gt;&lt;/mrow&gt;&lt;/math&gt;&lt;span&gt;&lt;svg:svg xmlns:svg=\"http://www.w3.org/2000/svg\" width=\"9pt\" height=\"16pt\" class=\"svg-formula\" dspmath=\"mathimg\" md5hash=\"0aaab3ee324d7a9ba8e4b96f67d8036e\"&gt;&lt;svg:image xmlns:xlink=\"http://www.w3.org/1999/xlink\" xlink:href=\"acp-18-6847-2018-ie00002.svg\" width=\"9pt\" height=\"16pt\" src=\"acp-18-6847-2018-ie00002.png\"/&gt;&lt;/svg:svg&gt;&lt;/span&gt;&lt;/span&gt; and NH&lt;span class=\"inline-formula\"&gt;&lt;math xmlns=\"http://www.w3.org/1998/Math/MathML\" id=\"M4\" display=\"inline\" overflow=\"scroll\" dspmath=\"mathml\"&gt;&lt;mrow&gt;&lt;msubsup&gt;&lt;mi/&gt;&lt;mn mathvariant=\"normal\"&gt;4&lt;/mn&gt;&lt;mo&gt;+&lt;/mo&gt;&lt;/msubsup&gt;&lt;/mrow&gt;&lt;/math&gt;&lt;span&gt;&lt;svg:svg xmlns:svg=\"http://www.w3.org/2000/svg\" width=\"8pt\" height=\"15pt\" class=\"svg-formula\" dspmath=\"mathimg\" md5hash=\"310866e2e55ea172cf2d52bb7208ba35\"&gt;&lt;svg:image xmlns:xlink=\"http://www.w3.org/1999/xlink\" xlink:href=\"acp-18-6847-2018-ie00003.svg\" width=\"8pt\" height=\"15pt\" src=\"acp-18-6847-2018-ie00003.png\"/&gt;&lt;/svg:svg&gt;&lt;/span&gt;&lt;/span&gt; wet depositions in some European and East Asian stations but overestimate NO&lt;span class=\"inline-formula\"&gt;&lt;math xmlns=\"http://www.w3.org/1998/Math/MathML\" id=\"M5\" display=\"inline\" overflow=\"scroll\" dspmath=\"mathml\"&gt;&lt;mrow&gt;&lt;msubsup&gt;&lt;mi/&gt;&lt;mn mathvariant=\"normal\"&gt;3&lt;/mn&gt;&lt;mo&gt;-&lt;/mo&gt;&lt;/msubsup&gt;&lt;/mrow&gt;&lt;/math&gt;&lt;span&gt;&lt;svg:svg xmlns:svg=\"http://www.w3.org/2000/svg\" width=\"9pt\" height=\"16pt\" class=\"svg-formula\" dspmath=\"mathimg\" md5hash=\"8c72af1edd6d67ed562efcaf5163d22b\"&gt;&lt;svg:image xmlns:xlink=\"http://www.w3.org/1999/xlink\" xlink:href=\"acp-18-6847-2018-ie00004.svg\" width=\"9pt\" height=\"16pt\" src=\"acp-18-6847-2018-ie00004.png\"/&gt;&lt;/svg:svg&gt;&lt;/span&gt;&lt;/span&gt; wet deposition in the eastern United States. Intercomparison with previous projects (PhotoComp, ACCMIP and HTAP I) shows that HTPA II has considerably improved the estimation of deposition at European and East Asian stations. Modeled dry deposition is generally higher than the “inferential” data calculated by observed concentration and modeled velocity in North America, but the inferential data have high uncertainty, too. The global S deposition is 84&amp;thinsp;Tg(S) in 2010, with 49&amp;thinsp;% in continental regions and 51&amp;thinsp;% in the ocean (19&amp;thinsp;% of which coastal). The global N deposition consists of 59&amp;thinsp;Tg(N) oxidized nitrogen (NO&lt;span class=\"inline-formula\"&gt;&lt;sub&gt;&lt;i&gt;y&lt;/i&gt;&lt;/sub&gt;)&lt;/span&gt; deposition and 64&amp;thinsp;Tg(N) reduced nitrogen (NH&lt;span class=\"inline-formula\"&gt;&lt;sub&gt;&lt;i&gt;x&lt;/i&gt;&lt;/sub&gt;)&lt;/span&gt; deposition in 2010. About 65&amp;thinsp;% of N is deposited in continental regions, and 35&amp;thinsp;% in the ocean (15&amp;thinsp;% of which coastal). The estimated outflow of pollution from land to ocean is about 4&amp;thinsp;Tg(S) for S deposition and 18&amp;thinsp;Tg(N) for N deposition. Comparing our results to the results in 2001 from HTAP I, we find that the global distributions of S and N deposition have changed considerably during the last 10 years. The global S deposition decreases 2&amp;thinsp;Tg(S) (3&amp;thinsp;%) from 2001 to 2010, with significant decreases in Europe (5&amp;thinsp;Tg(S) and 55&amp;thinsp;%), North America (3&amp;thinsp;Tg(S) and 29&amp;thinsp;%) and Russia (2&amp;thinsp;Tg(S) and 26&amp;thinsp;%), and increases in South Asia (2&amp;thinsp;Tg(S) and 42&amp;thinsp;%) and the Middle East (1&amp;thinsp;Tg(S) and 44&amp;thinsp;%). The global N deposition increases by 7&amp;thinsp;Tg(N) (6&amp;thinsp;%), mainly contributed by South Asia (5&amp;thinsp;Tg(N) and 39&amp;thinsp;%), East Asia (4&amp;thinsp;Tg(N) and 21&amp;thinsp;%) and Southeast Asia (2&amp;thinsp;Tg(N) and 21&amp;thinsp;%). The NH&lt;span class=\"inline-formula\"&gt;&lt;sub&gt;&lt;i&gt;x&lt;/i&gt;&lt;/sub&gt;&lt;/span&gt; deposition increases with no control policy on NH&lt;span class=\"inline-formula\"&gt;&lt;sub&gt;3&lt;/sub&gt;&lt;/span&gt; emission in North America. On the other hand, NO&lt;span class=\"inline-formula\"&gt;&lt;sub&gt;&lt;i&gt;y&lt;/i&gt;&lt;/sub&gt;&lt;/span&gt; deposition has started to dominate in East Asia (especially China) due to boosted NO&lt;span class=\"inline-formula\"&gt;&lt;sub&gt;&lt;i&gt;x&lt;/i&gt;&lt;/sub&gt;&lt;/span&gt; emission.&lt;/p&gt;","container-title":"Atmospheric Chemistry and Physics","DOI":"https://doi.org/10.5194/acp-18-6847-2018","ISSN":"1680-7316","issue":"9","language":"English","note":"publisher: Copernicus GmbH","page":"6847-6866","source":"acp.copernicus.org","title":"Multi-model study of HTAP II on sulfur and nitrogen deposition","volume":"18","author":[{"family":"Tan","given":"Jiani"},{"family":"Fu","given":"Joshua S."},{"family":"Dentener","given":"Frank"},{"family":"Sun","given":"Jian"},{"family":"Emmons","given":"Louisa"},{"family":"Tilmes","given":"Simone"},{"family":"Sudo","given":"Kengo"},{"family":"Flemming","given":"Johannes"},{"family":"Jonson","given":"Jan Eiof"},{"family":"Gravel","given":"Sylvie"},{"family":"Bian","given":"Huisheng"},{"family":"Davila","given":"Yanko"},{"family":"Henze","given":"Daven K."},{"family":"Lund","given":"Marianne T."},{"family":"Kucsera","given":"Tom"},{"family":"Takemura","given":"Toshihiko"},{"family":"Keating","given":"Terry"}],"issued":{"date-parts":[["2018",5,16]]}}}],"schema":"https://github.com/citation-style-language/schema/raw/master/csl-citation.json"} </w:instrText>
      </w:r>
      <w:r w:rsidRPr="008E4EFB">
        <w:fldChar w:fldCharType="separate"/>
      </w:r>
      <w:r w:rsidR="0059488F" w:rsidRPr="008E4EFB">
        <w:t>(J. Tan et al., 2018; Vet et al., 2014)</w:t>
      </w:r>
      <w:r w:rsidRPr="008E4EFB">
        <w:fldChar w:fldCharType="end"/>
      </w:r>
      <w:r w:rsidRPr="008E4EFB">
        <w:t xml:space="preserve">. They compare their results with measurements, of course, in order to demonstrate the model capabilities but they do not explicitly incorporate point measurements into the final product. </w:t>
      </w:r>
      <w:r w:rsidR="007962B1" w:rsidRPr="008E4EFB">
        <w:t>My</w:t>
      </w:r>
      <w:r w:rsidRPr="008E4EFB">
        <w:t xml:space="preserve"> results serve to emphasize that global models are adequately simulating deposition (in terms of total deposition budgets) but that the regional discrepancies between models and measurements can still be quite large; and measurement-model fusion helps to ameliorate this without changing the fundamental model parameters and processes that actually capture the overall deposition reasonably well. </w:t>
      </w:r>
    </w:p>
    <w:p w14:paraId="5CBA6354" w14:textId="31F2E4F3" w:rsidR="0062719E" w:rsidRPr="008E4EFB" w:rsidRDefault="0062719E" w:rsidP="00B71A9A">
      <w:pPr>
        <w:pStyle w:val="Style3"/>
        <w:numPr>
          <w:ilvl w:val="1"/>
          <w:numId w:val="9"/>
        </w:numPr>
        <w:spacing w:before="0" w:line="360" w:lineRule="auto"/>
        <w:rPr>
          <w:rFonts w:cs="Times New Roman"/>
          <w:szCs w:val="24"/>
        </w:rPr>
      </w:pPr>
      <w:bookmarkStart w:id="31" w:name="_Toc179917970"/>
      <w:r w:rsidRPr="008E4EFB">
        <w:rPr>
          <w:rFonts w:cs="Times New Roman"/>
          <w:szCs w:val="24"/>
        </w:rPr>
        <w:t>Conclusions</w:t>
      </w:r>
      <w:bookmarkEnd w:id="31"/>
    </w:p>
    <w:p w14:paraId="4F5BDB81" w14:textId="75816B3F" w:rsidR="00D352FA" w:rsidRPr="008E4EFB" w:rsidRDefault="0062719E" w:rsidP="00B71A9A">
      <w:pPr>
        <w:pStyle w:val="Abstract"/>
        <w:spacing w:before="0" w:line="360" w:lineRule="auto"/>
      </w:pPr>
      <w:r w:rsidRPr="008E4EFB">
        <w:rPr>
          <w:rStyle w:val="IOPTitleChar"/>
          <w:rFonts w:ascii="Times New Roman" w:hAnsi="Times New Roman"/>
          <w:b w:val="0"/>
          <w:sz w:val="24"/>
          <w:szCs w:val="24"/>
        </w:rPr>
        <w:t xml:space="preserve">Sulfur and nitrogen deposition remain </w:t>
      </w:r>
      <w:proofErr w:type="gramStart"/>
      <w:r w:rsidRPr="008E4EFB">
        <w:rPr>
          <w:rStyle w:val="IOPTitleChar"/>
          <w:rFonts w:ascii="Times New Roman" w:hAnsi="Times New Roman"/>
          <w:b w:val="0"/>
          <w:sz w:val="24"/>
          <w:szCs w:val="24"/>
        </w:rPr>
        <w:t>a serious concern</w:t>
      </w:r>
      <w:proofErr w:type="gramEnd"/>
      <w:r w:rsidRPr="008E4EFB">
        <w:rPr>
          <w:rStyle w:val="IOPTitleChar"/>
          <w:rFonts w:ascii="Times New Roman" w:hAnsi="Times New Roman"/>
          <w:b w:val="0"/>
          <w:sz w:val="24"/>
          <w:szCs w:val="24"/>
        </w:rPr>
        <w:t xml:space="preserve"> for human and ecosystem health. We update the 2010 deposition budgets using measurement-model fusion to combine the broad spatial coverage of a model with accurate in-situ measurements. The total nitrogen deposition budget </w:t>
      </w:r>
      <w:proofErr w:type="gramStart"/>
      <w:r w:rsidRPr="008E4EFB">
        <w:rPr>
          <w:rStyle w:val="IOPTitleChar"/>
          <w:rFonts w:ascii="Times New Roman" w:hAnsi="Times New Roman"/>
          <w:b w:val="0"/>
          <w:sz w:val="24"/>
          <w:szCs w:val="24"/>
        </w:rPr>
        <w:t>is recalculated</w:t>
      </w:r>
      <w:proofErr w:type="gramEnd"/>
      <w:r w:rsidRPr="008E4EFB">
        <w:rPr>
          <w:rStyle w:val="IOPTitleChar"/>
          <w:rFonts w:ascii="Times New Roman" w:hAnsi="Times New Roman"/>
          <w:b w:val="0"/>
          <w:sz w:val="24"/>
          <w:szCs w:val="24"/>
        </w:rPr>
        <w:t xml:space="preserve"> to </w:t>
      </w:r>
      <w:r w:rsidRPr="008E4EFB">
        <w:t xml:space="preserve">114.50 </w:t>
      </w:r>
      <w:r w:rsidRPr="008E4EFB">
        <w:rPr>
          <w:rStyle w:val="IOPTitleChar"/>
          <w:rFonts w:ascii="Times New Roman" w:hAnsi="Times New Roman"/>
          <w:b w:val="0"/>
          <w:sz w:val="24"/>
          <w:szCs w:val="24"/>
        </w:rPr>
        <w:t xml:space="preserve">Tg-N and the sulfur budget is recalculated to </w:t>
      </w:r>
      <w:r w:rsidRPr="008E4EFB">
        <w:t xml:space="preserve">88.91 </w:t>
      </w:r>
      <w:r w:rsidRPr="008E4EFB">
        <w:rPr>
          <w:rStyle w:val="IOPTitleChar"/>
          <w:rFonts w:ascii="Times New Roman" w:hAnsi="Times New Roman"/>
          <w:b w:val="0"/>
          <w:sz w:val="24"/>
          <w:szCs w:val="24"/>
        </w:rPr>
        <w:t xml:space="preserve">Tg-N, representing about a 1% and 6.5% increase, respectively, from the modelled values. This work emphasizes the necessity of combining models with observations wherever possible, to better capture regional patterns and to inform policy and decision-making. Future work to improve measurement-model fusion should investigate more advanced MMF methods to avoid the limitations associated with IDW such as surface artifacts and high error in regions with sparse measurements. It could also incorporate satellite remote sensing derived concentrations to improve model estimates where in-situ measurements are not available, but a careful error analysis </w:t>
      </w:r>
      <w:proofErr w:type="gramStart"/>
      <w:r w:rsidRPr="008E4EFB">
        <w:rPr>
          <w:rStyle w:val="IOPTitleChar"/>
          <w:rFonts w:ascii="Times New Roman" w:hAnsi="Times New Roman"/>
          <w:b w:val="0"/>
          <w:sz w:val="24"/>
          <w:szCs w:val="24"/>
        </w:rPr>
        <w:t>is needed</w:t>
      </w:r>
      <w:proofErr w:type="gramEnd"/>
      <w:r w:rsidRPr="008E4EFB">
        <w:rPr>
          <w:rStyle w:val="IOPTitleChar"/>
          <w:rFonts w:ascii="Times New Roman" w:hAnsi="Times New Roman"/>
          <w:b w:val="0"/>
          <w:sz w:val="24"/>
          <w:szCs w:val="24"/>
        </w:rPr>
        <w:t xml:space="preserve"> to avoid spurious results.</w:t>
      </w:r>
    </w:p>
    <w:p w14:paraId="3ACBBF5C" w14:textId="7575C0F4" w:rsidR="00C50D4B" w:rsidRPr="008E4EFB" w:rsidRDefault="000E2D5D" w:rsidP="00936B99">
      <w:pPr>
        <w:pStyle w:val="Heading1"/>
        <w:spacing w:before="0" w:line="360" w:lineRule="auto"/>
        <w:rPr>
          <w:sz w:val="24"/>
          <w:szCs w:val="24"/>
        </w:rPr>
      </w:pPr>
      <w:bookmarkStart w:id="32" w:name="_Toc179917971"/>
      <w:r w:rsidRPr="008E4EFB">
        <w:rPr>
          <w:sz w:val="24"/>
          <w:szCs w:val="24"/>
        </w:rPr>
        <w:lastRenderedPageBreak/>
        <w:t>Improving Estimates of Wet Deposition in the U.S. with Measurement</w:t>
      </w:r>
      <w:r w:rsidR="00C50D4B" w:rsidRPr="008E4EFB">
        <w:rPr>
          <w:sz w:val="24"/>
          <w:szCs w:val="24"/>
        </w:rPr>
        <w:t>-</w:t>
      </w:r>
      <w:r w:rsidRPr="008E4EFB">
        <w:rPr>
          <w:sz w:val="24"/>
          <w:szCs w:val="24"/>
        </w:rPr>
        <w:t>M</w:t>
      </w:r>
      <w:r w:rsidR="00C50D4B" w:rsidRPr="008E4EFB">
        <w:rPr>
          <w:sz w:val="24"/>
          <w:szCs w:val="24"/>
        </w:rPr>
        <w:t xml:space="preserve">odel Fusion </w:t>
      </w:r>
      <w:r w:rsidRPr="008E4EFB">
        <w:rPr>
          <w:sz w:val="24"/>
          <w:szCs w:val="24"/>
        </w:rPr>
        <w:t>and</w:t>
      </w:r>
      <w:r w:rsidR="00C50D4B" w:rsidRPr="008E4EFB">
        <w:rPr>
          <w:sz w:val="24"/>
          <w:szCs w:val="24"/>
        </w:rPr>
        <w:t xml:space="preserve"> Machine Learning</w:t>
      </w:r>
      <w:bookmarkEnd w:id="32"/>
      <w:r w:rsidRPr="008E4EFB">
        <w:rPr>
          <w:sz w:val="24"/>
          <w:szCs w:val="24"/>
        </w:rPr>
        <w:t xml:space="preserve"> </w:t>
      </w:r>
    </w:p>
    <w:p w14:paraId="414DB94A" w14:textId="6AF69729" w:rsidR="008E439F" w:rsidRPr="008E4EFB" w:rsidRDefault="00C50D4B" w:rsidP="00936B99">
      <w:pPr>
        <w:pStyle w:val="Style3"/>
        <w:numPr>
          <w:ilvl w:val="1"/>
          <w:numId w:val="11"/>
        </w:numPr>
        <w:spacing w:before="0" w:line="360" w:lineRule="auto"/>
        <w:rPr>
          <w:rFonts w:cs="Times New Roman"/>
          <w:szCs w:val="24"/>
        </w:rPr>
      </w:pPr>
      <w:bookmarkStart w:id="33" w:name="_Toc179917972"/>
      <w:r w:rsidRPr="008E4EFB">
        <w:rPr>
          <w:rFonts w:cs="Times New Roman"/>
          <w:szCs w:val="24"/>
        </w:rPr>
        <w:t>Introduction</w:t>
      </w:r>
      <w:bookmarkEnd w:id="33"/>
    </w:p>
    <w:p w14:paraId="443193F5" w14:textId="2F2B1742" w:rsidR="005C37EF" w:rsidRPr="008E4EFB" w:rsidRDefault="005C37EF" w:rsidP="00DC4266">
      <w:pPr>
        <w:pStyle w:val="Text"/>
        <w:spacing w:before="0" w:line="360" w:lineRule="auto"/>
        <w:ind w:firstLine="0"/>
      </w:pPr>
      <w:r w:rsidRPr="008E4EFB">
        <w:t xml:space="preserve">Atmospheric reactive nitrogen (N) deposition from human activities such as industry and agriculture have significant implications for ecosystem and human health </w:t>
      </w:r>
      <w:r w:rsidRPr="008E4EFB">
        <w:fldChar w:fldCharType="begin"/>
      </w:r>
      <w:r w:rsidRPr="008E4EFB">
        <w:instrText xml:space="preserve"> ADDIN ZOTERO_ITEM CSL_CITATION {"citationID":"hHGwcbOz","properties":{"formattedCitation":"(Bobbink et al., 2010)","plainCitation":"(Bobbink et al., 2010)","noteIndex":0},"citationItems":[{"id":599,"uris":["http://zotero.org/users/3110659/items/H3FK6MK3",["http://zotero.org/users/3110659/items/H3FK6MK3"]],"itemData":{"id":599,"type":"article-journal","abstract":"Atmospheric nitrogen (N) deposition is a recognized threat to plant diversity in temperate and northern parts of Europe and North America. This paper assesses evidence from field experiments for N deposition effects and thresholds for terrestrial plant diversity protection across a latitudinal range of main categories of ecosystems, from arctic and boreal systems to tropical forests. Current thinking on the mechanisms of N deposition effects on plant diversity, the global distribution of G200 ecoregions, and current and future (2030) estimates of atmospheric N-deposition rates are then used to identify the risks to plant diversity in all major ecosystem types now and in the future. This synthesis paper clearly shows that N accumulation is the main driver of changes to species composition across the whole range of different ecosystem types by driving the competitive interactions that lead to composition change and/or making conditions unfavorable for some species. Other effects such as direct toxicity of nitrogen gases and aerosols, long-term negative effects of increased ammonium and ammonia availability, soil-mediated effects of acidification, and secondary stress and disturbance are more ecosystem- and site-specific and often play a supporting role. N deposition effects in mediterranean ecosystems have now been identified, leading to a first estimate of an effect threshold. Importantly, ecosystems thought of as not N limited, such as tropical and subtropical systems, may be more vulnerable in the regeneration phase, in situations where heterogeneity in N availability is reduced by atmospheric N deposition, on sandy soils, or in montane areas. Critical loads are effect thresholds for N deposition, and the critical load concept has helped European governments make progress toward reducing N loads on sensitive ecosystems. More needs to be done in Europe and North America, especially for the more sensitive ecosystem types, including several ecosystems of high conservation importance. The results of this assessment show that the vulnerable regions outside Europe and North America which have not received enough attention are ecoregions in eastern and southern Asia (China, India), an important part of the mediterranean ecoregion (California, southern Europe), and in the coming decades several subtropical and tropical parts of Latin America and Africa. Reductions in plant diversity by increased atmospheric N deposition may be more widespread than first thought, and more targeted studies are required in low background areas, especially in the G200 ecoregions.","container-title":"Ecological Applications","DOI":"10.1890/08-1140.1","ISSN":"1939-5582","issue":"1","language":"en","note":"_eprint: https://esajournals.onlinelibrary.wiley.com/doi/pdf/10.1890/08-1140.1","page":"30-59","source":"Wiley Online Library","title":"Global assessment of nitrogen deposition effects on terrestrial plant diversity: a synthesis","title-short":"Global assessment of nitrogen deposition effects on terrestrial plant diversity","volume":"20","author":[{"family":"Bobbink","given":"R."},{"family":"Hicks","given":"K."},{"family":"Galloway","given":"J."},{"family":"Spranger","given":"T."},{"family":"Alkemade","given":"R."},{"family":"Ashmore","given":"M."},{"family":"Bustamante","given":"M."},{"family":"Cinderby","given":"S."},{"family":"Davidson","given":"E."},{"family":"Dentener","given":"F."},{"family":"Emmett","given":"B."},{"family":"Erisman","given":"J.-W."},{"family":"Fenn","given":"M."},{"family":"Gilliam","given":"F."},{"family":"Nordin","given":"A."},{"family":"Pardo","given":"L."},{"family":"Vries","given":"W. De"}],"issued":{"date-parts":[["2010"]]}}}],"schema":"https://github.com/citation-style-language/schema/raw/master/csl-citation.json"} </w:instrText>
      </w:r>
      <w:r w:rsidRPr="008E4EFB">
        <w:fldChar w:fldCharType="separate"/>
      </w:r>
      <w:r w:rsidRPr="008E4EFB">
        <w:t>(Bobbink et al., 2010)</w:t>
      </w:r>
      <w:r w:rsidRPr="008E4EFB">
        <w:fldChar w:fldCharType="end"/>
      </w:r>
      <w:r w:rsidRPr="008E4EFB">
        <w:t xml:space="preserve">. Elevated levels of nitrogen and sulfur deposition can lead to a range of negative consequences such as eutrophication </w:t>
      </w:r>
      <w:r w:rsidRPr="008E4EFB">
        <w:fldChar w:fldCharType="begin"/>
      </w:r>
      <w:r w:rsidRPr="008E4EFB">
        <w:instrText xml:space="preserve"> ADDIN ZOTERO_ITEM CSL_CITATION {"citationID":"eqnIYsHd","properties":{"formattedCitation":"(Anderson et al., 2008; Heisler et al., 2008)","plainCitation":"(Anderson et al., 2008; Heisler et al., 2008)","noteIndex":0},"citationItems":[{"id":597,"uris":["http://zotero.org/users/3110659/items/B6DGS6PL",["http://zotero.org/users/3110659/items/B6DGS6PL"]],"itemData":{"id":597,"type":"article-journal","abstract":"Coastal waters of the United States (U.S.) are subject to many of the major harmful algal bloom (HAB) poisoning syndromes and impacts. These include paralytic shellfish poisoning (PSP), neurotoxic shellfish poisoning (NSP), amnesic shellfish poisoning (ASP), ciguatera fish poisoning (CFP) and various other HAB phenomena such as fish kills, loss of submerged vegetation, shellfish mortalities, and widespread marine mammal mortalities. Here, the occurrences of selected HABs in a selected set of regions are described in terms of their relationship to eutrophication, illustrating a range of responses. Evidence suggestive of changes in the frequency, extent or magnitude of HABs in these areas is explored in the context of the nutrient sources underlying those blooms, both natural and anthropogenic. In some regions of the U.S., the linkages between HABs and eutrophication are clear and well documented, whereas in others, information is limited, thereby highlighting important areas for further research.","collection-title":"HABs and Eutrophication","container-title":"Harmful Algae","DOI":"10.1016/j.hal.2008.08.017","ISSN":"1568-9883","issue":"1","journalAbbreviation":"Harmful Algae","language":"en","page":"39-53","source":"ScienceDirect","title":"Harmful algal blooms and eutrophication: Examining linkages from selected coastal regions of the United States","title-short":"Harmful algal blooms and eutrophication","volume":"8","author":[{"family":"Anderson","given":"Donald M."},{"family":"Burkholder","given":"Joann M."},{"family":"Cochlan","given":"William P."},{"family":"Glibert","given":"Patricia M."},{"family":"Gobler","given":"Christopher J."},{"family":"Heil","given":"Cynthia A."},{"family":"Kudela","given":"Raphael M."},{"family":"Parsons","given":"Michael L."},{"family":"Rensel","given":"J. E. Jack"},{"family":"Townsend","given":"David W."},{"family":"Trainer","given":"Vera L."},{"family":"Vargo","given":"Gabriel A."}],"issued":{"date-parts":[["2008",12,1]]}}},{"id":1053,"uris":["http://zotero.org/users/3110659/items/T9SS3W7M",["http://zotero.org/users/3110659/items/T9SS3W7M"]],"itemData":{"id":1053,"type":"article-journal","abstract":"In January 2003, the US Environmental Protection Agency sponsored a “roundtable discussion” to develop a consensus on the relationship between eutrophication and harmful algal blooms (HABs), specifically targeting those relationships for which management actions may be appropriate. Academic, federal, and state agency representatives were in attendance. The following seven statements were unanimously adopted by attendees based on review and analysis of current as well as pertinent previous data:(1)Degraded water quality from increased nutrient pollution promotes the development and persistence of many HABs and is one of the reasons for their expansion in the U.S. and other nations;(2)The composition–not just the total quantity–of the nutrient pool impacts HABs;(3)High-biomass blooms must have exogenous nutrients to be sustained;(4)Both chronic and episodic nutrient delivery promote HAB development;(5)Recently developed tools and techniques are already improving the detection of some HABs, and emerging technologies are rapidly advancing toward operational status for the prediction of HABs and their toxins;(6)Experimental studies are critical to further the understanding about the role of nutrients in HABs expression, and will strengthen prediction and mitigation of HABs; and(7)Management of nutrient inputs to the watershed can lead to significant reduction in HABs. Supporting evidence and pertinent examples for each consensus statement are provided herein.","container-title":"Harmful Algae","DOI":"10.1016/j.hal.2008.08.006","ISSN":"15689883","issue":"1","page":"3–13","title":"Eutrophication and harmful algal blooms: A scientific consensus","volume":"8","author":[{"family":"Heisler","given":"J."},{"family":"Glibert","given":"P.M."},{"family":"Burkholder","given":"J.M."},{"family":"Anderson","given":"D.M."},{"family":"Cochlan","given":"W."},{"family":"Dennison","given":"W.C."},{"family":"Dortch","given":"Q."},{"family":"Gobler","given":"C.J."},{"family":"Heil","given":"C.A."},{"family":"Humphries","given":"E."},{"family":"Lewitus","given":"A."},{"family":"Magnien","given":"R."},{"family":"Marshall","given":"H.G."},{"family":"Sellner","given":"K."},{"family":"Stockwell","given":"D.A."},{"family":"Stoecker","given":"D.K."},{"family":"Suddleson","given":"M."}],"issued":{"date-parts":[["2008"]]}}}],"schema":"https://github.com/citation-style-language/schema/raw/master/csl-citation.json"} </w:instrText>
      </w:r>
      <w:r w:rsidRPr="008E4EFB">
        <w:fldChar w:fldCharType="separate"/>
      </w:r>
      <w:r w:rsidRPr="008E4EFB">
        <w:t>(Anderson et al., 2008; Heisler et al., 2008)</w:t>
      </w:r>
      <w:r w:rsidRPr="008E4EFB">
        <w:fldChar w:fldCharType="end"/>
      </w:r>
      <w:r w:rsidRPr="008E4EFB">
        <w:t xml:space="preserve">, changes in carbon sequestration </w:t>
      </w:r>
      <w:r w:rsidRPr="008E4EFB">
        <w:fldChar w:fldCharType="begin"/>
      </w:r>
      <w:r w:rsidRPr="008E4EFB">
        <w:instrText xml:space="preserve"> ADDIN ZOTERO_ITEM CSL_CITATION {"citationID":"wZkMSbi6","properties":{"formattedCitation":"(Kicklighter et al., 2019; de Vries et al., 2009; Zhu et al., 2020)","plainCitation":"(Kicklighter et al., 2019; de Vries et al., 2009; Zhu et al., 2020)","noteIndex":0},"citationItems":[{"id":93,"uris":["http://zotero.org/users/local/UDk7s0H0/items/D8RRZSSX",["http://zotero.org/users/local/UDk7s0H0/items/D8RRZSSX"],"http://zotero.org/users/3110659/items/D8RRZSSX"],"itemData":{"id":93,"type":"article-journal","abstract":"Nitrogen (N) availability exerts strong control on carbon storage in the forests of Northern Eurasia. Here, using a process-based model, we explore how three factors that alter N availability—permafrost degradation, atmospheric N deposition, and the abandonment of agricultural land to forest regrowth (land-use legacy)—affect carbon storage in the region’s forest vegetation over the 21st century within the context of two IPCC global-change scenarios (RCPs 4.5 and 8.5). For RCP4.5, enhanced N availability results in increased tree carbon storage of 27.8 Pg C, with land-use legacy being the most important factor. For RCP8.5, enhanced N availability results in increased carbon storage in trees of 13.4 Pg C, with permafrost degradation being the most important factor. Our analysis reveals complex spatial and temporal patterns of regional carbon storage. This study underscores the importance of considering carbon-nitrogen interactions when assessing regional and sub-regional impacts of global change policies.","container-title":"Nature Communications","DOI":"10.1038/s41467-019-10944-0","ISSN":"2041-1723","issue":"1","journalAbbreviation":"Nat Commun","language":"en","license":"2019 The Author(s)","note":"Bandiera_abtest: a\nCc_license_type: cc_by\nCg_type: Nature Research Journals\nnumber: 1\nPrimary_atype: Research\npublisher: Nature Publishing Group\nSubject_term: Carbon cycle;Environmental impact\nSubject_term_id: carbon-cycle;environmental-impact","page":"3024","source":"www.nature.com","title":"Future nitrogen availability and its effect on carbon sequestration in Northern Eurasia","volume":"10","author":[{"family":"Kicklighter","given":"David W."},{"family":"Melillo","given":"Jerry M."},{"family":"Monier","given":"Erwan"},{"family":"Sokolov","given":"Andrei P."},{"family":"Zhuang","given":"Qianlai"}],"issued":{"date-parts":[["2019",7,9]]}}},{"id":1209,"uris":["http://zotero.org/users/3110659/items/DP3K5JYL",["http://zotero.org/users/3110659/items/DP3K5JYL"]],"itemData":{"id":1209,"type":"article-journal","abstract":"In this study, we present estimated ranges in carbon (C) sequestration per kg nitrogen (N) addition in above-ground biomass and in soil organic matter for forests and heathlands, based on: (i) empirical relations between spatial patterns of carbon uptake and influencing environmental factors including nitrogen deposition (forests only), (ii) 15N field experiments, (iii) long-term low-dose N fertilizer experiments and (iv) results from ecosystem models. The results of the various studies are in close agreement and show that above-ground accumulation of carbon in forests is generally within the range 15–40kgC/kgN. For heathlands, a range of 5–15kgC/kgN has been observed based on low-dose N fertilizer experiments. The uncertainty in C sequestration per kgN addition in soils is larger than for above-ground biomass and varies on average between 5 and 35kgC/kgN for both forests and heathlands. All together these data indicate a total carbon sequestration range of 5–75kgC/kgN deposition for forest and heathlands, with a most common range of 20–40kgC/kgN. Results cannot be extrapolated to systems with very high N inputs, nor to other ecosystems, such as peatlands, where the impact of N is much more variable, and may range from C sequestration to C losses.","collection-title":"The relative importance of nitrogen deposition and climate change on the sequestration of carbon by forests in Europe.","container-title":"Forest Ecology and Management","DOI":"10.1016/j.foreco.2009.02.034","ISSN":"0378-1127","issue":"8","journalAbbreviation":"Forest Ecology and Management","language":"en","page":"1814-1823","source":"ScienceDirect","title":"The impact of nitrogen deposition on carbon sequestration by European forests and heathlands","volume":"258","author":[{"family":"Vries","given":"W.","non-dropping-particle":"de"},{"family":"Solberg","given":"S."},{"family":"Dobbertin","given":"M."},{"family":"Sterba","given":"H."},{"family":"Laubhann","given":"D."},{"family":"Oijen","given":"M.","non-dropping-particle":"van"},{"family":"Evans","given":"C."},{"family":"Gundersen","given":"P."},{"family":"Kros","given":"J."},{"family":"Wamelink","given":"G. W. W."},{"family":"Reinds","given":"G. J."},{"family":"Sutton","given":"M. A."}],"issued":{"date-parts":[["2009",9,25]]}}},{"id":587,"uris":["http://zotero.org/users/3110659/items/X96AFDEI",["http://zotero.org/users/3110659/items/X96AFDEI"]],"itemData":{"id":587,"type":"article-journal","abstract":"Nitrogen (N) deposition in China may increase due to urbanization and economic growth. Current research has considered the ecological significance under the assumption of increasing N deposition. Atmospheric N deposition tending toward levelling or declining has been observed in China. Such potential recovery and responses of high N loads ecosystems under decreasing atmospheric N deposition scenarios have yet to be adequately investigated. This work reviews existing literature to consider possible responses of carbon (C) sequestration, biodiversity and species composition, soil acidification, and greenhouse emissions in ecosystems responding to recent patterns of N deposition. Potential effects of N composition and internal ratios may be further explored through state-of-the-art N addition experiments and model development.","container-title":"Environmental Pollution","DOI":"10.1016/j.envpol.2019.113739","ISSN":"0269-7491","journalAbbreviation":"Environmental Pollution","language":"en","page":"113739","source":"ScienceDirect","title":"Potential transition in the effects of atmospheric nitrogen deposition in China","volume":"258","author":[{"family":"Zhu","given":"Jianxing"},{"family":"Chen","given":"Zhi"},{"family":"Wang","given":"Qiufeng"},{"family":"Xu","given":"Li"},{"family":"He","given":"Niangpeng"},{"family":"Jia","given":"Yanlong"},{"family":"Zhang","given":"Qiongyu"},{"family":"Yu","given":"Guirui"}],"issued":{"date-parts":[["2020",3,1]]}}}],"schema":"https://github.com/citation-style-language/schema/raw/master/csl-citation.json"} </w:instrText>
      </w:r>
      <w:r w:rsidRPr="008E4EFB">
        <w:fldChar w:fldCharType="separate"/>
      </w:r>
      <w:r w:rsidRPr="008E4EFB">
        <w:t>(Kicklighter et al., 2019; de Vries et al., 2009; Zhu et al., 2020)</w:t>
      </w:r>
      <w:r w:rsidRPr="008E4EFB">
        <w:fldChar w:fldCharType="end"/>
      </w:r>
      <w:r w:rsidRPr="008E4EFB">
        <w:t xml:space="preserve">, loss of biodiversity </w:t>
      </w:r>
      <w:r w:rsidRPr="008E4EFB">
        <w:fldChar w:fldCharType="begin"/>
      </w:r>
      <w:r w:rsidR="0004467C" w:rsidRPr="008E4EFB">
        <w:instrText xml:space="preserve"> ADDIN ZOTERO_ITEM CSL_CITATION {"citationID":"DNE4wETV","properties":{"formattedCitation":"(C. M. Clark et al., 2013; Dise &amp; Stevens, 2005)","plainCitation":"(C. M. Clark et al., 2013; Dise &amp; Stevens, 2005)","noteIndex":0},"citationItems":[{"id":1251,"uris":["http://zotero.org/users/3110659/items/BBKRU2C8",["http://zotero.org/users/3110659/items/BBKRU2C8"]],"itemData":{"id":1251,"type":"chapter","container-title":"Encyclopedia of Biodiversity","ISBN":"978-0-12-384720-1","language":"en","note":"DOI: 10.1016/B978-0-12-384719-5.00366-X","page":"519-536","publisher":"Elsevier","source":"DOI.org (Crossref)","title":"Nitrogen Deposition and Terrestrial Biodiversity","URL":"https://linkinghub.elsevier.com/retrieve/pii/B978012384719500366X","author":[{"family":"Clark","given":"Christopher M."},{"family":"Bai","given":"Yongfei"},{"family":"Bowman","given":"William D."},{"family":"Cowles","given":"Jane M."},{"family":"Fenn","given":"Mark E."},{"family":"Gilliam","given":"Frank S."},{"family":"Phoenix","given":"Gareth K."},{"family":"Siddique","given":"Ilyas"},{"family":"Stevens","given":"Carly J."},{"family":"Sverdrup","given":"Harald U."},{"family":"Throop","given":"Heather L."}],"accessed":{"date-parts":[["2021",2,18]]},"issued":{"date-parts":[["2013"]]}}},{"id":1248,"uris":["http://zotero.org/users/3110659/items/G93NJHK5",["http://zotero.org/users/3110659/items/G93NJHK5"]],"itemData":{"id":1248,"type":"article-journal","abstract":"Biodiversity is thought to be essential for ecosystem stability, function and long-term sustainability. Since nitrogen is the limiting nutrient for plant growth in many terrestrial ecosystems, reactive nitrogen has the potential to reduce the diversity of terrestrial vegetation and associated biota through favouring species adapted to quickly exploiting available nutrients. Although the potential has long been recognised, only recently has enough evidence come together to show beyond reasonable doubt that these changes are already occurring. Linked together, experimental, regional/empirical, and time-series research provide a powerful argument that enhanced deposition of reactive nitrogen across Great Britain, and potentially the rest of Europe, has resulted in a significant and ongoing decline in grassland species richness and diversity.","container-title":"Science in China Series C: Life Sciences","DOI":"10.1007/BF03187112","ISSN":"1862-2798","issue":"2","journalAbbreviation":"Sci. China Ser. C.-Life Sci.","language":"en","page":"720-728","source":"Springer Link","title":"Nitrogen deposition and reduction of terrestrial biodiversity: Evidence from temperate grasslands","title-short":"Nitrogen deposition and reduction of terrestrial biodiversity","volume":"48","author":[{"family":"Dise","given":"Nancy B."},{"family":"Stevens","given":"J."}],"issued":{"date-parts":[["2005",9,1]]}}}],"schema":"https://github.com/citation-style-language/schema/raw/master/csl-citation.json"} </w:instrText>
      </w:r>
      <w:r w:rsidRPr="008E4EFB">
        <w:fldChar w:fldCharType="separate"/>
      </w:r>
      <w:r w:rsidR="0004467C" w:rsidRPr="008E4EFB">
        <w:t>(C. M. Clark et al., 2013; Dise &amp; Stevens, 2005)</w:t>
      </w:r>
      <w:r w:rsidRPr="008E4EFB">
        <w:fldChar w:fldCharType="end"/>
      </w:r>
      <w:r w:rsidRPr="008E4EFB">
        <w:t xml:space="preserve">, and soil acidification </w:t>
      </w:r>
      <w:r w:rsidRPr="008E4EFB">
        <w:fldChar w:fldCharType="begin"/>
      </w:r>
      <w:r w:rsidRPr="008E4EFB">
        <w:instrText xml:space="preserve"> ADDIN ZOTERO_ITEM CSL_CITATION {"citationID":"JzXfr55a","properties":{"formattedCitation":"(Bowman et al., 2008)","plainCitation":"(Bowman et al., 2008)","noteIndex":0},"citationItems":[{"id":1244,"uris":["http://zotero.org/users/3110659/items/MIW29BZV",["http://zotero.org/users/3110659/items/MIW29BZV"]],"itemData":{"id":1244,"type":"article-journal","abstract":"Sustained nitrogen deposition has had a detrimental effect on ecosystems in Europe and North America. Now a grassland in Slovakia is showing symptoms of extreme soil acidification not previously observed in association with nitrogen deposition.","container-title":"Nature Geoscience","DOI":"10.1038/ngeo339","ISSN":"1752-0908","issue":"11","language":"en","license":"2008 Nature Publishing Group","note":"number: 11\npublisher: Nature Publishing Group","page":"767-770","source":"www.nature.com","title":"Negative impact of nitrogen deposition on soil buffering capacity","volume":"1","author":[{"family":"Bowman","given":"William D."},{"family":"Cleveland","given":"Cory C."},{"family":"Halada","given":"Ĺuboš"},{"family":"Hreško","given":"Juraj"},{"family":"Baron","given":"Jill S."}],"issued":{"date-parts":[["2008",11]]}}}],"schema":"https://github.com/citation-style-language/schema/raw/master/csl-citation.json"} </w:instrText>
      </w:r>
      <w:r w:rsidRPr="008E4EFB">
        <w:fldChar w:fldCharType="separate"/>
      </w:r>
      <w:r w:rsidRPr="008E4EFB">
        <w:t>(Bowman et al., 2008)</w:t>
      </w:r>
      <w:r w:rsidRPr="008E4EFB">
        <w:fldChar w:fldCharType="end"/>
      </w:r>
      <w:r w:rsidRPr="008E4EFB">
        <w:t>. These impacts on human and ecosystem health are directly tied to many of the United Nations (UN)’s Sustainable Development Goals (SDGs)</w:t>
      </w:r>
      <w:r w:rsidRPr="008E4EFB">
        <w:fldChar w:fldCharType="begin"/>
      </w:r>
      <w:r w:rsidRPr="008E4EFB">
        <w:instrText xml:space="preserve"> ADDIN ZOTERO_ITEM CSL_CITATION {"citationID":"O7dehgD5","properties":{"formattedCitation":"(Elder &amp; Zusman, 2016; World Meteorological Organization, 2021)","plainCitation":"(Elder &amp; Zusman, 2016; World Meteorological Organization, 2021)","noteIndex":0},"citationItems":[{"id":159,"uris":["http://zotero.org/users/local/UDk7s0H0/items/BWQZBVJF",["http://zotero.org/users/local/UDk7s0H0/items/BWQZBVJF"],"http://zotero.org/users/3110659/items/BWQZBVJF"],"itemData":{"id":159,"type":"report","collection-title":"GAW Report","event-place":"Geneva, Switzerland","number":"269","page":"1-52","publisher":"World Meteorological Organization","publisher-place":"Geneva, Switzerland","title":"Measurement-Model Fusion for Global Total Atmospheric Deposition Initiative: Implementation Plan for 2021-2026","URL":"https://library.wmo.int/doc_num.php?explnum_id=10831","author":[{"family":"World Meteorological Organization","given":""}],"issued":{"date-parts":[["2021"]]}}},{"id":224,"uris":["http://zotero.org/users/local/UDk7s0H0/items/3AC2EQJ4",["http://zotero.org/users/local/UDk7s0H0/items/3AC2EQJ4"],"http://zotero.org/users/3110659/items/3AC2EQJ4"],"itemData":{"id":224,"type":"report","collection-title":"Policy Brief","genre":"Technical Report","number":"35","page":"11","publisher":"Institute for Global Environmental Strategies","title":"Strengthening the Linkages Between Air Pollution and the Sustainable Development Goals","URL":"https://www.researchgate.net/publication/305116520_Strengthening_The_Linkages_Between_Air_Pollution_And_The_Sustainable_Development_Goals","author":[{"family":"Elder","given":"Mark"},{"family":"Zusman","given":"Eric"}],"issued":{"date-parts":[["2016"]]}}}],"schema":"https://github.com/citation-style-language/schema/raw/master/csl-citation.json"} </w:instrText>
      </w:r>
      <w:r w:rsidRPr="008E4EFB">
        <w:fldChar w:fldCharType="separate"/>
      </w:r>
      <w:r w:rsidRPr="008E4EFB">
        <w:t>(Elder &amp; Zusman, 2016; World Meteorological Organization, 2021)</w:t>
      </w:r>
      <w:r w:rsidRPr="008E4EFB">
        <w:fldChar w:fldCharType="end"/>
      </w:r>
      <w:r w:rsidRPr="008E4EFB">
        <w:t xml:space="preserve">: reaching zero hunger (SDG 1) by increasing production yields, reducing premature mortality from poor air quality (SDG 3), providing clean water by reducing pollutants (SDG 6), managing aquatic resources and reducing acidification (SDG 14), and preserving terrestrial biodiversity (SDG 15) </w:t>
      </w:r>
      <w:r w:rsidRPr="008E4EFB">
        <w:fldChar w:fldCharType="begin"/>
      </w:r>
      <w:r w:rsidRPr="008E4EFB">
        <w:instrText xml:space="preserve"> ADDIN ZOTERO_ITEM CSL_CITATION {"citationID":"9tvcWdSV","properties":{"formattedCitation":"(World Meteorological Organization, 2021)","plainCitation":"(World Meteorological Organization, 2021)","noteIndex":0},"citationItems":[{"id":159,"uris":["http://zotero.org/users/local/UDk7s0H0/items/BWQZBVJF",["http://zotero.org/users/local/UDk7s0H0/items/BWQZBVJF"],"http://zotero.org/users/3110659/items/BWQZBVJF"],"itemData":{"id":159,"type":"report","collection-title":"GAW Report","event-place":"Geneva, Switzerland","number":"269","page":"1-52","publisher":"World Meteorological Organization","publisher-place":"Geneva, Switzerland","title":"Measurement-Model Fusion for Global Total Atmospheric Deposition Initiative: Implementation Plan for 2021-2026","URL":"https://library.wmo.int/doc_num.php?explnum_id=10831","author":[{"family":"World Meteorological Organization","given":""}],"issued":{"date-parts":[["2021"]]}}}],"schema":"https://github.com/citation-style-language/schema/raw/master/csl-citation.json"} </w:instrText>
      </w:r>
      <w:r w:rsidRPr="008E4EFB">
        <w:fldChar w:fldCharType="separate"/>
      </w:r>
      <w:r w:rsidRPr="008E4EFB">
        <w:t>(World Meteorological Organization, 2021)</w:t>
      </w:r>
      <w:r w:rsidRPr="008E4EFB">
        <w:fldChar w:fldCharType="end"/>
      </w:r>
      <w:r w:rsidRPr="008E4EFB">
        <w:t xml:space="preserve">. </w:t>
      </w:r>
    </w:p>
    <w:p w14:paraId="3D05F48C" w14:textId="77777777" w:rsidR="005C37EF" w:rsidRPr="008E4EFB" w:rsidRDefault="005C37EF" w:rsidP="00DC4266">
      <w:pPr>
        <w:pStyle w:val="Text"/>
        <w:spacing w:before="0" w:line="360" w:lineRule="auto"/>
        <w:ind w:firstLine="0"/>
      </w:pPr>
      <w:r w:rsidRPr="008E4EFB">
        <w:t xml:space="preserve">The World Meteorological Organization (WMO) aims to meet the United Nation’s 2030 Agenda for Sustainable Development by coordinating global climate science initiatives. In order for the WMO and individual communities to make informed decisions regarding sustainability, high-quality regional maps of deposition and an effective methodology for ongoing monitoring are necessary. That does not exist in much of the world due to the lack of long-term measurements.  </w:t>
      </w:r>
    </w:p>
    <w:p w14:paraId="288370D5" w14:textId="061F5DE4" w:rsidR="005C37EF" w:rsidRPr="008E4EFB" w:rsidRDefault="005C37EF" w:rsidP="00DC4266">
      <w:pPr>
        <w:pStyle w:val="Text"/>
        <w:spacing w:before="0" w:line="360" w:lineRule="auto"/>
        <w:ind w:firstLine="0"/>
      </w:pPr>
      <w:r w:rsidRPr="008E4EFB">
        <w:t xml:space="preserve">While measurement-model fusion can help to improve model estimates of deposition </w:t>
      </w:r>
      <w:r w:rsidRPr="008E4EFB">
        <w:fldChar w:fldCharType="begin"/>
      </w:r>
      <w:r w:rsidRPr="008E4EFB">
        <w:instrText xml:space="preserve"> ADDIN ZOTERO_ITEM CSL_CITATION {"citationID":"ZdZGBeZn","properties":{"formattedCitation":"(Rubin et al., 2023)","plainCitation":"(Rubin et al., 2023)","noteIndex":0},"citationItems":[{"id":2721,"uris":["http://zotero.org/users/3110659/items/VR74LMWR"],"itemData":{"id":2721,"type":"article-journal","abstract":"Global reactive nitrogen (N) deposition has more than tripled since 1860 and is expected to remain high due to food production and fossil fuel consumption. Global sulfur emissions have been decreasing worldwide over the last 30 years, but many regions are still experiencing unhealthily high levels of deposition. We update the 2010 global deposition budget for reactive nitrogen and sulfur components with new regional wet deposition measurements from Asia, improving the ensemble results of 11 global chemistry transport models from the second phase of the United Nations Economic Commission for Europe's Task Force on Hemispheric Transport of Air Pollution (HTAP II). The observationally adjusted global N deposition budget is 114.5 Tg N, representing a minor increase of 1 % from the model-only derived values, and the adjusted global sulfur deposition budget is 88.9 Tg S, representing a 6.5 % increase from the modeled values, using an interpolation distance of 2.5</w:instrText>
      </w:r>
      <w:r w:rsidRPr="008E4EFB">
        <w:rPr>
          <w:rFonts w:ascii="Cambria Math" w:hAnsi="Cambria Math" w:cs="Cambria Math"/>
        </w:rPr>
        <w:instrText>∘</w:instrText>
      </w:r>
      <w:r w:rsidRPr="008E4EFB">
        <w:instrText xml:space="preserve">. Regionally, deposition adjustments can be up to </w:instrText>
      </w:r>
      <w:r w:rsidRPr="008E4EFB">
        <w:rPr>
          <w:rFonts w:ascii="Cambria Math" w:hAnsi="Cambria Math" w:cs="Cambria Math"/>
        </w:rPr>
        <w:instrText>∼</w:instrText>
      </w:r>
      <w:r w:rsidRPr="008E4EFB">
        <w:instrText xml:space="preserve"> 73 % for nitrogen and 112 % for sulfur. Our study demonstrates that a global measurement–model fusion approach can improve N and S deposition model estimates at a regional scale, with sufficient availability of observations; however, in large parts of the world, alternative approaches need to be explored. The analysis presented here represents a step forward toward the World Meteorological Organization's goal of global fusion products for accurately mapping harmful air pollution deposition.","container-title":"Atmospheric Chemistry and Physics","DOI":"10.5194/acp-23-7091-2023","ISSN":"1680-7316","issue":"12","language":"English","note":"publisher: Copernicus GmbH","page":"7091-7102","source":"Copernicus Online Journals","title":"Global nitrogen and sulfur deposition mapping using a measurement–model fusion approach","volume":"23","author":[{"family":"Rubin","given":"Hannah J."},{"family":"Fu","given":"Joshua S."},{"family":"Dentener","given":"Frank"},{"family":"Li","given":"Rui"},{"family":"Huang","given":"Kan"},{"family":"Fu","given":"Hongbo"}],"issued":{"date-parts":[["2023",6,27]]}}}],"schema":"https://github.com/citation-style-language/schema/raw/master/csl-citation.json"} </w:instrText>
      </w:r>
      <w:r w:rsidRPr="008E4EFB">
        <w:fldChar w:fldCharType="separate"/>
      </w:r>
      <w:r w:rsidRPr="008E4EFB">
        <w:t>(Rubin et al., 2023)</w:t>
      </w:r>
      <w:r w:rsidRPr="008E4EFB">
        <w:fldChar w:fldCharType="end"/>
      </w:r>
      <w:r w:rsidRPr="008E4EFB">
        <w:t xml:space="preserve">, much of the world does not have consistent, long-term measurements from monitoring networks available to fuse with model outputs. The addition of satellite data can help expand coverage even as it introduces more complexity </w:t>
      </w:r>
      <w:r w:rsidRPr="008E4EFB">
        <w:fldChar w:fldCharType="begin"/>
      </w:r>
      <w:r w:rsidRPr="008E4EFB">
        <w:instrText xml:space="preserve"> ADDIN ZOTERO_ITEM CSL_CITATION {"citationID":"bpomN56H","properties":{"formattedCitation":"(Geddes &amp; Martin, 2017)","plainCitation":"(Geddes &amp; Martin, 2017)","noteIndex":0},"citationItems":[{"id":47,"uris":["http://zotero.org/users/3110659/items/P5KYNYXJ"],"itemData":{"id":47,"type":"article-journal","abstract":"&lt;p&gt;&lt;strong class=\"journal-contentHeaderColor\"&gt;Abstract.&lt;/strong&gt; Reactive nitrogen oxides (NO&lt;sub&gt;&lt;i&gt;y&lt;/i&gt;&lt;/sub&gt;) are a major constituent of the nitrogen deposited from the atmosphere, but observational constraints on their deposition are limited by poor or nonexistent measurement coverage in many parts of the world. Here we apply NO&lt;sub&gt;2&lt;/sub&gt; observations from multiple satellite instruments (GOME, SCIAMACHY, and GOME-2) to constrain the global deposition of NO&lt;sub&gt;&lt;i&gt;y&lt;/i&gt;&lt;/sub&gt; over the last 2 decades. We accomplish this by producing top-down estimates of NO&lt;sub&gt;&lt;i&gt;x&lt;/i&gt;&lt;/sub&gt; emissions from inverse modeling of satellite NO&lt;sub&gt;2&lt;/sub&gt; columns over 1996–2014, and including these emissions in the GEOS-Chem chemical transport model to simulate chemistry, transport, and deposition of NO&lt;sub&gt;&lt;i&gt;y&lt;/i&gt;&lt;/sub&gt;. Our estimates of long-term mean wet nitrate (NO&lt;sub&gt;3&lt;/sub&gt;&lt;sup&gt;−&lt;/sup&gt;) deposition are highly consistent with available measurements in North America, Europe, and East Asia combined (&lt;i&gt;r&lt;/i&gt; = 0.83, normalized mean bias = −7 %, &lt;i&gt;N&lt;/i&gt; = 136). Likewise, our calculated trends in wet NO&lt;sub&gt;3&lt;/sub&gt;&lt;sup&gt;−&lt;/sup&gt; deposition are largely consistent with the measurements, with 129 of the 136 gridded model–data pairs sharing overlapping 95 % confidence intervals. We find that global mean NO&lt;sub&gt;&lt;i&gt;y&lt;/i&gt;&lt;/sub&gt; deposition over 1996–2014 is 56.0 Tg N yr&lt;sup&gt;−1&lt;/sup&gt;, with a minimum in 2006 of 50.5 Tg N and a maximum in 2012 of 60.8 Tg N. Regional trends are large, with opposing signs in different parts of the world. Over 1996 to 2014, NO&lt;sub&gt;&lt;i&gt;y&lt;/i&gt;&lt;/sub&gt; deposition decreased by up to 60 % in eastern North America, doubled in regions of East Asia, and declined by 20 % in parts of western Europe. About 40 % of the global NO&lt;sub&gt;&lt;i&gt;y&lt;/i&gt;&lt;/sub&gt; deposition occurs over oceans, with deposition to the North Atlantic Ocean declining and deposition to the northwestern Pacific Ocean increasing. Using the residual between NO&lt;sub&gt;&lt;i&gt;x&lt;/i&gt;&lt;/sub&gt; emissions and NO&lt;sub&gt;&lt;i&gt;y&lt;/i&gt;&lt;/sub&gt; deposition over specific land regions, we investigate how NO&lt;sub&gt;&lt;i&gt;x&lt;/i&gt;&lt;/sub&gt; export via atmospheric transport has changed over the last 2 decades. Net export from the continental United States decreased substantially, from 2.9 Tg N yr&lt;sup&gt;−1&lt;/sup&gt; in 1996 to 1.5 Tg N yr&lt;sup&gt;−1&lt;/sup&gt; in 2014. Export from China more than tripled between 1996 and 2011 (from 1.0 to 3.5 Tg N yr&lt;sup&gt;−1&lt;/sup&gt;), before a striking decline to 2.5 Tg N yr&lt;sup&gt;−1&lt;/sup&gt; by 2014. We find that declines in NO&lt;sub&gt;&lt;i&gt;x&lt;/i&gt;&lt;/sub&gt; export from some western European countries have counteracted increases in emissions from neighboring countries to the east. A sensitivity study indicates that simulated NO&lt;sub&gt;&lt;i&gt;y&lt;/i&gt;&lt;/sub&gt; deposition is robust to uncertainties in NH&lt;sub&gt;3&lt;/sub&gt; emissions with a few exceptions. Our novel long-term study provides timely context on the rapid redistribution of atmospheric nitrogen transport and subsequent deposition to ecosystems around the world.&lt;/p&gt;","container-title":"Atmospheric Chemistry and Physics","DOI":"10.5194/acp-17-10071-2017","ISSN":"1680-7316","issue":"16","language":"English","note":"publisher: Copernicus GmbH","page":"10071-10091","source":"acp.copernicus.org","title":"Global deposition of total reactive nitrogen oxides from 1996 to 2014 constrained with satellite observations of NO&lt;sub&gt;2&lt;/sub&gt; columns","volume":"17","author":[{"family":"Geddes","given":"Jeffrey A."},{"family":"Martin","given":"Randall V."}],"issued":{"date-parts":[["2017",8,29]]}}}],"schema":"https://github.com/citation-style-language/schema/raw/master/csl-citation.json"} </w:instrText>
      </w:r>
      <w:r w:rsidRPr="008E4EFB">
        <w:fldChar w:fldCharType="separate"/>
      </w:r>
      <w:r w:rsidRPr="008E4EFB">
        <w:t>(Geddes &amp; Martin, 2017)</w:t>
      </w:r>
      <w:r w:rsidRPr="008E4EFB">
        <w:fldChar w:fldCharType="end"/>
      </w:r>
      <w:r w:rsidRPr="008E4EFB">
        <w:t>. Because satellites measure the total column density of the portion of the Earth they observe, it is necessary to have some method of inferring deposition at the surface level from the entire column. Recent efforts to estimate wet sulfur deposition from OMI SO</w:t>
      </w:r>
      <w:r w:rsidRPr="008E4EFB">
        <w:rPr>
          <w:vertAlign w:val="subscript"/>
        </w:rPr>
        <w:t>2</w:t>
      </w:r>
      <w:r w:rsidRPr="008E4EFB">
        <w:t xml:space="preserve"> columns combined monthly precipitation, in situ deposition measurements and a statistical model of the scavenging ratio by geographic region </w:t>
      </w:r>
      <w:r w:rsidRPr="008E4EFB">
        <w:fldChar w:fldCharType="begin"/>
      </w:r>
      <w:r w:rsidR="0004467C" w:rsidRPr="008E4EFB">
        <w:instrText xml:space="preserve"> ADDIN ZOTERO_ITEM CSL_CITATION {"citationID":"VJApkG7k","properties":{"formattedCitation":"(L. Liu et al., 2021)","plainCitation":"(L. Liu et al., 2021)","noteIndex":0},"citationItems":[{"id":105,"uris":["http://zotero.org/users/local/UDk7s0H0/items/2ZYI6DCV",["http://zotero.org/users/local/UDk7s0H0/items/2ZYI6DCV"],"http://zotero.org/users/3110659/items/2ZYI6DCV"],"itemData":{"id":105,"type":"article-journal","abstract":"Wet-reduced nitrogen (NH4+) is the main component of atmospheric nitrogen (N) deposition. Due to the poor coverage of ground-based measurements, it is still challenging to characterize the global wet-reduced NH4+ deposition. Here we utilize NH3 measurements from satellite retrievals (Infrared Atmospheric Sounding Interferometer) to estimate global wet NH4+ deposition at 0.1° grids for nine years (2008–2016). We achieve this by developing a novel approach by calculating the feedback ratio between wet NH4+ concentration in precipitation and atmospheric NH3 columns using a global chemistry transport model (GEOS-Chem). Satellite-based wet NH4+ concentration and deposition is relatively highly correlated with the ground-based measurements (r = 0.88 and bias = 12% for wet deposition). The largest increase in the satellite-derived wet NH4+ deposition occurs in southern China (&gt;0.5 kg N ha−1 yr−1), followed by northeastern India, North America, and Western Europe. The proposed method is simple, fast, and effective in estimating wet NH4+ deposition using the satellite observations without depending on the ground-based measurements for constructing the models. It is particularly helpful in estimating wet NH4+ deposition over regions with few monitoring sites. Our unique satellite-derived wet NH4+ deposition can be applied for evaluating its impacts on ecosystems in the future.","container-title":"Journal of Geophysical Research: Atmospheres","DOI":"10.1029/2020JD033977","ISSN":"2169-8996","issue":"4","language":"en","note":"_eprint: https://agupubs.onlinelibrary.wiley.com/doi/pdf/10.1029/2020JD033977","page":"e2020JD033977","source":"Wiley Online Library","title":"Global Wet-Reduced Nitrogen Deposition Derived From Combining Satellite Measurements With Output From a Chemistry Transport Model","volume":"126","author":[{"family":"Liu","given":"Lei"},{"family":"Yang","given":"Yuyu"},{"family":"Xi","given":"Ruipeng"},{"family":"Zhang","given":"Xiuying"},{"family":"Xu","given":"Wen"},{"family":"Liu","given":"Xuejun"},{"family":"Li","given":"Yi"},{"family":"Liu","given":"Pu"},{"family":"Wang","given":"Zhen"}],"issued":{"date-parts":[["2021"]]}},"label":"page"}],"schema":"https://github.com/citation-style-language/schema/raw/master/csl-citation.json"} </w:instrText>
      </w:r>
      <w:r w:rsidRPr="008E4EFB">
        <w:fldChar w:fldCharType="separate"/>
      </w:r>
      <w:r w:rsidR="0004467C" w:rsidRPr="008E4EFB">
        <w:t>(L. Liu et al., 2021)</w:t>
      </w:r>
      <w:r w:rsidRPr="008E4EFB">
        <w:fldChar w:fldCharType="end"/>
      </w:r>
      <w:r w:rsidRPr="008E4EFB">
        <w:t xml:space="preserve">. This straightforward approach emphasizes the importance of both precipitation and seasonality in calculating wet </w:t>
      </w:r>
      <w:proofErr w:type="gramStart"/>
      <w:r w:rsidRPr="008E4EFB">
        <w:t>deposition</w:t>
      </w:r>
      <w:proofErr w:type="gramEnd"/>
      <w:r w:rsidRPr="008E4EFB">
        <w:t xml:space="preserve"> but is perhaps too narrowly focused to be immediately applicable to other study regions. Another approach with satellite-based wet NH</w:t>
      </w:r>
      <w:r w:rsidRPr="008E4EFB">
        <w:rPr>
          <w:vertAlign w:val="subscript"/>
        </w:rPr>
        <w:t>4</w:t>
      </w:r>
      <w:r w:rsidRPr="008E4EFB">
        <w:rPr>
          <w:vertAlign w:val="superscript"/>
        </w:rPr>
        <w:t xml:space="preserve">+ </w:t>
      </w:r>
      <w:r w:rsidRPr="008E4EFB">
        <w:lastRenderedPageBreak/>
        <w:t xml:space="preserve">deposition estimates in China used GEOS-Chem, a 3-D chemistry transport model to calculate the ratio between atmospheric concentration and wet deposition </w:t>
      </w:r>
      <w:r w:rsidRPr="008E4EFB">
        <w:fldChar w:fldCharType="begin"/>
      </w:r>
      <w:r w:rsidRPr="008E4EFB">
        <w:instrText xml:space="preserve"> ADDIN ZOTERO_ITEM CSL_CITATION {"citationID":"4sHR4ug2","properties":{"formattedCitation":"(X. Y. Zhang et al., 2018)","plainCitation":"(X. Y. Zhang et al., 2018)","noteIndex":0},"citationItems":[{"id":119,"uris":["http://zotero.org/users/3110659/items/RZGS6FLF"],"itemData":{"id":119,"type":"article-journal","abstract":"Long-term (from 2005 to 2016) trends in wet SO42− deposition across China are assessed using Ozone Monitoring Instrument (OMI) SO2 columns within the planetary boundary layer. The models for estimating monthly SO42− deposition from precipitation in eight ecological regions are constructed based on SO2 columns and ground-based measurements. An accuracy assessment shows that the models achieve highly precise predictive values for monthly deposition (R = 0.93, with a relative/absolute error of −0.1/0.3 kg S · ha−1 · month−1). In terms of spatial distribution, SO42− deposition shows substantial variations across China, ranging from 0.9 to 63.9 kg S · ha−1 · year−1, with an average of 10.4 kg S · ha−1 · year−1. Additionally, wet SO42− deposition shows significant seasonal variations, increasing from January to July and then decreasing thereafter. Regarding long-term trends, the wet SO42− deposition in northern, central, and southern China decreased at rates of 0.009, 0.001, and 0.0009 kg S · ha−1 · month−1, respectively. In contrast, Inner Mongolia, Qinghai-Tibet, and northwest and northeast China showed increasing deposition trends. In general, the wet SO42− deposition in 2016 decreased by 4.3% from that in 2005 on a national scale, indicating that air quality policies to control SO2 emissions have had some effects on wet SO42− deposition.","container-title":"Journal of Geophysical Research: Atmospheres","DOI":"10.1029/2018JD028770","ISSN":"2169-8996","issue":"18","language":"en","note":"_eprint: https://agupubs.onlinelibrary.wiley.com/doi/pdf/10.1029/2018JD028770","page":"10,796-10,811","source":"Wiley Online Library","title":"Decadal Trends in Wet Sulfur Deposition in China Estimated From OMI SO2 Columns","volume":"123","author":[{"family":"Zhang","given":"X. Y."},{"family":"Chuai","given":"X. W."},{"family":"Liu","given":"L."},{"family":"Zhang","given":"W. T."},{"family":"Lu","given":"X. H."},{"family":"Zhao","given":"L. M."},{"family":"Chen","given":"D. M."}],"issued":{"date-parts":[["2018"]]}}}],"schema":"https://github.com/citation-style-language/schema/raw/master/csl-citation.json"} </w:instrText>
      </w:r>
      <w:r w:rsidRPr="008E4EFB">
        <w:fldChar w:fldCharType="separate"/>
      </w:r>
      <w:r w:rsidRPr="008E4EFB">
        <w:t>(X. Y. Zhang et al., 2018)</w:t>
      </w:r>
      <w:r w:rsidRPr="008E4EFB">
        <w:fldChar w:fldCharType="end"/>
      </w:r>
      <w:r w:rsidRPr="008E4EFB">
        <w:t>. This method, however, results in coarse-resolution output - 2° by 2.5° - which does not improve upon the HTAP II horizontal resolution. Instead, we follow an approach adapted from research on estimating PM</w:t>
      </w:r>
      <w:r w:rsidRPr="008E4EFB">
        <w:rPr>
          <w:vertAlign w:val="subscript"/>
        </w:rPr>
        <w:t>2.5</w:t>
      </w:r>
      <w:r w:rsidRPr="008E4EFB">
        <w:t xml:space="preserve"> concentrations with satellite-based aerosol optical depth (AOD) in China </w:t>
      </w:r>
      <w:r w:rsidRPr="008E4EFB">
        <w:fldChar w:fldCharType="begin"/>
      </w:r>
      <w:r w:rsidRPr="008E4EFB">
        <w:instrText xml:space="preserve"> ADDIN ZOTERO_ITEM CSL_CITATION {"citationID":"umsg7cCi","properties":{"formattedCitation":"(Chen et al., 2018; Guan et al., 2023; Wei et al., 2019)","plainCitation":"(Chen et al., 2018; Guan et al., 2023; Wei et al., 2019)","noteIndex":0},"citationItems":[{"id":3636,"uris":["http://zotero.org/users/3110659/items/5XKTSYPU"],"itemData":{"id":3636,"type":"article-journal","abstract":"Background\nMachine learning algorithms have very high predictive ability. However, no study has used machine learning to estimate historical concentrations of PM2.5 (particulate matter with aerodynamic diameter ≤ 2.5 μm) at daily time scale in China at a national level.\nObjectives\nTo estimate daily concentrations of PM2.5 across China during 2005–2016.\nMethods\nDaily ground-level PM2.5 data were obtained from 1479 stations across China during 2014–2016. Data on aerosol optical depth (AOD), meteorological conditions and other predictors were downloaded. A random forests model (non-parametric machine learning algorithms) and two traditional regression models were developed to estimate ground-level PM2.5 concentrations. The best-fit model was then utilized to estimate the daily concentrations of PM2.5 across China with a resolution of 0.1° (≈10 km) during 2005–2016.\nResults\nThe daily random forests model showed much higher predictive accuracy than the other two traditional regression models, explaining the majority of spatial variability in daily PM2.5 [10-fold cross-validation (CV) R2 = 83%, root mean squared prediction error (RMSE) = 28.1 μg/m3]. At the monthly and annual time-scale, the explained variability of average PM2.5 increased up to 86% (RMSE = 10.7 μg/m3 and 6.9 μg/m3, respectively).\nConclusions\nTaking advantage of a novel application of modeling framework and the most recent ground-level PM2.5 observations, the machine learning method showed higher predictive ability than previous studies.\nCapsule\nRandom forests approach can be used to estimate historical exposure to PM2.5 in China with high accuracy.","container-title":"Science of The Total Environment","DOI":"10.1016/j.scitotenv.2018.04.251","ISSN":"0048-9697","journalAbbreviation":"Science of The Total Environment","page":"52-60","source":"ScienceDirect","title":"A machine learning method to estimate PM2.5 concentrations across China with remote sensing, meteorological and land use information","volume":"636","author":[{"family":"Chen","given":"Gongbo"},{"family":"Li","given":"Shanshan"},{"family":"Knibbs","given":"Luke D."},{"family":"Hamm","given":"N. A. S."},{"family":"Cao","given":"Wei"},{"family":"Li","given":"Tiantian"},{"family":"Guo","given":"Jianping"},{"family":"Ren","given":"Hongyan"},{"family":"Abramson","given":"Michael J."},{"family":"Guo","given":"Yuming"}],"issued":{"date-parts":[["2018",9,15]]}},"label":"page"},{"id":3634,"uris":["http://zotero.org/users/3110659/items/DMSQLZS4"],"itemData":{"id":3634,"type":"article-journal","abstract":"China has experienced persistent fine particulate matter (PM2.5) pollution for the past few years, which adversely affects both physical and mental health. The availability of high-accuracy and full-coverage PM2.5 products will be of substantial value in formulating effective policies to combat and regulate PM2.5 pollution. Therefore, we have developed a similarity distance-based space-time random forest (SDSTRF) model to estimate daily PM2.5 concentrations over China by integrating surface measurements, satellite aerosol products, meteorological data, and auxiliary information. The proposed model not only accounts for spatial-temporal heterogeneity, but also uses the similarity distance to avoid errors caused by outliers. It has undergone rigorous validation through three different cross-validation (CV) approaches and has shown high and stable accuracy, particularly in the site-based CV with a coefficient of determination (R2) of 0.87, and a root mean square error (RMSE) of 10.68 μg/m3, along with a relative RMSE (rRMSE) of 27.48%. In addition, the leave-out data are predicted to determine if the SDSTRF model is accurate in its predictive power, which achieves an impressive site-based CV R2 of 0.80 and an RMSE of 12.89 μg/m3, along with an rRMSE of 33.01%. The results from a variety of validation approaches strongly indicate that the SDSTRF model can provide accurate estimation of PM2.5 concentrations at different time scales and outperform many other space-time models by incorporating similarity distance. The proposed model would be a promising application in air pollution studies with remote sensing.","container-title":"Atmospheric Environment","DOI":"10.1016/j.atmosenv.2023.120043","ISSN":"1352-2310","journalAbbreviation":"Atmospheric Environment","page":"120043","source":"ScienceDirect","title":"A similarity distance-based space-time random forest model for estimating PM2.5 concentrations over China","volume":"313","author":[{"family":"Guan","given":"Shikang"},{"family":"Zhang","given":"Xiaotong"},{"family":"Zhao","given":"Wenbo"},{"family":"Duan","given":"Yanjun"},{"family":"Yang","given":"Shuyue"},{"family":"Yao","given":"Yunjun"},{"family":"Jia","given":"Kun"}],"issued":{"date-parts":[["2023",11,15]]}}},{"id":3662,"uris":["http://zotero.org/users/3110659/items/WKDD8QCC"],"itemData":{"id":3662,"type":"article-journal","container-title":"Remote Sensing of Environment","DOI":"DOI:10.1016/j.rse.2019.111221","issue":"1112221","title":"Estimating 1-km-resolution PM2.5 concentrations across China using the space-time random forest approach","volume":"231","author":[{"family":"Wei","given":"Jing"},{"family":"Huang","given":"Wei"},{"family":"Li","given":"Zhanqing"},{"family":"Xue","given":"Wenhao"},{"family":"Peng","given":"Yiran"},{"family":"Sun","given":"Lin"},{"family":"Cribb","given":"Maureen"}],"issued":{"date-parts":[["2019"]]}}}],"schema":"https://github.com/citation-style-language/schema/raw/master/csl-citation.json"} </w:instrText>
      </w:r>
      <w:r w:rsidRPr="008E4EFB">
        <w:fldChar w:fldCharType="separate"/>
      </w:r>
      <w:r w:rsidRPr="008E4EFB">
        <w:t>(Chen et al., 2018; Guan et al., 2023; Wei et al., 2019)</w:t>
      </w:r>
      <w:r w:rsidRPr="008E4EFB">
        <w:fldChar w:fldCharType="end"/>
      </w:r>
      <w:r w:rsidRPr="008E4EFB">
        <w:t xml:space="preserve">. The space-time random forest model explicitly incorporates spatial and temporal information to improve model performance and leverage the broad spatial coverage of satellite measurements without explicitly needing to develop a statistical relationship between column density and ground-level concentration. </w:t>
      </w:r>
    </w:p>
    <w:p w14:paraId="4346FCDA" w14:textId="625A89CB" w:rsidR="005C37EF" w:rsidRPr="008E4EFB" w:rsidRDefault="005C37EF" w:rsidP="00DC4266">
      <w:pPr>
        <w:autoSpaceDE w:val="0"/>
        <w:autoSpaceDN w:val="0"/>
        <w:adjustRightInd w:val="0"/>
        <w:spacing w:after="0" w:line="360" w:lineRule="auto"/>
        <w:rPr>
          <w:rFonts w:ascii="Times New Roman" w:hAnsi="Times New Roman" w:cs="Times New Roman"/>
          <w:sz w:val="24"/>
          <w:szCs w:val="24"/>
        </w:rPr>
      </w:pPr>
      <w:r w:rsidRPr="008E4EFB">
        <w:rPr>
          <w:rFonts w:ascii="Times New Roman" w:hAnsi="Times New Roman" w:cs="Times New Roman"/>
          <w:sz w:val="24"/>
          <w:szCs w:val="24"/>
        </w:rPr>
        <w:t>With the eventual goal of improving global coverage, we combine satellite-based measurements of NO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and NH</w:t>
      </w:r>
      <w:r w:rsidRPr="008E4EFB">
        <w:rPr>
          <w:rFonts w:ascii="Times New Roman" w:hAnsi="Times New Roman" w:cs="Times New Roman"/>
          <w:sz w:val="24"/>
          <w:szCs w:val="24"/>
          <w:vertAlign w:val="subscript"/>
        </w:rPr>
        <w:t>3</w:t>
      </w:r>
      <w:r w:rsidRPr="008E4EFB">
        <w:rPr>
          <w:rFonts w:ascii="Times New Roman" w:hAnsi="Times New Roman" w:cs="Times New Roman"/>
          <w:sz w:val="24"/>
          <w:szCs w:val="24"/>
        </w:rPr>
        <w:t xml:space="preserve"> total column values with ground-based measurements and model estimates of wet NO</w:t>
      </w:r>
      <w:r w:rsidRPr="008E4EFB">
        <w:rPr>
          <w:rFonts w:ascii="Times New Roman" w:hAnsi="Times New Roman" w:cs="Times New Roman"/>
          <w:sz w:val="24"/>
          <w:szCs w:val="24"/>
          <w:vertAlign w:val="subscript"/>
        </w:rPr>
        <w:t>3</w:t>
      </w:r>
      <w:r w:rsidRPr="008E4EFB">
        <w:rPr>
          <w:rFonts w:ascii="Times New Roman" w:hAnsi="Times New Roman" w:cs="Times New Roman"/>
          <w:sz w:val="24"/>
          <w:szCs w:val="24"/>
          <w:vertAlign w:val="superscript"/>
        </w:rPr>
        <w:t>-</w:t>
      </w:r>
      <w:r w:rsidRPr="008E4EFB">
        <w:rPr>
          <w:rFonts w:ascii="Times New Roman" w:hAnsi="Times New Roman" w:cs="Times New Roman"/>
          <w:sz w:val="24"/>
          <w:szCs w:val="24"/>
        </w:rPr>
        <w:t xml:space="preserve"> and wet NH</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w:t>
      </w:r>
      <w:r w:rsidRPr="008E4EFB">
        <w:rPr>
          <w:rFonts w:ascii="Times New Roman" w:hAnsi="Times New Roman" w:cs="Times New Roman"/>
          <w:sz w:val="24"/>
          <w:szCs w:val="24"/>
        </w:rPr>
        <w:t xml:space="preserve"> deposition. We use a space-time random forest to estimate deposition across the entire CONUS, an area that is well-studied with enough ground-based measurements available to assess performance. </w:t>
      </w:r>
    </w:p>
    <w:p w14:paraId="1C7B5211" w14:textId="74C077EA" w:rsidR="00C50D4B" w:rsidRPr="008E4EFB" w:rsidRDefault="00C50D4B" w:rsidP="00DC4266">
      <w:pPr>
        <w:pStyle w:val="Style3"/>
        <w:numPr>
          <w:ilvl w:val="1"/>
          <w:numId w:val="11"/>
        </w:numPr>
        <w:spacing w:before="0" w:line="360" w:lineRule="auto"/>
        <w:rPr>
          <w:rFonts w:cs="Times New Roman"/>
          <w:szCs w:val="24"/>
        </w:rPr>
      </w:pPr>
      <w:bookmarkStart w:id="34" w:name="_Toc179917973"/>
      <w:r w:rsidRPr="008E4EFB">
        <w:rPr>
          <w:rFonts w:cs="Times New Roman"/>
          <w:szCs w:val="24"/>
        </w:rPr>
        <w:t>Methods</w:t>
      </w:r>
      <w:bookmarkEnd w:id="34"/>
    </w:p>
    <w:p w14:paraId="65B7782A" w14:textId="49468596" w:rsidR="00454D36" w:rsidRPr="008E4EFB" w:rsidRDefault="00454D36" w:rsidP="00DC4266">
      <w:pPr>
        <w:pStyle w:val="Abstract"/>
        <w:spacing w:before="0" w:line="360" w:lineRule="auto"/>
      </w:pPr>
      <w:r w:rsidRPr="008E4EFB">
        <w:t>My approach uses</w:t>
      </w:r>
      <m:oMath>
        <m:r>
          <w:rPr>
            <w:rFonts w:ascii="Cambria Math" w:hAnsi="Cambria Math"/>
          </w:rPr>
          <m:t xml:space="preserve"> </m:t>
        </m:r>
      </m:oMath>
      <w:r w:rsidRPr="008E4EFB">
        <w:t xml:space="preserve">measurements from the Ozone Measuring Instrument (OMI) onboard the Aura satellite to map wet </w:t>
      </w:r>
      <m:oMath>
        <m:sSubSup>
          <m:sSubSupPr>
            <m:ctrlPr>
              <w:rPr>
                <w:rFonts w:ascii="Cambria Math" w:hAnsi="Cambria Math"/>
                <w:i/>
              </w:rPr>
            </m:ctrlPr>
          </m:sSubSupPr>
          <m:e>
            <m:r>
              <m:rPr>
                <m:sty m:val="p"/>
              </m:rPr>
              <w:rPr>
                <w:rFonts w:ascii="Cambria Math" w:hAnsi="Cambria Math"/>
              </w:rPr>
              <m:t>NO</m:t>
            </m:r>
          </m:e>
          <m:sub>
            <m:r>
              <w:rPr>
                <w:rFonts w:ascii="Cambria Math" w:hAnsi="Cambria Math"/>
              </w:rPr>
              <m:t>3</m:t>
            </m:r>
          </m:sub>
          <m:sup>
            <m:r>
              <w:rPr>
                <w:rFonts w:ascii="Cambria Math" w:hAnsi="Cambria Math"/>
              </w:rPr>
              <m:t>-</m:t>
            </m:r>
          </m:sup>
        </m:sSubSup>
      </m:oMath>
      <w:r w:rsidRPr="008E4EFB">
        <w:t xml:space="preserve"> deposition. OMI is a nadir-viewing spectrometer </w:t>
      </w:r>
      <w:r w:rsidRPr="008E4EFB">
        <w:rPr>
          <w:kern w:val="24"/>
        </w:rPr>
        <w:t>onboard NASA’s Aura Satellite. It was launched in 2004 and has a 16-day repeat cycle in a sun-synchronous orbit. OMI provides NO</w:t>
      </w:r>
      <w:r w:rsidRPr="008E4EFB">
        <w:rPr>
          <w:kern w:val="24"/>
          <w:vertAlign w:val="subscript"/>
        </w:rPr>
        <w:t>2</w:t>
      </w:r>
      <w:r w:rsidRPr="008E4EFB">
        <w:rPr>
          <w:kern w:val="24"/>
        </w:rPr>
        <w:t xml:space="preserve"> total column values with a 13 km x 24 km spatial resolution. </w:t>
      </w:r>
      <w:r w:rsidRPr="008E4EFB">
        <w:t xml:space="preserve">Monthly level 3 </w:t>
      </w:r>
      <m:oMath>
        <m:sSub>
          <m:sSubPr>
            <m:ctrlPr>
              <w:rPr>
                <w:rFonts w:ascii="Cambria Math" w:hAnsi="Cambria Math"/>
                <w:i/>
              </w:rPr>
            </m:ctrlPr>
          </m:sSubPr>
          <m:e>
            <m:r>
              <m:rPr>
                <m:sty m:val="p"/>
              </m:rPr>
              <w:rPr>
                <w:rFonts w:ascii="Cambria Math" w:hAnsi="Cambria Math"/>
              </w:rPr>
              <m:t>NO</m:t>
            </m:r>
          </m:e>
          <m:sub>
            <m:r>
              <w:rPr>
                <w:rFonts w:ascii="Cambria Math" w:hAnsi="Cambria Math"/>
              </w:rPr>
              <m:t>2</m:t>
            </m:r>
          </m:sub>
        </m:sSub>
      </m:oMath>
      <w:r w:rsidRPr="008E4EFB">
        <w:t xml:space="preserve"> total column density measurements from OMI were retrieved for 2010. OMI is a nadir-oriented ultraviolet-visible spectrometer onboard the Aura satellite which was launched in 2004 </w:t>
      </w:r>
      <w:r w:rsidRPr="008E4EFB">
        <w:fldChar w:fldCharType="begin"/>
      </w:r>
      <w:r w:rsidRPr="008E4EFB">
        <w:instrText xml:space="preserve"> ADDIN ZOTERO_ITEM CSL_CITATION {"citationID":"CqYxe8jI","properties":{"formattedCitation":"(Levelt et al., 2006)","plainCitation":"(Levelt et al., 2006)","noteIndex":0},"citationItems":[{"id":114,"uris":["http://zotero.org/users/local/UDk7s0H0/items/JGQBWH6M",["http://zotero.org/users/local/UDk7s0H0/items/JGQBWH6M"],"http://zotero.org/users/3110659/items/JGQBWH6M"],"itemData":{"id":114,"type":"article-journal","abstract":"The Ozone Monitoring Instrument (OMI) flies on the National Aeronautics and Space Administration's Earth Observing System Aura satellite launched in July 2004. OMI is a ultraviolet/visible (UV/VIS) nadir solar backscatter spectrometer, which provides nearly global coverage in one day with a spatial resolution of 13 km/spl times/24 km. Trace gases measured include O/sub 3/, NO/sub 2/, SO/sub 2/, HCHO, BrO, and OClO. In addition, OMI will measure aerosol characteristics, cloud top heights, and UV irradiance at the surface. OMI's unique capabilities for measuring important trace gases with a small footprint and daily global coverage will be a major contribution to our understanding of stratospheric and tropospheric chemistry and climate change. OMI's high spatial resolution is unprecedented and will enable detection of air pollution on urban scale resolution. In this paper, the instrument and its performance will be discussed.","container-title":"IEEE Transactions on Geoscience and Remote Sensing","DOI":"10.1109/TGRS.2006.872333","ISSN":"1558-0644","issue":"5","note":"event-title: IEEE Transactions on Geoscience and Remote Sensing","page":"1093-1101","source":"IEEE Xplore","title":"The ozone monitoring instrument","volume":"44","author":[{"family":"Levelt","given":"P.F."},{"family":"Oord","given":"G.H.J.","non-dropping-particle":"van den"},{"family":"Dobber","given":"M.R."},{"family":"Malkki","given":"A."},{"family":"Visser","given":"Huib"},{"family":"Vries","given":"Johan","dropping-particle":"de"},{"family":"Stammes","given":"P."},{"family":"Lundell","given":"J.O.V."},{"family":"Saari","given":"H."}],"issued":{"date-parts":[["2006",5]]}}}],"schema":"https://github.com/citation-style-language/schema/raw/master/csl-citation.json"} </w:instrText>
      </w:r>
      <w:r w:rsidRPr="008E4EFB">
        <w:fldChar w:fldCharType="separate"/>
      </w:r>
      <w:r w:rsidRPr="008E4EFB">
        <w:t>(Levelt et al., 2006)</w:t>
      </w:r>
      <w:r w:rsidRPr="008E4EFB">
        <w:fldChar w:fldCharType="end"/>
      </w:r>
      <w:r w:rsidRPr="008E4EFB">
        <w:t xml:space="preserve">. Column density is calculated via a principal component analysis algorithm from the National Aeronautics and Space Administration (NASA) </w:t>
      </w:r>
      <w:r w:rsidRPr="008E4EFB">
        <w:fldChar w:fldCharType="begin"/>
      </w:r>
      <w:r w:rsidR="0004467C" w:rsidRPr="008E4EFB">
        <w:instrText xml:space="preserve"> ADDIN ZOTERO_ITEM CSL_CITATION {"citationID":"xim0lUu3","properties":{"formattedCitation":"(C. Li et al., 2013)","plainCitation":"(C. Li et al., 2013)","noteIndex":0},"citationItems":[{"id":111,"uris":["http://zotero.org/users/local/UDk7s0H0/items/6WRZUERU",["http://zotero.org/users/local/UDk7s0H0/items/6WRZUERU"],"http://zotero.org/users/3110659/items/6WRZUERU"],"itemData":{"id":111,"type":"article-journal","abstract":"We describe a new algorithm to retrieve SO2 from satellite-measured hyperspectral radiances. We employ the principal component analysis technique in regions with no significant SO2 to capture radiance variability caused by both physical processes (e.g., Rayleigh and Raman scattering and ozone absorption) and measurement artifacts. We use the resulting principal components and SO2 Jacobians calculated with a radiative transfer model to directly estimate SO2 vertical column density in one step. Application to the Ozone Monitoring Instrument (OMI) radiance spectra in 310.5–340 nm demonstrates that this approach can greatly reduce biases in the operational OMI product and decrease the noise by a factor of 2, providing greater sensitivity to anthropogenic emissions. The new algorithm is fast, eliminates the need for instrument-specific radiance correction schemes, and can be easily adapted to other sensors. These attributes make it a promising technique for producing long-term, consistent SO2 records for air quality and climate research.","container-title":"Geophysical Research Letters","DOI":"10.1002/2013GL058134","ISSN":"1944-8007","issue":"23","language":"en","note":"_eprint: https://agupubs.onlinelibrary.wiley.com/doi/pdf/10.1002/2013GL058134","page":"6314-6318","source":"Wiley Online Library","title":"A fast and sensitive new satellite SO2 retrieval algorithm based on principal component analysis: Application to the ozone monitoring instrument","title-short":"A fast and sensitive new satellite SO2 retrieval algorithm based on principal component analysis","volume":"40","author":[{"family":"Li","given":"Can"},{"family":"Joiner","given":"Joanna"},{"family":"Krotkov","given":"Nickolay A."},{"family":"Bhartia","given":"Pawan K."}],"issued":{"date-parts":[["2013"]]}}}],"schema":"https://github.com/citation-style-language/schema/raw/master/csl-citation.json"} </w:instrText>
      </w:r>
      <w:r w:rsidRPr="008E4EFB">
        <w:fldChar w:fldCharType="separate"/>
      </w:r>
      <w:r w:rsidR="0004467C" w:rsidRPr="008E4EFB">
        <w:t>(C. Li et al., 2013)</w:t>
      </w:r>
      <w:r w:rsidRPr="008E4EFB">
        <w:fldChar w:fldCharType="end"/>
      </w:r>
      <w:r w:rsidRPr="008E4EFB">
        <w:t xml:space="preserve">. Total </w:t>
      </w:r>
      <w:r w:rsidRPr="008E4EFB">
        <w:rPr>
          <w:rFonts w:eastAsia="Calibri"/>
        </w:rPr>
        <w:t xml:space="preserve">column density values are in Dobson units </w:t>
      </w:r>
      <w:r w:rsidRPr="008E4EFB">
        <w:t>(DUs, /km</w:t>
      </w:r>
      <w:r w:rsidRPr="008E4EFB">
        <w:rPr>
          <w:vertAlign w:val="superscript"/>
        </w:rPr>
        <w:t>2</w:t>
      </w:r>
      <w:r w:rsidRPr="008E4EFB">
        <w:t> 1 DU = 2.69 × 10</w:t>
      </w:r>
      <w:r w:rsidRPr="008E4EFB">
        <w:rPr>
          <w:vertAlign w:val="superscript"/>
        </w:rPr>
        <w:t>26</w:t>
      </w:r>
      <w:r w:rsidRPr="008E4EFB">
        <w:t xml:space="preserve"> molecules). </w:t>
      </w:r>
    </w:p>
    <w:p w14:paraId="4A89C351" w14:textId="2BA1B4EB" w:rsidR="00454D36" w:rsidRPr="008E4EFB" w:rsidRDefault="00454D36" w:rsidP="00DC4266">
      <w:pPr>
        <w:pStyle w:val="Abstract"/>
        <w:spacing w:before="0" w:line="360" w:lineRule="auto"/>
      </w:pPr>
      <w:r w:rsidRPr="008E4EFB">
        <w:t>I also use measurements from the Infrared Atmospheric Sounding Interferometer (IASI) to map wet NH</w:t>
      </w:r>
      <w:r w:rsidRPr="008E4EFB">
        <w:rPr>
          <w:vertAlign w:val="subscript"/>
        </w:rPr>
        <w:t>4</w:t>
      </w:r>
      <w:r w:rsidRPr="008E4EFB">
        <w:rPr>
          <w:vertAlign w:val="superscript"/>
        </w:rPr>
        <w:t>+</w:t>
      </w:r>
      <w:r w:rsidRPr="008E4EFB">
        <w:rPr>
          <w:vertAlign w:val="subscript"/>
        </w:rPr>
        <w:t xml:space="preserve"> </w:t>
      </w:r>
      <w:r w:rsidRPr="008E4EFB">
        <w:t xml:space="preserve">deposition. IASI is a Fourier Transform Spectrometer onboard the MetOP-A, -B, and -C satellites. MetOP-A was launched in 2006. The IASI swath width is 48.3°, corresponding to 2 x 1100 km on the ground. IASI provides near-global coverage twice a day. Monthly daytime </w:t>
      </w:r>
      <m:oMath>
        <m:sSub>
          <m:sSubPr>
            <m:ctrlPr>
              <w:rPr>
                <w:rFonts w:ascii="Cambria Math" w:hAnsi="Cambria Math"/>
                <w:i/>
              </w:rPr>
            </m:ctrlPr>
          </m:sSubPr>
          <m:e>
            <m:r>
              <m:rPr>
                <m:sty m:val="p"/>
              </m:rPr>
              <w:rPr>
                <w:rFonts w:ascii="Cambria Math" w:hAnsi="Cambria Math"/>
              </w:rPr>
              <m:t>NH</m:t>
            </m:r>
          </m:e>
          <m:sub>
            <m:r>
              <w:rPr>
                <w:rFonts w:ascii="Cambria Math" w:hAnsi="Cambria Math"/>
              </w:rPr>
              <m:t>3</m:t>
            </m:r>
          </m:sub>
        </m:sSub>
      </m:oMath>
      <w:r w:rsidRPr="008E4EFB">
        <w:t xml:space="preserve"> columns from IASI are available from the AERIS IASI portal (</w:t>
      </w:r>
      <w:hyperlink r:id="rId26" w:history="1">
        <w:r w:rsidRPr="008E4EFB">
          <w:rPr>
            <w:rStyle w:val="Hyperlink"/>
            <w:color w:val="auto"/>
          </w:rPr>
          <w:t>https://iasi.aeris-data.fr/</w:t>
        </w:r>
      </w:hyperlink>
      <w:r w:rsidRPr="008E4EFB">
        <w:t xml:space="preserve">). It is a level 3 product, converted from a calculation of the hyperspectral range index (HRI) with a neural network </w:t>
      </w:r>
      <w:r w:rsidRPr="008E4EFB">
        <w:fldChar w:fldCharType="begin"/>
      </w:r>
      <w:r w:rsidRPr="008E4EFB">
        <w:instrText xml:space="preserve"> ADDIN ZOTERO_ITEM CSL_CITATION {"citationID":"udQtrZBM","properties":{"formattedCitation":"(Clarisse et al., 2018; Whitburn et al., 2016)","plainCitation":"(Clarisse et al., 2018; Whitburn et al., 2016)","noteIndex":0},"citationItems":[{"id":109,"uris":["http://zotero.org/users/local/UDk7s0H0/items/WEM34R45",["http://zotero.org/users/local/UDk7s0H0/items/WEM34R45"],"http://zotero.org/users/3110659/items/WEM34R45"],"itemData":{"id":109,"type":"document","abstract":"Le pôle de données et de services AERIS fédère des activités de gestion de données atmosphériques et d'expertise scientifique en atmosphère.","call-number":"10.25326/10","language":"fr-FR","publisher":"AERIS","title":"Standard daily IASI/Metop-A ULB-LATMOS ammonia (NH3)L2 product (total column)","URL":"https://www.aeris-data.fr/metadata/metadata/","author":[{"family":"Clarisse","given":"L"},{"family":"Van Damme","given":"M"},{"family":"Coheur, P. -F.","given":""}],"accessed":{"date-parts":[["2021",9,17]]},"issued":{"date-parts":[["2018"]]}}},{"id":141,"uris":["http://zotero.org/users/local/UDk7s0H0/items/EU3XJMJ2",["http://zotero.org/users/local/UDk7s0H0/items/EU3XJMJ2"],"http://zotero.org/users/3110659/items/EU3XJMJ2"],"itemData":{"id":141,"type":"article-journal","abstract":"In this paper, we describe a new flexible and robust NH3 retrieval algorithm from measurements of the Infrared Atmospheric Sounding Interferometer (IASI). The method is based on the calculation of a spectral hyperspectral range index (HRI) and subsequent conversion to NH3 columns via a neural network. It is an extension of the method presented in Van Damme et al. (2014a) who used lookup tables (LUT) for the radiance-concentration conversion. The new method inherits the advantages of the LUT-based method while providing several significant improvements. These include the following: (1) Complete temperature and humidity vertical profiles can be accounted for. (2) Third-party NH3 vertical profile information can be used. (3) Reported positive biases of LUT retrieval are reduced, and finally (4) a full measurement uncertainty characterization is provided. A running theme in this study, related to item (2), is the importance of the assumed vertical NH3 profile. We demonstrate the advantages of allowing variable profile shapes in the retrieval. As an example, we analyze how the retrievals change when all NH3 is assumed to be confined to the boundary layer. We analyze different averaging procedures in use for NH3 in the literature, introduced to cope with the variable measurement sensitivity and derive global averaged distributions for the year 2013. A comparison with a GEOS-Chem modeled global distribution is also presented, showing a general good correspondence (within ±3 × 1015 molecules.cm−2) over most of the Northern Hemisphere. However, IASI finds mean columns about 1–1.5 × 1016 molecules.cm−2 (</w:instrText>
      </w:r>
      <w:r w:rsidRPr="008E4EFB">
        <w:rPr>
          <w:rFonts w:ascii="Cambria Math" w:hAnsi="Cambria Math" w:cs="Cambria Math"/>
        </w:rPr>
        <w:instrText>∼</w:instrText>
      </w:r>
      <w:r w:rsidRPr="008E4EFB">
        <w:instrText xml:space="preserve">50–60%) lower than GEOS-Chem for India and the North China plain.","container-title":"Journal of Geophysical Research: Atmospheres","DOI":"10.1002/2016JD024828","ISSN":"2169-8996","issue":"11","language":"en","note":"_eprint: https://onlinelibrary.wiley.com/doi/pdf/10.1002/2016JD024828","page":"6581-6599","source":"Wiley Online Library","title":"A flexible and robust neural network IASI-NH3 retrieval algorithm","volume":"121","author":[{"family":"Whitburn","given":"S."},{"family":"Van Damme","given":"M."},{"family":"Clarisse","given":"L."},{"family":"Bauduin","given":"S."},{"family":"Heald","given":"C. L."},{"family":"Hadji-Lazaro","given":"J."},{"family":"Hurtmans","given":"D."},{"family":"Zondlo","given":"M. A."},{"family":"Clerbaux","given":"C."},{"family":"Coheur","given":"P.-F"}],"issued":{"date-parts":[["2016"]]}}}],"schema":"https://github.com/citation-style-language/schema/raw/master/csl-citation.json"} </w:instrText>
      </w:r>
      <w:r w:rsidRPr="008E4EFB">
        <w:fldChar w:fldCharType="separate"/>
      </w:r>
      <w:r w:rsidRPr="008E4EFB">
        <w:t>(Clarisse et al., 2018; Whitburn et al., 2016)</w:t>
      </w:r>
      <w:r w:rsidRPr="008E4EFB">
        <w:fldChar w:fldCharType="end"/>
      </w:r>
      <w:r w:rsidRPr="008E4EFB">
        <w:t xml:space="preserve">. </w:t>
      </w:r>
    </w:p>
    <w:p w14:paraId="2216CF06" w14:textId="77777777" w:rsidR="00454D36" w:rsidRPr="008E4EFB" w:rsidRDefault="00454D36" w:rsidP="00DC4266">
      <w:pPr>
        <w:pStyle w:val="Abstract"/>
        <w:spacing w:before="0" w:line="360" w:lineRule="auto"/>
      </w:pPr>
      <w:r w:rsidRPr="008E4EFB">
        <w:lastRenderedPageBreak/>
        <w:t xml:space="preserve">Global monthly precipitation for 2010 is available from the Tropical Rainfall Measuring Mission (TRMM) Precipitation Radar, a satellite that operated from 1997 to  2015 </w:t>
      </w:r>
      <w:r w:rsidRPr="008E4EFB">
        <w:fldChar w:fldCharType="begin"/>
      </w:r>
      <w:r w:rsidRPr="008E4EFB">
        <w:instrText xml:space="preserve"> ADDIN ZOTERO_ITEM CSL_CITATION {"citationID":"jHcz9flY","properties":{"formattedCitation":"(NASA, 2011)","plainCitation":"(NASA, 2011)","noteIndex":0},"citationItems":[{"id":138,"uris":["http://zotero.org/users/3110659/items/96B29BW8"],"itemData":{"id":138,"type":"document","call-number":"10.5067/TRMM/TMPA/MONTH/7","publisher":"Goddard Earth Sciences Data and Information Services Center (GES DISC)","title":"Tropical Rainfall Measuring Mission (TRMM)","URL":"https://disc.gsfc.nasa.gov/datasets/TRMM_3B43_7/summary","author":[{"family":"NASA","given":""}],"accessed":{"date-parts":[["2021",10,11]]},"issued":{"date-parts":[["2011"]]}}}],"schema":"https://github.com/citation-style-language/schema/raw/master/csl-citation.json"} </w:instrText>
      </w:r>
      <w:r w:rsidRPr="008E4EFB">
        <w:fldChar w:fldCharType="separate"/>
      </w:r>
      <w:r w:rsidRPr="008E4EFB">
        <w:t>(NASA, 2011)</w:t>
      </w:r>
      <w:r w:rsidRPr="008E4EFB">
        <w:fldChar w:fldCharType="end"/>
      </w:r>
      <w:r w:rsidRPr="008E4EFB">
        <w:t xml:space="preserve"> in a low inclination orbit from 40N to 40S latitude. A 0.25⁰ x 0.25⁰ grid of average 2010 precipitation in mm was downloaded from the National Aeronautics and Space Administration (NASA)’s </w:t>
      </w:r>
      <w:proofErr w:type="spellStart"/>
      <w:r w:rsidRPr="008E4EFB">
        <w:t>EarthData</w:t>
      </w:r>
      <w:proofErr w:type="spellEnd"/>
      <w:r w:rsidRPr="008E4EFB">
        <w:t xml:space="preserve"> portal. </w:t>
      </w:r>
    </w:p>
    <w:p w14:paraId="6010CF6D" w14:textId="77777777" w:rsidR="00454D36" w:rsidRPr="008E4EFB" w:rsidRDefault="00454D36" w:rsidP="00DC4266">
      <w:pPr>
        <w:pStyle w:val="Abstract"/>
        <w:spacing w:before="0" w:line="360" w:lineRule="auto"/>
      </w:pPr>
      <w:r w:rsidRPr="008E4EFB">
        <w:t xml:space="preserve">Total cloud cover is available as the National Centers for Environmental Prediction – Department of Energy Atmospheric Model Intercomparison Project version II (NCEP-DOE AMIP-II) reanalysis </w:t>
      </w:r>
      <w:r w:rsidRPr="008E4EFB">
        <w:fldChar w:fldCharType="begin"/>
      </w:r>
      <w:r w:rsidRPr="008E4EFB">
        <w:instrText xml:space="preserve"> ADDIN ZOTERO_ITEM CSL_CITATION {"citationID":"qC8NqBWl","properties":{"formattedCitation":"(Kanamitsu et al., 2002)","plainCitation":"(Kanamitsu et al., 2002)","noteIndex":0},"citationItems":[{"id":197,"uris":["http://zotero.org/users/local/UDk7s0H0/items/HAY7T2XD",["http://zotero.org/users/local/UDk7s0H0/items/HAY7T2XD"],"http://zotero.org/users/3110659/items/HAY7T2XD"],"itemData":{"id":197,"type":"article-journal","abstract":"&lt;section class=\"abstract\"&gt;&lt;p&gt;The NCEP–DOE Atmospheric Model Intercomparison Project (AMIP-II) reanalysis is a follow-on project to the “50-year” (1948–present) NCEP–NCAR Reanalysis Project. NCEP–DOE AMIP-II re-analysis covers the “20-year” satellite period of 1979 to the present and uses an updated forecast model, updated data assimilation system, improved diagnostic outputs, and fixes for the known processing problems of the NCEP–NCAR reanalysis. Only minor differences are found in the primary analysis variables such as free atmospheric geopotential height and winds in the Northern Hemisphere extratropics, while significant improvements upon NCEP–NCAR reanalysis are made in land surface parameters and land–ocean fluxes. This analysis can be used as a supplement to the NCEP–NCAR reanalysis especially where the original analysis has problems. The differences between the two analyses also provide a measure of uncertainty in current analyses.&lt;/p&gt;&lt;/section&gt;","container-title":"Bulletin of the American Meteorological Society","DOI":"10.1175/BAMS-83-11-1631","ISSN":"0003-0007, 1520-0477","issue":"11","language":"en","note":"publisher: American Meteorological Society\nsection: Bulletin of the American Meteorological Society","page":"1631-1644","source":"journals.ametsoc.org","title":"NCEP–DOE AMIP-II Reanalysis (R-2)","volume":"83","author":[{"family":"Kanamitsu","given":"Masao"},{"family":"Ebisuzaki","given":"Wesley"},{"family":"Woollen","given":"Jack"},{"family":"Yang","given":"Shi-Keng"},{"family":"Hnilo","given":"J. J."},{"family":"Fiorino","given":"M."},{"family":"Potter","given":"G. L."}],"issued":{"date-parts":[["2002",11,1]]}}}],"schema":"https://github.com/citation-style-language/schema/raw/master/csl-citation.json"} </w:instrText>
      </w:r>
      <w:r w:rsidRPr="008E4EFB">
        <w:fldChar w:fldCharType="separate"/>
      </w:r>
      <w:r w:rsidRPr="008E4EFB">
        <w:t>(Kanamitsu et al., 2002)</w:t>
      </w:r>
      <w:r w:rsidRPr="008E4EFB">
        <w:fldChar w:fldCharType="end"/>
      </w:r>
      <w:r w:rsidRPr="008E4EFB">
        <w:t xml:space="preserve">.  </w:t>
      </w:r>
      <w:r w:rsidRPr="008E4EFB">
        <w:rPr>
          <w:kern w:val="24"/>
        </w:rPr>
        <w:t>Monthly cloud cover is estimated at 2.5° resolution from 1979 to 2024.</w:t>
      </w:r>
    </w:p>
    <w:p w14:paraId="7FF275EA" w14:textId="77777777" w:rsidR="00454D36" w:rsidRPr="008E4EFB" w:rsidRDefault="00454D36" w:rsidP="00DC4266">
      <w:pPr>
        <w:autoSpaceDE w:val="0"/>
        <w:autoSpaceDN w:val="0"/>
        <w:adjustRightInd w:val="0"/>
        <w:spacing w:after="0" w:line="360" w:lineRule="auto"/>
        <w:rPr>
          <w:rFonts w:ascii="Times New Roman" w:hAnsi="Times New Roman" w:cs="Times New Roman"/>
          <w:kern w:val="24"/>
          <w:sz w:val="24"/>
          <w:szCs w:val="24"/>
        </w:rPr>
      </w:pPr>
      <w:r w:rsidRPr="008E4EFB">
        <w:rPr>
          <w:rFonts w:ascii="Times New Roman" w:hAnsi="Times New Roman" w:cs="Times New Roman"/>
          <w:kern w:val="24"/>
          <w:sz w:val="24"/>
          <w:szCs w:val="24"/>
        </w:rPr>
        <w:t xml:space="preserve">Land cover is from the North American Land Change Monitoring System (NALCMS, https://www.mrlc.gov/data/north-american-land-change-monitoring-system), a collaborative initiative between the USGS, Natural Resources Canada (NRCan), the National Institute of Statistics and Geography (INEGI), the National Commission for the Knowledge and Use of Biodiversity, and the National Forestry Commission. NALCMS provides 30m land cover products from 2005 onwards with 19 different classifications. </w:t>
      </w:r>
    </w:p>
    <w:p w14:paraId="13A292BD" w14:textId="77777777" w:rsidR="00454D36" w:rsidRPr="008E4EFB" w:rsidRDefault="00454D36" w:rsidP="00DC4266">
      <w:pPr>
        <w:autoSpaceDE w:val="0"/>
        <w:autoSpaceDN w:val="0"/>
        <w:adjustRightInd w:val="0"/>
        <w:spacing w:after="0" w:line="360" w:lineRule="auto"/>
        <w:rPr>
          <w:rFonts w:ascii="Times New Roman" w:hAnsi="Times New Roman" w:cs="Times New Roman"/>
          <w:kern w:val="24"/>
          <w:sz w:val="24"/>
          <w:szCs w:val="24"/>
        </w:rPr>
      </w:pPr>
      <w:r w:rsidRPr="008E4EFB">
        <w:rPr>
          <w:rFonts w:ascii="Times New Roman" w:hAnsi="Times New Roman" w:cs="Times New Roman"/>
          <w:kern w:val="24"/>
          <w:sz w:val="24"/>
          <w:szCs w:val="24"/>
        </w:rPr>
        <w:t>Monthly averaged NH</w:t>
      </w:r>
      <w:r w:rsidRPr="008E4EFB">
        <w:rPr>
          <w:rFonts w:ascii="Times New Roman" w:hAnsi="Times New Roman" w:cs="Times New Roman"/>
          <w:kern w:val="24"/>
          <w:sz w:val="24"/>
          <w:szCs w:val="24"/>
          <w:vertAlign w:val="subscript"/>
        </w:rPr>
        <w:t>4</w:t>
      </w:r>
      <w:r w:rsidRPr="008E4EFB">
        <w:rPr>
          <w:rFonts w:ascii="Times New Roman" w:hAnsi="Times New Roman" w:cs="Times New Roman"/>
          <w:kern w:val="24"/>
          <w:sz w:val="24"/>
          <w:szCs w:val="24"/>
          <w:vertAlign w:val="superscript"/>
        </w:rPr>
        <w:t>+</w:t>
      </w:r>
      <w:r w:rsidRPr="008E4EFB">
        <w:rPr>
          <w:rFonts w:ascii="Times New Roman" w:hAnsi="Times New Roman" w:cs="Times New Roman"/>
          <w:kern w:val="24"/>
          <w:sz w:val="24"/>
          <w:szCs w:val="24"/>
        </w:rPr>
        <w:t xml:space="preserve"> and NO</w:t>
      </w:r>
      <w:r w:rsidRPr="008E4EFB">
        <w:rPr>
          <w:rFonts w:ascii="Times New Roman" w:hAnsi="Times New Roman" w:cs="Times New Roman"/>
          <w:kern w:val="24"/>
          <w:sz w:val="24"/>
          <w:szCs w:val="24"/>
          <w:vertAlign w:val="subscript"/>
        </w:rPr>
        <w:t>3</w:t>
      </w:r>
      <w:r w:rsidRPr="008E4EFB">
        <w:rPr>
          <w:rFonts w:ascii="Times New Roman" w:hAnsi="Times New Roman" w:cs="Times New Roman"/>
          <w:kern w:val="24"/>
          <w:sz w:val="24"/>
          <w:szCs w:val="24"/>
          <w:vertAlign w:val="superscript"/>
        </w:rPr>
        <w:t>-</w:t>
      </w:r>
      <w:r w:rsidRPr="008E4EFB">
        <w:rPr>
          <w:rFonts w:ascii="Times New Roman" w:hAnsi="Times New Roman" w:cs="Times New Roman"/>
          <w:kern w:val="24"/>
          <w:sz w:val="24"/>
          <w:szCs w:val="24"/>
        </w:rPr>
        <w:t xml:space="preserve"> wet deposition measurements are available from the National Atmospheric Deposition Program (NADP)’s National Trend Network (NTN). Measurements were filtered for completeness, resulting in 1692 observations</w:t>
      </w:r>
      <w:r w:rsidRPr="008E4EFB">
        <w:rPr>
          <w:rFonts w:ascii="Times New Roman" w:hAnsi="Times New Roman" w:cs="Times New Roman"/>
          <w:kern w:val="24"/>
          <w:sz w:val="24"/>
          <w:szCs w:val="24"/>
          <w:vertAlign w:val="superscript"/>
        </w:rPr>
        <w:t xml:space="preserve"> </w:t>
      </w:r>
      <w:r w:rsidRPr="008E4EFB">
        <w:rPr>
          <w:rFonts w:ascii="Times New Roman" w:hAnsi="Times New Roman" w:cs="Times New Roman"/>
          <w:kern w:val="24"/>
          <w:sz w:val="24"/>
          <w:szCs w:val="24"/>
        </w:rPr>
        <w:t>from 200 sites.</w:t>
      </w:r>
    </w:p>
    <w:p w14:paraId="5EE41288" w14:textId="789ED6C0" w:rsidR="00454D36" w:rsidRPr="008E4EFB" w:rsidRDefault="00454D36" w:rsidP="00DC4266">
      <w:pPr>
        <w:autoSpaceDE w:val="0"/>
        <w:autoSpaceDN w:val="0"/>
        <w:adjustRightInd w:val="0"/>
        <w:spacing w:after="0" w:line="360" w:lineRule="auto"/>
        <w:rPr>
          <w:rFonts w:ascii="Times New Roman" w:hAnsi="Times New Roman" w:cs="Times New Roman"/>
          <w:kern w:val="24"/>
          <w:sz w:val="24"/>
          <w:szCs w:val="24"/>
        </w:rPr>
      </w:pPr>
      <w:r w:rsidRPr="008E4EFB">
        <w:rPr>
          <w:rFonts w:ascii="Times New Roman" w:hAnsi="Times New Roman" w:cs="Times New Roman"/>
          <w:kern w:val="24"/>
          <w:sz w:val="24"/>
          <w:szCs w:val="24"/>
        </w:rPr>
        <w:t xml:space="preserve">Random forest models, as described in Breiman’s work are widely used in remote sensing studies </w:t>
      </w:r>
      <w:r w:rsidRPr="008E4EFB">
        <w:rPr>
          <w:rFonts w:ascii="Times New Roman" w:hAnsi="Times New Roman" w:cs="Times New Roman"/>
          <w:kern w:val="24"/>
          <w:sz w:val="24"/>
          <w:szCs w:val="24"/>
        </w:rPr>
        <w:fldChar w:fldCharType="begin"/>
      </w:r>
      <w:r w:rsidR="0004467C" w:rsidRPr="008E4EFB">
        <w:rPr>
          <w:rFonts w:ascii="Times New Roman" w:hAnsi="Times New Roman" w:cs="Times New Roman"/>
          <w:kern w:val="24"/>
          <w:sz w:val="24"/>
          <w:szCs w:val="24"/>
        </w:rPr>
        <w:instrText xml:space="preserve"> ADDIN ZOTERO_ITEM CSL_CITATION {"citationID":"xbP1mx4X","properties":{"formattedCitation":"(Belgiu &amp; Dr\\uc0\\u259{}gu\\uc0\\u355{}, 2016; B. Guo et al., 2021; Rubin et al., 2021)","plainCitation":"(Belgiu &amp; Drăguţ, 2016; B. Guo et al., 2021; Rubin et al., 2021)","noteIndex":0},"citationItems":[{"id":1190,"uris":["http://zotero.org/users/3110659/items/GGC8GZMD"],"itemData":{"id":1190,"type":"article-journal","abstract":"A random forest (RF) classifier is an ensemble classifier that produces multiple decision trees, using a randomly selected subset of training samples and variables. This classifier has become popular within the remote sensing community due to the accuracy of its classifications. The overall objective of this work was to review the utilization of RF classifier in remote sensing. This review has revealed that RF\nclassifier can successfully handle high data dimensionality and\nmulticolinearity, being both fast and insensitive to overfitting. It is, however, sensitive to the sampling design. The variable importance (VI) measurement provided by the RF classifier has been extensively exploited in different scenarios, for example to reduce the number of dimensions of hyperspectral data, to identify the most relevant multisource remote sensing and geographic data, and to select the most suitable season to classify particular target classes. Further investigations are required into less commonly exploited uses of this classifier, such as for sample proximity analysis to detect and remove outliers in the training samples.","container-title":"ISPRS Journal of Photogrammetry and Remote Sensing","DOI":"10.1016/j.isprsjprs.2016.01.011","ISSN":"0924-2716","journalAbbreviation":"ISPRS Journal of Photogrammetry and Remote Sensing","page":"24-31","source":"NASA ADS","title":"Random forest in remote sensing: A review of applications and future directions","title-short":"Random forest in remote sensing","volume":"114","author":[{"family":"Belgiu","given":"Mariana"},{"family":"Drăguţ","given":"Lucian"}],"issued":{"date-parts":[["2016",4,1]]}}},{"id":3674,"uris":["http://zotero.org/users/3110659/items/RQW9QNIK"],"itemData":{"id":3674,"type":"article-journal","abstract":"Fine particulate matter with aerodynamic diameters less than 2.5 μm (PM2.5) poses adverse impacts on public health and the environment. It is still a great challenge to estimate high-resolution PM2.5 concentrations at moderate scales. The current study calibrated PM2.5 concentrations at a 1 km resolution scale using ground-level monitoring data, Aerosol Optical Depth (AOD), meteorological data, and auxiliary data via Random Forest (RF) model across China in 2017. The three ten-folded cross-validations (CV) methods including sample-based, time-based, and spatial-based validation combined with Coefficient Square (R2), Root-Mean-Square Error (RMSE), and Mean Predictive Error (MPE) have been used for validation at different temporal scales in terms of daily, monthly, heating seasonal, and non-heating seasonal. Finally, the distribution map of PM2.5 concentrations was illustrated based on the RF model. Some findings were achieved. The RF model performed well, with a relatively high sample-based cross-validation R2 of 0.74, a low RMSE of 16.29 μg × m−3, and a small MPE of −0.282 μg × m−3. Meanwhile, the performance of the RF model in inferring the PM2.5 concentrations was well at urban scales except for Chengyu (CY). North China, the CY urban agglomeration, and the northwest of China exhibited relatively high PM2.5 pollution features, especially in the heating season. The robustness of the RF model in the present study outperformed most statistical regression models for calibrating PM2.5 concentrations. The outcomes can supply an up-to-date scientific dataset for epidemiological and air pollutants exposure risk studies across China.","container-title":"Science of The Total Environment","DOI":"10.1016/j.scitotenv.2021.146288","ISSN":"0048-9697","journalAbbreviation":"Science of The Total Environment","page":"146288","source":"ScienceDirect","title":"Estimating PM2.5 concentrations via random forest method using satellite, auxiliary, and ground-level station dataset at multiple temporal scales across China in 2017","volume":"778","author":[{"family":"Guo","given":"Bin"},{"family":"Zhang","given":"Dingming"},{"family":"Pei","given":"Lin"},{"family":"Su","given":"Yi"},{"family":"Wang","given":"Xiaoxia"},{"family":"Bian","given":"Yi"},{"family":"Zhang","given":"Donghai"},{"family":"Yao","given":"Wanqiang"},{"family":"Zhou","given":"Zixiang"},{"family":"Guo","given":"Liyu"}],"issued":{"date-parts":[["2021",7,15]]}}},{"id":69,"uris":["http://zotero.org/users/3110659/items/MBW4FMWA"],"itemData":{"id":69,"type":"article-journal","abstract":"There has been little rigorous investigation of the transferability of existing empirical water clarity models developed at one location or time to other lakes and dates of imagery with differing conditions. Machine learning methods have not been widely adopted for analysis of lake optical properties such as water clarity, despite their successful use in many other applications of environmental remote sensing. This study compares model performance for a random forest (RF) machine learning algorithm and a simple 4-band linear model with 13 previously published empirical non-machine learning algorithms. We use Landsat surface reflectance product data aligned with spatially and temporally co-located in situ Secchi depth observations from northeastern USA lakes over a 34-year period in this analysis. To evaluate the transferability of models across space and time, we compare model fit using the complete dataset (all images and samples) to a single-date approach, in which separate models are developed for each date of Landsat imagery with more than 75 field samples. On average, the single-date models for all algorithms had lower mean absolute errors (MAE) and root mean squared errors (RMSE) than the models fit to the complete dataset. The RF model had the highest pseudo-R2 for the single-date approach as well as the complete dataset, suggesting that an RF approach outperforms traditional linear regression-based algorithms when modeling lake water clarity using satellite imagery.","container-title":"Remote Sensing","DOI":"10.3390/rs13081434","issue":"8","language":"en","license":"http://creativecommons.org/licenses/by/3.0/","note":"number: 8\npublisher: Multidisciplinary Digital Publishing Institute","page":"1434","source":"www.mdpi.com","title":"Remote Sensing of Lake Water Clarity: Performance and Transferability of Both Historical Algorithms and Machine Learning","title-short":"Remote Sensing of Lake Water Clarity","volume":"13","author":[{"family":"Rubin","given":"Hannah J."},{"family":"Lutz","given":"David A."},{"family":"Steele","given":"Bethel G."},{"family":"Cottingham","given":"Kathryn L."},{"family":"Weathers","given":"Kathleen C."},{"family":"Ducey","given":"Mark J."},{"family":"Palace","given":"Michael"},{"family":"Johnson","given":"Kenneth M."},{"family":"Chipman","given":"Jonathan W."}],"issued":{"date-parts":[["2021",1]]}}}],"schema":"https://github.com/citation-style-language/schema/raw/master/csl-citation.json"} </w:instrText>
      </w:r>
      <w:r w:rsidRPr="008E4EFB">
        <w:rPr>
          <w:rFonts w:ascii="Times New Roman" w:hAnsi="Times New Roman" w:cs="Times New Roman"/>
          <w:kern w:val="24"/>
          <w:sz w:val="24"/>
          <w:szCs w:val="24"/>
        </w:rPr>
        <w:fldChar w:fldCharType="separate"/>
      </w:r>
      <w:r w:rsidR="0004467C" w:rsidRPr="008E4EFB">
        <w:rPr>
          <w:rFonts w:ascii="Times New Roman" w:hAnsi="Times New Roman" w:cs="Times New Roman"/>
          <w:sz w:val="24"/>
          <w:szCs w:val="24"/>
        </w:rPr>
        <w:t>(Belgiu &amp; Drăguţ, 2016; B. Guo et al., 2021; Rubin et al., 2021)</w:t>
      </w:r>
      <w:r w:rsidRPr="008E4EFB">
        <w:rPr>
          <w:rFonts w:ascii="Times New Roman" w:hAnsi="Times New Roman" w:cs="Times New Roman"/>
          <w:kern w:val="24"/>
          <w:sz w:val="24"/>
          <w:szCs w:val="24"/>
        </w:rPr>
        <w:fldChar w:fldCharType="end"/>
      </w:r>
      <w:r w:rsidRPr="008E4EFB">
        <w:rPr>
          <w:rFonts w:ascii="Times New Roman" w:hAnsi="Times New Roman" w:cs="Times New Roman"/>
          <w:kern w:val="24"/>
          <w:sz w:val="24"/>
          <w:szCs w:val="24"/>
        </w:rPr>
        <w:t xml:space="preserve">. The model builds independent decision trees with a goal of minimizing bias by selecting samples with replacement and then takes the average of probabilities from each tree to classify a new sample </w:t>
      </w:r>
      <w:r w:rsidRPr="008E4EFB">
        <w:rPr>
          <w:rFonts w:ascii="Times New Roman" w:hAnsi="Times New Roman" w:cs="Times New Roman"/>
          <w:kern w:val="24"/>
          <w:sz w:val="24"/>
          <w:szCs w:val="24"/>
        </w:rPr>
        <w:fldChar w:fldCharType="begin"/>
      </w:r>
      <w:r w:rsidRPr="008E4EFB">
        <w:rPr>
          <w:rFonts w:ascii="Times New Roman" w:hAnsi="Times New Roman" w:cs="Times New Roman"/>
          <w:kern w:val="24"/>
          <w:sz w:val="24"/>
          <w:szCs w:val="24"/>
        </w:rPr>
        <w:instrText xml:space="preserve"> ADDIN ZOTERO_ITEM CSL_CITATION {"citationID":"OUgbR40M","properties":{"formattedCitation":"(Breiman, 2001)","plainCitation":"(Breiman, 2001)","noteIndex":0},"citationItems":[{"id":1141,"uris":["http://zotero.org/users/3110659/items/EPXVK45N"],"itemData":{"id":1141,"type":"article-journal","container-title":"Machine Learning","DOI":"10.1023/A:1010933404324","issue":"1","page":"5–32","title":"Random forests","volume":"45","author":[{"family":"Breiman","given":"Leo"}],"issued":{"date-parts":[["2001"]]}}}],"schema":"https://github.com/citation-style-language/schema/raw/master/csl-citation.json"} </w:instrText>
      </w:r>
      <w:r w:rsidRPr="008E4EFB">
        <w:rPr>
          <w:rFonts w:ascii="Times New Roman" w:hAnsi="Times New Roman" w:cs="Times New Roman"/>
          <w:kern w:val="24"/>
          <w:sz w:val="24"/>
          <w:szCs w:val="24"/>
        </w:rPr>
        <w:fldChar w:fldCharType="separate"/>
      </w:r>
      <w:r w:rsidRPr="008E4EFB">
        <w:rPr>
          <w:rFonts w:ascii="Times New Roman" w:hAnsi="Times New Roman" w:cs="Times New Roman"/>
          <w:sz w:val="24"/>
          <w:szCs w:val="24"/>
        </w:rPr>
        <w:t>(Breiman, 2001)</w:t>
      </w:r>
      <w:r w:rsidRPr="008E4EFB">
        <w:rPr>
          <w:rFonts w:ascii="Times New Roman" w:hAnsi="Times New Roman" w:cs="Times New Roman"/>
          <w:kern w:val="24"/>
          <w:sz w:val="24"/>
          <w:szCs w:val="24"/>
        </w:rPr>
        <w:fldChar w:fldCharType="end"/>
      </w:r>
      <w:r w:rsidRPr="008E4EFB">
        <w:rPr>
          <w:rFonts w:ascii="Times New Roman" w:hAnsi="Times New Roman" w:cs="Times New Roman"/>
          <w:kern w:val="24"/>
          <w:sz w:val="24"/>
          <w:szCs w:val="24"/>
        </w:rPr>
        <w:t xml:space="preserve">. We used the randomForest package in R </w:t>
      </w:r>
      <w:r w:rsidRPr="008E4EFB">
        <w:rPr>
          <w:rFonts w:ascii="Times New Roman" w:hAnsi="Times New Roman" w:cs="Times New Roman"/>
          <w:kern w:val="24"/>
          <w:sz w:val="24"/>
          <w:szCs w:val="24"/>
        </w:rPr>
        <w:fldChar w:fldCharType="begin"/>
      </w:r>
      <w:r w:rsidRPr="008E4EFB">
        <w:rPr>
          <w:rFonts w:ascii="Times New Roman" w:hAnsi="Times New Roman" w:cs="Times New Roman"/>
          <w:kern w:val="24"/>
          <w:sz w:val="24"/>
          <w:szCs w:val="24"/>
        </w:rPr>
        <w:instrText xml:space="preserve"> ADDIN ZOTERO_ITEM CSL_CITATION {"citationID":"5kcWnc9B","properties":{"formattedCitation":"(R Core Team, 2022)","plainCitation":"(R Core Team, 2022)","noteIndex":0},"citationItems":[{"id":1131,"uris":["http://zotero.org/users/3110659/items/MCWFYDLN"],"itemData":{"id":1131,"type":"software","publisher":"R Foundation for Statistical Computing","title":"R: A Language and Environment for Statistical Computing","URL":"http://R-project.org/","version":"3.6.0","author":[{"family":"R Core Team","given":""}],"accessed":{"date-parts":[["2019",9,23]]},"issued":{"date-parts":[["2022"]]}}}],"schema":"https://github.com/citation-style-language/schema/raw/master/csl-citation.json"} </w:instrText>
      </w:r>
      <w:r w:rsidRPr="008E4EFB">
        <w:rPr>
          <w:rFonts w:ascii="Times New Roman" w:hAnsi="Times New Roman" w:cs="Times New Roman"/>
          <w:kern w:val="24"/>
          <w:sz w:val="24"/>
          <w:szCs w:val="24"/>
        </w:rPr>
        <w:fldChar w:fldCharType="separate"/>
      </w:r>
      <w:r w:rsidRPr="008E4EFB">
        <w:rPr>
          <w:rFonts w:ascii="Times New Roman" w:hAnsi="Times New Roman" w:cs="Times New Roman"/>
          <w:sz w:val="24"/>
          <w:szCs w:val="24"/>
        </w:rPr>
        <w:t>(R Core Team, 2022)</w:t>
      </w:r>
      <w:r w:rsidRPr="008E4EFB">
        <w:rPr>
          <w:rFonts w:ascii="Times New Roman" w:hAnsi="Times New Roman" w:cs="Times New Roman"/>
          <w:kern w:val="24"/>
          <w:sz w:val="24"/>
          <w:szCs w:val="24"/>
        </w:rPr>
        <w:fldChar w:fldCharType="end"/>
      </w:r>
      <w:r w:rsidRPr="008E4EFB">
        <w:rPr>
          <w:rFonts w:ascii="Times New Roman" w:hAnsi="Times New Roman" w:cs="Times New Roman"/>
          <w:kern w:val="24"/>
          <w:sz w:val="24"/>
          <w:szCs w:val="24"/>
        </w:rPr>
        <w:t xml:space="preserve"> to train a random forest on a randomly selected 60% of the data, leaving the remaining 40% for validation. We explicitly included space-time information, following the approach describe by Guam et al. </w:t>
      </w:r>
      <w:r w:rsidRPr="008E4EFB">
        <w:rPr>
          <w:rFonts w:ascii="Times New Roman" w:hAnsi="Times New Roman" w:cs="Times New Roman"/>
          <w:kern w:val="24"/>
          <w:sz w:val="24"/>
          <w:szCs w:val="24"/>
        </w:rPr>
        <w:fldChar w:fldCharType="begin"/>
      </w:r>
      <w:r w:rsidRPr="008E4EFB">
        <w:rPr>
          <w:rFonts w:ascii="Times New Roman" w:hAnsi="Times New Roman" w:cs="Times New Roman"/>
          <w:kern w:val="24"/>
          <w:sz w:val="24"/>
          <w:szCs w:val="24"/>
        </w:rPr>
        <w:instrText xml:space="preserve"> ADDIN ZOTERO_ITEM CSL_CITATION {"citationID":"RxHD87LY","properties":{"formattedCitation":"(Guan et al., 2023)","plainCitation":"(Guan et al., 2023)","noteIndex":0},"citationItems":[{"id":3634,"uris":["http://zotero.org/users/3110659/items/DMSQLZS4"],"itemData":{"id":3634,"type":"article-journal","abstract":"China has experienced persistent fine particulate matter (PM2.5) pollution for the past few years, which adversely affects both physical and mental health. The availability of high-accuracy and full-coverage PM2.5 products will be of substantial value in formulating effective policies to combat and regulate PM2.5 pollution. Therefore, we have developed a similarity distance-based space-time random forest (SDSTRF) model to estimate daily PM2.5 concentrations over China by integrating surface measurements, satellite aerosol products, meteorological data, and auxiliary information. The proposed model not only accounts for spatial-temporal heterogeneity, but also uses the similarity distance to avoid errors caused by outliers. It has undergone rigorous validation through three different cross-validation (CV) approaches and has shown high and stable accuracy, particularly in the site-based CV with a coefficient of determination (R2) of 0.87, and a root mean square error (RMSE) of 10.68 μg/m3, along with a relative RMSE (rRMSE) of 27.48%. In addition, the leave-out data are predicted to determine if the SDSTRF model is accurate in its predictive power, which achieves an impressive site-based CV R2 of 0.80 and an RMSE of 12.89 μg/m3, along with an rRMSE of 33.01%. The results from a variety of validation approaches strongly indicate that the SDSTRF model can provide accurate estimation of PM2.5 concentrations at different time scales and outperform many other space-time models by incorporating similarity distance. The proposed model would be a promising application in air pollution studies with remote sensing.","container-title":"Atmospheric Environment","DOI":"10.1016/j.atmosenv.2023.120043","ISSN":"1352-2310","journalAbbreviation":"Atmospheric Environment","page":"120043","source":"ScienceDirect","title":"A similarity distance-based space-time random forest model for estimating PM2.5 concentrations over China","volume":"313","author":[{"family":"Guan","given":"Shikang"},{"family":"Zhang","given":"Xiaotong"},{"family":"Zhao","given":"Wenbo"},{"family":"Duan","given":"Yanjun"},{"family":"Yang","given":"Shuyue"},{"family":"Yao","given":"Yunjun"},{"family":"Jia","given":"Kun"}],"issued":{"date-parts":[["2023",11,15]]}}}],"schema":"https://github.com/citation-style-language/schema/raw/master/csl-citation.json"} </w:instrText>
      </w:r>
      <w:r w:rsidRPr="008E4EFB">
        <w:rPr>
          <w:rFonts w:ascii="Times New Roman" w:hAnsi="Times New Roman" w:cs="Times New Roman"/>
          <w:kern w:val="24"/>
          <w:sz w:val="24"/>
          <w:szCs w:val="24"/>
        </w:rPr>
        <w:fldChar w:fldCharType="separate"/>
      </w:r>
      <w:r w:rsidRPr="008E4EFB">
        <w:rPr>
          <w:rFonts w:ascii="Times New Roman" w:hAnsi="Times New Roman" w:cs="Times New Roman"/>
          <w:sz w:val="24"/>
          <w:szCs w:val="24"/>
        </w:rPr>
        <w:t>(Guan et al., 2023)</w:t>
      </w:r>
      <w:r w:rsidRPr="008E4EFB">
        <w:rPr>
          <w:rFonts w:ascii="Times New Roman" w:hAnsi="Times New Roman" w:cs="Times New Roman"/>
          <w:kern w:val="24"/>
          <w:sz w:val="24"/>
          <w:szCs w:val="24"/>
        </w:rPr>
        <w:fldChar w:fldCharType="end"/>
      </w:r>
      <w:r w:rsidRPr="008E4EFB">
        <w:rPr>
          <w:rFonts w:ascii="Times New Roman" w:hAnsi="Times New Roman" w:cs="Times New Roman"/>
          <w:kern w:val="24"/>
          <w:sz w:val="24"/>
          <w:szCs w:val="24"/>
        </w:rPr>
        <w:t>.</w:t>
      </w:r>
    </w:p>
    <w:p w14:paraId="4D9E153B" w14:textId="46650929" w:rsidR="00E17BD3" w:rsidRPr="008E4EFB" w:rsidRDefault="00454D36" w:rsidP="00DC4266">
      <w:pPr>
        <w:autoSpaceDE w:val="0"/>
        <w:autoSpaceDN w:val="0"/>
        <w:adjustRightInd w:val="0"/>
        <w:spacing w:after="0" w:line="360" w:lineRule="auto"/>
        <w:rPr>
          <w:rFonts w:ascii="Times New Roman" w:hAnsi="Times New Roman" w:cs="Times New Roman"/>
          <w:kern w:val="24"/>
          <w:sz w:val="24"/>
          <w:szCs w:val="24"/>
        </w:rPr>
      </w:pPr>
      <w:r w:rsidRPr="008E4EFB">
        <w:rPr>
          <w:rFonts w:ascii="Times New Roman" w:hAnsi="Times New Roman" w:cs="Times New Roman"/>
          <w:kern w:val="24"/>
          <w:sz w:val="24"/>
          <w:szCs w:val="24"/>
        </w:rPr>
        <w:t>I also constructed maps of NO</w:t>
      </w:r>
      <w:r w:rsidRPr="008E4EFB">
        <w:rPr>
          <w:rFonts w:ascii="Times New Roman" w:hAnsi="Times New Roman" w:cs="Times New Roman"/>
          <w:kern w:val="24"/>
          <w:sz w:val="24"/>
          <w:szCs w:val="24"/>
          <w:vertAlign w:val="subscript"/>
        </w:rPr>
        <w:t>3</w:t>
      </w:r>
      <w:r w:rsidRPr="008E4EFB">
        <w:rPr>
          <w:rFonts w:ascii="Times New Roman" w:hAnsi="Times New Roman" w:cs="Times New Roman"/>
          <w:kern w:val="24"/>
          <w:sz w:val="24"/>
          <w:szCs w:val="24"/>
          <w:vertAlign w:val="superscript"/>
        </w:rPr>
        <w:t>-</w:t>
      </w:r>
      <w:r w:rsidRPr="008E4EFB">
        <w:rPr>
          <w:rFonts w:ascii="Times New Roman" w:hAnsi="Times New Roman" w:cs="Times New Roman"/>
          <w:kern w:val="24"/>
          <w:sz w:val="24"/>
          <w:szCs w:val="24"/>
        </w:rPr>
        <w:t xml:space="preserve"> and NH</w:t>
      </w:r>
      <w:r w:rsidRPr="008E4EFB">
        <w:rPr>
          <w:rFonts w:ascii="Times New Roman" w:hAnsi="Times New Roman" w:cs="Times New Roman"/>
          <w:kern w:val="24"/>
          <w:sz w:val="24"/>
          <w:szCs w:val="24"/>
          <w:vertAlign w:val="subscript"/>
        </w:rPr>
        <w:t>4</w:t>
      </w:r>
      <w:r w:rsidRPr="008E4EFB">
        <w:rPr>
          <w:rFonts w:ascii="Times New Roman" w:hAnsi="Times New Roman" w:cs="Times New Roman"/>
          <w:kern w:val="24"/>
          <w:sz w:val="24"/>
          <w:szCs w:val="24"/>
          <w:vertAlign w:val="superscript"/>
        </w:rPr>
        <w:t xml:space="preserve">+ </w:t>
      </w:r>
      <w:r w:rsidRPr="008E4EFB">
        <w:rPr>
          <w:rFonts w:ascii="Times New Roman" w:hAnsi="Times New Roman" w:cs="Times New Roman"/>
          <w:kern w:val="24"/>
          <w:sz w:val="24"/>
          <w:szCs w:val="24"/>
        </w:rPr>
        <w:t xml:space="preserve">using inverse-distance weighting (IDW) based only on NTN measurements for the CONUS. Currently, the NADP only has publicly available annual maps but the monthly measurements are available so for a more meaningful comparison </w:t>
      </w:r>
      <w:r w:rsidR="00C24F7C" w:rsidRPr="008E4EFB">
        <w:rPr>
          <w:rFonts w:ascii="Times New Roman" w:hAnsi="Times New Roman" w:cs="Times New Roman"/>
          <w:kern w:val="24"/>
          <w:sz w:val="24"/>
          <w:szCs w:val="24"/>
        </w:rPr>
        <w:t>I</w:t>
      </w:r>
      <w:r w:rsidRPr="008E4EFB">
        <w:rPr>
          <w:rFonts w:ascii="Times New Roman" w:hAnsi="Times New Roman" w:cs="Times New Roman"/>
          <w:kern w:val="24"/>
          <w:sz w:val="24"/>
          <w:szCs w:val="24"/>
        </w:rPr>
        <w:t xml:space="preserve"> constructed monthly maps using a similar though more basic methodology to the NADP’s approach </w:t>
      </w:r>
      <w:r w:rsidRPr="008E4EFB">
        <w:rPr>
          <w:rFonts w:ascii="Times New Roman" w:hAnsi="Times New Roman" w:cs="Times New Roman"/>
          <w:kern w:val="24"/>
          <w:sz w:val="24"/>
          <w:szCs w:val="24"/>
        </w:rPr>
        <w:fldChar w:fldCharType="begin"/>
      </w:r>
      <w:r w:rsidR="0004467C" w:rsidRPr="008E4EFB">
        <w:rPr>
          <w:rFonts w:ascii="Times New Roman" w:hAnsi="Times New Roman" w:cs="Times New Roman"/>
          <w:kern w:val="24"/>
          <w:sz w:val="24"/>
          <w:szCs w:val="24"/>
        </w:rPr>
        <w:instrText xml:space="preserve"> ADDIN ZOTERO_ITEM CSL_CITATION {"citationID":"9vsEsqtm","properties":{"formattedCitation":"(D. B. Schwede &amp; Lear, 2014)","plainCitation":"(D. B. Schwede &amp; Lear, 2014)","noteIndex":0},"citationItems":[{"id":1267,"uris":["http://zotero.org/users/3110659/items/3Z72C2D5"],"itemData":{"id":1267,"type":"article-journal","container-title":"Atmospheric Environment","DOI":"10.1016/j.atmosenv.2014.04.008","page":"207-220","title":"A novel hybrid approach for estimating total deposition in the United States","volume":"92","author":[{"family":"Schwede","given":"Donna B."},{"family":"Lear","given":"Gary G."}],"issued":{"date-parts":[["2014"]]}}}],"schema":"https://github.com/citation-style-language/schema/raw/master/csl-citation.json"} </w:instrText>
      </w:r>
      <w:r w:rsidRPr="008E4EFB">
        <w:rPr>
          <w:rFonts w:ascii="Times New Roman" w:hAnsi="Times New Roman" w:cs="Times New Roman"/>
          <w:kern w:val="24"/>
          <w:sz w:val="24"/>
          <w:szCs w:val="24"/>
        </w:rPr>
        <w:fldChar w:fldCharType="separate"/>
      </w:r>
      <w:r w:rsidR="0004467C" w:rsidRPr="008E4EFB">
        <w:rPr>
          <w:rFonts w:ascii="Times New Roman" w:hAnsi="Times New Roman" w:cs="Times New Roman"/>
          <w:sz w:val="24"/>
          <w:szCs w:val="24"/>
        </w:rPr>
        <w:t>(D. B. Schwede &amp; Lear, 2014)</w:t>
      </w:r>
      <w:r w:rsidRPr="008E4EFB">
        <w:rPr>
          <w:rFonts w:ascii="Times New Roman" w:hAnsi="Times New Roman" w:cs="Times New Roman"/>
          <w:kern w:val="24"/>
          <w:sz w:val="24"/>
          <w:szCs w:val="24"/>
        </w:rPr>
        <w:fldChar w:fldCharType="end"/>
      </w:r>
      <w:r w:rsidRPr="008E4EFB">
        <w:rPr>
          <w:rFonts w:ascii="Times New Roman" w:hAnsi="Times New Roman" w:cs="Times New Roman"/>
          <w:kern w:val="24"/>
          <w:sz w:val="24"/>
          <w:szCs w:val="24"/>
        </w:rPr>
        <w:t xml:space="preserve">. IDW has known issues, such as creating artifacts and </w:t>
      </w:r>
      <w:r w:rsidRPr="008E4EFB">
        <w:rPr>
          <w:rFonts w:ascii="Times New Roman" w:hAnsi="Times New Roman" w:cs="Times New Roman"/>
          <w:kern w:val="24"/>
          <w:sz w:val="24"/>
          <w:szCs w:val="24"/>
        </w:rPr>
        <w:lastRenderedPageBreak/>
        <w:t xml:space="preserve">not performing well in regions with large amounts of variability </w:t>
      </w:r>
      <w:r w:rsidRPr="008E4EFB">
        <w:rPr>
          <w:rFonts w:ascii="Times New Roman" w:hAnsi="Times New Roman" w:cs="Times New Roman"/>
          <w:kern w:val="24"/>
          <w:sz w:val="24"/>
          <w:szCs w:val="24"/>
        </w:rPr>
        <w:fldChar w:fldCharType="begin"/>
      </w:r>
      <w:r w:rsidRPr="008E4EFB">
        <w:rPr>
          <w:rFonts w:ascii="Times New Roman" w:hAnsi="Times New Roman" w:cs="Times New Roman"/>
          <w:kern w:val="24"/>
          <w:sz w:val="24"/>
          <w:szCs w:val="24"/>
        </w:rPr>
        <w:instrText xml:space="preserve"> ADDIN ZOTERO_ITEM CSL_CITATION {"citationID":"vGacYMFA","properties":{"formattedCitation":"(Rubin et al., 2023)","plainCitation":"(Rubin et al., 2023)","noteIndex":0},"citationItems":[{"id":2721,"uris":["http://zotero.org/users/3110659/items/VR74LMWR"],"itemData":{"id":2721,"type":"article-journal","abstract":"Global reactive nitrogen (N) deposition has more than tripled since 1860 and is expected to remain high due to food production and fossil fuel consumption. Global sulfur emissions have been decreasing worldwide over the last 30 years, but many regions are still experiencing unhealthily high levels of deposition. We update the 2010 global deposition budget for reactive nitrogen and sulfur components with new regional wet deposition measurements from Asia, improving the ensemble results of 11 global chemistry transport models from the second phase of the United Nations Economic Commission for Europe's Task Force on Hemispheric Transport of Air Pollution (HTAP II). The observationally adjusted global N deposition budget is 114.5 Tg N, representing a minor increase of 1 % from the model-only derived values, and the adjusted global sulfur deposition budget is 88.9 Tg S, representing a 6.5 % increase from the modeled values, using an interpolation distance of 2.5</w:instrText>
      </w:r>
      <w:r w:rsidRPr="008E4EFB">
        <w:rPr>
          <w:rFonts w:ascii="Cambria Math" w:hAnsi="Cambria Math" w:cs="Cambria Math"/>
          <w:kern w:val="24"/>
          <w:sz w:val="24"/>
          <w:szCs w:val="24"/>
        </w:rPr>
        <w:instrText>∘</w:instrText>
      </w:r>
      <w:r w:rsidRPr="008E4EFB">
        <w:rPr>
          <w:rFonts w:ascii="Times New Roman" w:hAnsi="Times New Roman" w:cs="Times New Roman"/>
          <w:kern w:val="24"/>
          <w:sz w:val="24"/>
          <w:szCs w:val="24"/>
        </w:rPr>
        <w:instrText xml:space="preserve">. Regionally, deposition adjustments can be up to </w:instrText>
      </w:r>
      <w:r w:rsidRPr="008E4EFB">
        <w:rPr>
          <w:rFonts w:ascii="Cambria Math" w:hAnsi="Cambria Math" w:cs="Cambria Math"/>
          <w:kern w:val="24"/>
          <w:sz w:val="24"/>
          <w:szCs w:val="24"/>
        </w:rPr>
        <w:instrText>∼</w:instrText>
      </w:r>
      <w:r w:rsidRPr="008E4EFB">
        <w:rPr>
          <w:rFonts w:ascii="Times New Roman" w:hAnsi="Times New Roman" w:cs="Times New Roman"/>
          <w:kern w:val="24"/>
          <w:sz w:val="24"/>
          <w:szCs w:val="24"/>
        </w:rPr>
        <w:instrText xml:space="preserve"> 73 % for nitrogen and 112 % for sulfur. Our study demonstrates that a global measurement–model fusion approach can improve N and S deposition model estimates at a regional scale, with sufficient availability of observations; however, in large parts of the world, alternative approaches need to be explored. The analysis presented here represents a step forward toward the World Meteorological Organization's goal of global fusion products for accurately mapping harmful air pollution deposition.","container-title":"Atmospheric Chemistry and Physics","DOI":"10.5194/acp-23-7091-2023","ISSN":"1680-7316","issue":"12","language":"English","note":"publisher: Copernicus GmbH","page":"7091-7102","source":"Copernicus Online Journals","title":"Global nitrogen and sulfur deposition mapping using a measurement–model fusion approach","volume":"23","author":[{"family":"Rubin","given":"Hannah J."},{"family":"Fu","given":"Joshua S."},{"family":"Dentener","given":"Frank"},{"family":"Li","given":"Rui"},{"family":"Huang","given":"Kan"},{"family":"Fu","given":"Hongbo"}],"issued":{"date-parts":[["2023",6,27]]}}}],"schema":"https://github.com/citation-style-language/schema/raw/master/csl-citation.json"} </w:instrText>
      </w:r>
      <w:r w:rsidRPr="008E4EFB">
        <w:rPr>
          <w:rFonts w:ascii="Times New Roman" w:hAnsi="Times New Roman" w:cs="Times New Roman"/>
          <w:kern w:val="24"/>
          <w:sz w:val="24"/>
          <w:szCs w:val="24"/>
        </w:rPr>
        <w:fldChar w:fldCharType="separate"/>
      </w:r>
      <w:r w:rsidRPr="008E4EFB">
        <w:rPr>
          <w:rFonts w:ascii="Times New Roman" w:hAnsi="Times New Roman" w:cs="Times New Roman"/>
          <w:sz w:val="24"/>
          <w:szCs w:val="24"/>
        </w:rPr>
        <w:t>(Rubin et al., 2023)</w:t>
      </w:r>
      <w:r w:rsidRPr="008E4EFB">
        <w:rPr>
          <w:rFonts w:ascii="Times New Roman" w:hAnsi="Times New Roman" w:cs="Times New Roman"/>
          <w:kern w:val="24"/>
          <w:sz w:val="24"/>
          <w:szCs w:val="24"/>
        </w:rPr>
        <w:fldChar w:fldCharType="end"/>
      </w:r>
      <w:r w:rsidRPr="008E4EFB">
        <w:rPr>
          <w:rFonts w:ascii="Times New Roman" w:hAnsi="Times New Roman" w:cs="Times New Roman"/>
          <w:kern w:val="24"/>
          <w:sz w:val="24"/>
          <w:szCs w:val="24"/>
        </w:rPr>
        <w:t xml:space="preserve">, but it enables us to compare </w:t>
      </w:r>
      <w:r w:rsidR="00C24F7C" w:rsidRPr="008E4EFB">
        <w:rPr>
          <w:rFonts w:ascii="Times New Roman" w:hAnsi="Times New Roman" w:cs="Times New Roman"/>
          <w:kern w:val="24"/>
          <w:sz w:val="24"/>
          <w:szCs w:val="24"/>
        </w:rPr>
        <w:t>my</w:t>
      </w:r>
      <w:r w:rsidRPr="008E4EFB">
        <w:rPr>
          <w:rFonts w:ascii="Times New Roman" w:hAnsi="Times New Roman" w:cs="Times New Roman"/>
          <w:kern w:val="24"/>
          <w:sz w:val="24"/>
          <w:szCs w:val="24"/>
        </w:rPr>
        <w:t xml:space="preserve"> results at a more meaningful timescale. </w:t>
      </w:r>
    </w:p>
    <w:p w14:paraId="22B9E0A6" w14:textId="77777777" w:rsidR="00E17BD3" w:rsidRPr="008E4EFB" w:rsidRDefault="00E17BD3" w:rsidP="00DC4266">
      <w:pPr>
        <w:pStyle w:val="Style3"/>
        <w:numPr>
          <w:ilvl w:val="1"/>
          <w:numId w:val="11"/>
        </w:numPr>
        <w:spacing w:before="0" w:line="360" w:lineRule="auto"/>
        <w:rPr>
          <w:rFonts w:cs="Times New Roman"/>
          <w:szCs w:val="24"/>
        </w:rPr>
      </w:pPr>
      <w:bookmarkStart w:id="35" w:name="_Toc179917974"/>
      <w:r w:rsidRPr="008E4EFB">
        <w:rPr>
          <w:rFonts w:cs="Times New Roman"/>
          <w:szCs w:val="24"/>
        </w:rPr>
        <w:t>NO</w:t>
      </w:r>
      <w:r w:rsidRPr="008E4EFB">
        <w:rPr>
          <w:rFonts w:cs="Times New Roman"/>
          <w:szCs w:val="24"/>
          <w:vertAlign w:val="subscript"/>
        </w:rPr>
        <w:t>3</w:t>
      </w:r>
      <w:r w:rsidRPr="008E4EFB">
        <w:rPr>
          <w:rFonts w:cs="Times New Roman"/>
          <w:szCs w:val="24"/>
          <w:vertAlign w:val="superscript"/>
        </w:rPr>
        <w:t>-</w:t>
      </w:r>
      <w:r w:rsidRPr="008E4EFB">
        <w:rPr>
          <w:rFonts w:cs="Times New Roman"/>
          <w:szCs w:val="24"/>
        </w:rPr>
        <w:t xml:space="preserve"> Deposition</w:t>
      </w:r>
      <w:bookmarkEnd w:id="35"/>
    </w:p>
    <w:p w14:paraId="5DAE0BEA" w14:textId="1543590C" w:rsidR="00936B99" w:rsidRPr="00936B99" w:rsidRDefault="00E17BD3" w:rsidP="00936B99">
      <w:pPr>
        <w:autoSpaceDE w:val="0"/>
        <w:autoSpaceDN w:val="0"/>
        <w:adjustRightInd w:val="0"/>
        <w:spacing w:after="0" w:line="360" w:lineRule="auto"/>
        <w:rPr>
          <w:rFonts w:ascii="Times New Roman" w:hAnsi="Times New Roman" w:cs="Times New Roman"/>
          <w:sz w:val="24"/>
          <w:szCs w:val="24"/>
        </w:rPr>
      </w:pPr>
      <w:r w:rsidRPr="00936B99">
        <w:rPr>
          <w:rFonts w:ascii="Times New Roman" w:hAnsi="Times New Roman" w:cs="Times New Roman"/>
          <w:b/>
          <w:bCs/>
          <w:sz w:val="24"/>
          <w:szCs w:val="24"/>
        </w:rPr>
        <w:t xml:space="preserve">Figure </w:t>
      </w:r>
      <w:r w:rsidR="00B00353" w:rsidRPr="00936B99">
        <w:rPr>
          <w:rFonts w:ascii="Times New Roman" w:hAnsi="Times New Roman" w:cs="Times New Roman"/>
          <w:b/>
          <w:bCs/>
          <w:sz w:val="24"/>
          <w:szCs w:val="24"/>
        </w:rPr>
        <w:t>3.</w:t>
      </w:r>
      <w:r w:rsidRPr="00936B99">
        <w:rPr>
          <w:rFonts w:ascii="Times New Roman" w:hAnsi="Times New Roman" w:cs="Times New Roman"/>
          <w:b/>
          <w:bCs/>
          <w:sz w:val="24"/>
          <w:szCs w:val="24"/>
        </w:rPr>
        <w:t>1</w:t>
      </w:r>
      <w:r w:rsidRPr="008E4EFB">
        <w:rPr>
          <w:rFonts w:ascii="Times New Roman" w:hAnsi="Times New Roman" w:cs="Times New Roman"/>
          <w:sz w:val="24"/>
          <w:szCs w:val="24"/>
        </w:rPr>
        <w:t xml:space="preserve"> shows the performance of the space-time random forest (STRF) with a training dataset (60% split) and validation dataset (40% split). The mean absolute error (MAE) for the validation data is 0.08 kg/ha and the root mean square error (RMSE) is 0.14 kg/ha. While the STRF does struggle to accurately predict higher measurements of NO</w:t>
      </w:r>
      <w:r w:rsidRPr="008E4EFB">
        <w:rPr>
          <w:rFonts w:ascii="Times New Roman" w:hAnsi="Times New Roman" w:cs="Times New Roman"/>
          <w:sz w:val="24"/>
          <w:szCs w:val="24"/>
          <w:vertAlign w:val="subscript"/>
        </w:rPr>
        <w:t>3</w:t>
      </w:r>
      <w:r w:rsidRPr="008E4EFB">
        <w:rPr>
          <w:rFonts w:ascii="Times New Roman" w:hAnsi="Times New Roman" w:cs="Times New Roman"/>
          <w:sz w:val="24"/>
          <w:szCs w:val="24"/>
          <w:vertAlign w:val="superscript"/>
        </w:rPr>
        <w:t>-</w:t>
      </w:r>
      <w:r w:rsidRPr="008E4EFB">
        <w:rPr>
          <w:rFonts w:ascii="Times New Roman" w:hAnsi="Times New Roman" w:cs="Times New Roman"/>
          <w:sz w:val="24"/>
          <w:szCs w:val="24"/>
        </w:rPr>
        <w:t xml:space="preserve">, it performs well at the lower end of the range where most of the measurements are concentrated.  </w:t>
      </w:r>
      <w:r w:rsidRPr="008E4EFB">
        <w:rPr>
          <w:rFonts w:ascii="Times New Roman" w:eastAsia="Times New Roman" w:hAnsi="Times New Roman" w:cs="Times New Roman"/>
          <w:sz w:val="24"/>
          <w:szCs w:val="24"/>
        </w:rPr>
        <w:t xml:space="preserve">Applying the </w:t>
      </w:r>
      <w:r w:rsidRPr="008E4EFB">
        <w:rPr>
          <w:rFonts w:ascii="Times New Roman" w:hAnsi="Times New Roman" w:cs="Times New Roman"/>
          <w:sz w:val="24"/>
          <w:szCs w:val="24"/>
        </w:rPr>
        <w:t>STRF</w:t>
      </w:r>
      <w:r w:rsidRPr="008E4EFB">
        <w:rPr>
          <w:rFonts w:ascii="Times New Roman" w:eastAsia="Times New Roman" w:hAnsi="Times New Roman" w:cs="Times New Roman"/>
          <w:sz w:val="24"/>
          <w:szCs w:val="24"/>
        </w:rPr>
        <w:t xml:space="preserve"> algorithm to the CONUS to essentially downscale the HTAP II estimates of wet NO</w:t>
      </w:r>
      <w:r w:rsidRPr="008E4EFB">
        <w:rPr>
          <w:rFonts w:ascii="Times New Roman" w:eastAsia="Times New Roman" w:hAnsi="Times New Roman" w:cs="Times New Roman"/>
          <w:sz w:val="24"/>
          <w:szCs w:val="24"/>
          <w:vertAlign w:val="subscript"/>
        </w:rPr>
        <w:t>3</w:t>
      </w:r>
      <w:r w:rsidRPr="008E4EFB">
        <w:rPr>
          <w:rFonts w:ascii="Times New Roman" w:eastAsia="Times New Roman" w:hAnsi="Times New Roman" w:cs="Times New Roman"/>
          <w:sz w:val="24"/>
          <w:szCs w:val="24"/>
          <w:vertAlign w:val="superscript"/>
        </w:rPr>
        <w:t>-</w:t>
      </w:r>
      <w:r w:rsidRPr="008E4EFB">
        <w:rPr>
          <w:rFonts w:ascii="Times New Roman" w:eastAsia="Times New Roman" w:hAnsi="Times New Roman" w:cs="Times New Roman"/>
          <w:sz w:val="24"/>
          <w:szCs w:val="24"/>
        </w:rPr>
        <w:t xml:space="preserve"> deposition results in a 0.1° resolution gridded map for the CONUS for each month of 2010, shown in </w:t>
      </w:r>
      <w:r w:rsidRPr="00936B99">
        <w:rPr>
          <w:rFonts w:ascii="Times New Roman" w:eastAsia="Times New Roman" w:hAnsi="Times New Roman" w:cs="Times New Roman"/>
          <w:b/>
          <w:bCs/>
          <w:sz w:val="24"/>
          <w:szCs w:val="24"/>
        </w:rPr>
        <w:t xml:space="preserve">Figure </w:t>
      </w:r>
      <w:r w:rsidR="00B00353" w:rsidRPr="00936B99">
        <w:rPr>
          <w:rFonts w:ascii="Times New Roman" w:eastAsia="Times New Roman" w:hAnsi="Times New Roman" w:cs="Times New Roman"/>
          <w:b/>
          <w:bCs/>
          <w:sz w:val="24"/>
          <w:szCs w:val="24"/>
        </w:rPr>
        <w:t>3.</w:t>
      </w:r>
      <w:r w:rsidRPr="00936B99">
        <w:rPr>
          <w:rFonts w:ascii="Times New Roman" w:eastAsia="Times New Roman" w:hAnsi="Times New Roman" w:cs="Times New Roman"/>
          <w:b/>
          <w:bCs/>
          <w:sz w:val="24"/>
          <w:szCs w:val="24"/>
        </w:rPr>
        <w:t>2</w:t>
      </w:r>
      <w:r w:rsidRPr="008E4EFB">
        <w:rPr>
          <w:rFonts w:ascii="Times New Roman" w:eastAsia="Times New Roman" w:hAnsi="Times New Roman" w:cs="Times New Roman"/>
          <w:sz w:val="24"/>
          <w:szCs w:val="24"/>
        </w:rPr>
        <w:t xml:space="preserve">. Deposition is highest in the Midwest during the winter and early spring (~ 3 mg/ha) and then declines throughout the summer and fall, although there remain some hotspots in the Southwest in July and August (~2 mg/ha). The spatial pattern of high concentrations in the Midwest </w:t>
      </w:r>
      <w:r w:rsidRPr="008E4EFB">
        <w:rPr>
          <w:rFonts w:ascii="Times New Roman" w:hAnsi="Times New Roman" w:cs="Times New Roman"/>
          <w:sz w:val="24"/>
          <w:szCs w:val="24"/>
        </w:rPr>
        <w:t xml:space="preserve">and particularly low concentrations on the west coast match the NADP’s map of wet nitrate deposition for 2010. This can be seen in </w:t>
      </w:r>
      <w:r w:rsidRPr="00FB123A">
        <w:rPr>
          <w:rFonts w:ascii="Times New Roman" w:hAnsi="Times New Roman" w:cs="Times New Roman"/>
          <w:b/>
          <w:bCs/>
          <w:sz w:val="24"/>
          <w:szCs w:val="24"/>
        </w:rPr>
        <w:t>Figure 3</w:t>
      </w:r>
      <w:r w:rsidR="00B00353" w:rsidRPr="00FB123A">
        <w:rPr>
          <w:rFonts w:ascii="Times New Roman" w:hAnsi="Times New Roman" w:cs="Times New Roman"/>
          <w:b/>
          <w:bCs/>
          <w:sz w:val="24"/>
          <w:szCs w:val="24"/>
        </w:rPr>
        <w:t>.</w:t>
      </w:r>
      <w:r w:rsidR="00FB123A">
        <w:rPr>
          <w:rFonts w:ascii="Times New Roman" w:hAnsi="Times New Roman" w:cs="Times New Roman"/>
          <w:b/>
          <w:bCs/>
          <w:sz w:val="24"/>
          <w:szCs w:val="24"/>
        </w:rPr>
        <w:t>3</w:t>
      </w:r>
      <w:r w:rsidRPr="00FB123A">
        <w:rPr>
          <w:rFonts w:ascii="Times New Roman" w:hAnsi="Times New Roman" w:cs="Times New Roman"/>
          <w:sz w:val="24"/>
          <w:szCs w:val="24"/>
        </w:rPr>
        <w:t>,</w:t>
      </w:r>
      <w:r w:rsidRPr="008E4EFB">
        <w:rPr>
          <w:rFonts w:ascii="Times New Roman" w:hAnsi="Times New Roman" w:cs="Times New Roman"/>
          <w:sz w:val="24"/>
          <w:szCs w:val="24"/>
        </w:rPr>
        <w:t xml:space="preserve"> which shows the difference between </w:t>
      </w:r>
      <w:r w:rsidR="00C24F7C" w:rsidRPr="008E4EFB">
        <w:rPr>
          <w:rFonts w:ascii="Times New Roman" w:hAnsi="Times New Roman" w:cs="Times New Roman"/>
          <w:sz w:val="24"/>
          <w:szCs w:val="24"/>
        </w:rPr>
        <w:t>my</w:t>
      </w:r>
      <w:r w:rsidRPr="008E4EFB">
        <w:rPr>
          <w:rFonts w:ascii="Times New Roman" w:hAnsi="Times New Roman" w:cs="Times New Roman"/>
          <w:sz w:val="24"/>
          <w:szCs w:val="24"/>
        </w:rPr>
        <w:t xml:space="preserve"> map of NO</w:t>
      </w:r>
      <w:r w:rsidRPr="008E4EFB">
        <w:rPr>
          <w:rFonts w:ascii="Times New Roman" w:hAnsi="Times New Roman" w:cs="Times New Roman"/>
          <w:sz w:val="24"/>
          <w:szCs w:val="24"/>
          <w:vertAlign w:val="subscript"/>
        </w:rPr>
        <w:t>3</w:t>
      </w:r>
      <w:r w:rsidRPr="008E4EFB">
        <w:rPr>
          <w:rFonts w:ascii="Times New Roman" w:hAnsi="Times New Roman" w:cs="Times New Roman"/>
          <w:sz w:val="24"/>
          <w:szCs w:val="24"/>
          <w:vertAlign w:val="superscript"/>
        </w:rPr>
        <w:t>-</w:t>
      </w:r>
      <w:r w:rsidRPr="008E4EFB">
        <w:rPr>
          <w:rFonts w:ascii="Times New Roman" w:hAnsi="Times New Roman" w:cs="Times New Roman"/>
          <w:sz w:val="24"/>
          <w:szCs w:val="24"/>
        </w:rPr>
        <w:t xml:space="preserve"> and the NADP’s data, mapped with IDW. In January and February, </w:t>
      </w:r>
      <w:r w:rsidR="00C24F7C" w:rsidRPr="008E4EFB">
        <w:rPr>
          <w:rFonts w:ascii="Times New Roman" w:hAnsi="Times New Roman" w:cs="Times New Roman"/>
          <w:sz w:val="24"/>
          <w:szCs w:val="24"/>
        </w:rPr>
        <w:t>my</w:t>
      </w:r>
      <w:r w:rsidRPr="008E4EFB">
        <w:rPr>
          <w:rFonts w:ascii="Times New Roman" w:hAnsi="Times New Roman" w:cs="Times New Roman"/>
          <w:sz w:val="24"/>
          <w:szCs w:val="24"/>
        </w:rPr>
        <w:t xml:space="preserve"> deposition estimates are lower than the NADP’s data by 1 mg/ha in the Midwest and higher by 1 mg/ha in the Ohio Valley region. </w:t>
      </w:r>
      <w:r w:rsidR="00C24F7C" w:rsidRPr="008E4EFB">
        <w:rPr>
          <w:rFonts w:ascii="Times New Roman" w:hAnsi="Times New Roman" w:cs="Times New Roman"/>
          <w:sz w:val="24"/>
          <w:szCs w:val="24"/>
        </w:rPr>
        <w:t>My</w:t>
      </w:r>
      <w:r w:rsidRPr="008E4EFB">
        <w:rPr>
          <w:rFonts w:ascii="Times New Roman" w:hAnsi="Times New Roman" w:cs="Times New Roman"/>
          <w:sz w:val="24"/>
          <w:szCs w:val="24"/>
        </w:rPr>
        <w:t xml:space="preserve"> map overestimates </w:t>
      </w:r>
      <w:r w:rsidRPr="008E4EFB">
        <w:rPr>
          <w:rFonts w:ascii="Times New Roman" w:eastAsia="Times New Roman" w:hAnsi="Times New Roman" w:cs="Times New Roman"/>
          <w:sz w:val="24"/>
          <w:szCs w:val="24"/>
        </w:rPr>
        <w:t>wet NO</w:t>
      </w:r>
      <w:r w:rsidRPr="008E4EFB">
        <w:rPr>
          <w:rFonts w:ascii="Times New Roman" w:eastAsia="Times New Roman" w:hAnsi="Times New Roman" w:cs="Times New Roman"/>
          <w:sz w:val="24"/>
          <w:szCs w:val="24"/>
          <w:vertAlign w:val="subscript"/>
        </w:rPr>
        <w:t>3</w:t>
      </w:r>
      <w:r w:rsidRPr="008E4EFB">
        <w:rPr>
          <w:rFonts w:ascii="Times New Roman" w:eastAsia="Times New Roman" w:hAnsi="Times New Roman" w:cs="Times New Roman"/>
          <w:sz w:val="24"/>
          <w:szCs w:val="24"/>
          <w:vertAlign w:val="superscript"/>
        </w:rPr>
        <w:t>-</w:t>
      </w:r>
      <w:r w:rsidRPr="008E4EFB">
        <w:rPr>
          <w:rFonts w:ascii="Times New Roman" w:eastAsia="Times New Roman" w:hAnsi="Times New Roman" w:cs="Times New Roman"/>
          <w:sz w:val="24"/>
          <w:szCs w:val="24"/>
        </w:rPr>
        <w:t xml:space="preserve"> deposition in </w:t>
      </w:r>
      <w:r w:rsidR="00936B99" w:rsidRPr="008E4EFB">
        <w:rPr>
          <w:rFonts w:ascii="Times New Roman" w:eastAsia="Times New Roman" w:hAnsi="Times New Roman" w:cs="Times New Roman"/>
          <w:sz w:val="24"/>
          <w:szCs w:val="24"/>
        </w:rPr>
        <w:t xml:space="preserve">northeastern Montana in April by 3 mg/ha but tends to underestimate by less than 1 mg/ha for the rest of the country. </w:t>
      </w:r>
    </w:p>
    <w:p w14:paraId="304EEEBF" w14:textId="77777777" w:rsidR="00936B99" w:rsidRPr="008E4EFB" w:rsidRDefault="00936B99" w:rsidP="00936B99">
      <w:pPr>
        <w:pStyle w:val="Style3"/>
        <w:numPr>
          <w:ilvl w:val="1"/>
          <w:numId w:val="11"/>
        </w:numPr>
        <w:spacing w:before="0" w:line="360" w:lineRule="auto"/>
        <w:rPr>
          <w:rFonts w:cs="Times New Roman"/>
          <w:szCs w:val="24"/>
        </w:rPr>
      </w:pPr>
      <w:bookmarkStart w:id="36" w:name="_Toc179917975"/>
      <w:r w:rsidRPr="008E4EFB">
        <w:rPr>
          <w:rFonts w:cs="Times New Roman"/>
          <w:szCs w:val="24"/>
        </w:rPr>
        <w:t>NH</w:t>
      </w:r>
      <w:r w:rsidRPr="008E4EFB">
        <w:rPr>
          <w:rFonts w:cs="Times New Roman"/>
          <w:szCs w:val="24"/>
          <w:vertAlign w:val="subscript"/>
        </w:rPr>
        <w:t>4</w:t>
      </w:r>
      <w:r w:rsidRPr="008E4EFB">
        <w:rPr>
          <w:rFonts w:cs="Times New Roman"/>
          <w:szCs w:val="24"/>
          <w:vertAlign w:val="superscript"/>
        </w:rPr>
        <w:t>+</w:t>
      </w:r>
      <w:r w:rsidRPr="008E4EFB">
        <w:rPr>
          <w:rFonts w:cs="Times New Roman"/>
          <w:szCs w:val="24"/>
        </w:rPr>
        <w:t xml:space="preserve"> Deposition</w:t>
      </w:r>
      <w:bookmarkEnd w:id="36"/>
      <w:r w:rsidRPr="008E4EFB">
        <w:rPr>
          <w:rFonts w:cs="Times New Roman"/>
          <w:szCs w:val="24"/>
        </w:rPr>
        <w:t xml:space="preserve"> </w:t>
      </w:r>
    </w:p>
    <w:p w14:paraId="5F29F2BF" w14:textId="4AE91A5F" w:rsidR="00936B99" w:rsidRPr="008E4EFB" w:rsidRDefault="00936B99" w:rsidP="00936B99">
      <w:pPr>
        <w:autoSpaceDE w:val="0"/>
        <w:autoSpaceDN w:val="0"/>
        <w:adjustRightInd w:val="0"/>
        <w:spacing w:after="0" w:line="360" w:lineRule="auto"/>
        <w:rPr>
          <w:rFonts w:ascii="Times New Roman" w:hAnsi="Times New Roman" w:cs="Times New Roman"/>
          <w:sz w:val="24"/>
          <w:szCs w:val="24"/>
        </w:rPr>
      </w:pPr>
      <w:r w:rsidRPr="00936B99">
        <w:rPr>
          <w:rFonts w:ascii="Times New Roman" w:hAnsi="Times New Roman" w:cs="Times New Roman"/>
          <w:b/>
          <w:bCs/>
          <w:sz w:val="24"/>
          <w:szCs w:val="24"/>
        </w:rPr>
        <w:t>Figure 3.4</w:t>
      </w:r>
      <w:r w:rsidRPr="008E4EFB">
        <w:rPr>
          <w:rFonts w:ascii="Times New Roman" w:hAnsi="Times New Roman" w:cs="Times New Roman"/>
          <w:sz w:val="24"/>
          <w:szCs w:val="24"/>
        </w:rPr>
        <w:t xml:space="preserve"> shows the performance of the space-time random forest (STRF) with a training dataset (60% split) and validation dataset (40% split) for NH</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 xml:space="preserve">+ </w:t>
      </w:r>
      <w:r w:rsidRPr="008E4EFB">
        <w:rPr>
          <w:rFonts w:ascii="Times New Roman" w:hAnsi="Times New Roman" w:cs="Times New Roman"/>
          <w:sz w:val="24"/>
          <w:szCs w:val="24"/>
        </w:rPr>
        <w:t xml:space="preserve">wet deposition. The mean absolute error (MAE) for the validation data is 0.03 kg/ha and the root mean square error (RMSE) is 0.06 kg/ha. </w:t>
      </w:r>
      <w:r w:rsidRPr="008E4EFB">
        <w:rPr>
          <w:rFonts w:ascii="Times New Roman" w:eastAsia="Times New Roman" w:hAnsi="Times New Roman" w:cs="Times New Roman"/>
          <w:sz w:val="24"/>
          <w:szCs w:val="24"/>
        </w:rPr>
        <w:t xml:space="preserve">Applying the </w:t>
      </w:r>
      <w:r w:rsidRPr="008E4EFB">
        <w:rPr>
          <w:rFonts w:ascii="Times New Roman" w:hAnsi="Times New Roman" w:cs="Times New Roman"/>
          <w:sz w:val="24"/>
          <w:szCs w:val="24"/>
        </w:rPr>
        <w:t>STRF</w:t>
      </w:r>
      <w:r w:rsidRPr="008E4EFB">
        <w:rPr>
          <w:rFonts w:ascii="Times New Roman" w:eastAsia="Times New Roman" w:hAnsi="Times New Roman" w:cs="Times New Roman"/>
          <w:sz w:val="24"/>
          <w:szCs w:val="24"/>
        </w:rPr>
        <w:t xml:space="preserve"> algorithm to the CONUS to essentially downscale the HTAP II estimates of wet </w:t>
      </w:r>
      <w:r w:rsidRPr="008E4EFB">
        <w:rPr>
          <w:rFonts w:ascii="Times New Roman" w:hAnsi="Times New Roman" w:cs="Times New Roman"/>
          <w:sz w:val="24"/>
          <w:szCs w:val="24"/>
        </w:rPr>
        <w:t>NH</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w:t>
      </w:r>
      <w:r w:rsidRPr="008E4EFB">
        <w:rPr>
          <w:rFonts w:ascii="Times New Roman" w:eastAsia="Times New Roman" w:hAnsi="Times New Roman" w:cs="Times New Roman"/>
          <w:sz w:val="24"/>
          <w:szCs w:val="24"/>
        </w:rPr>
        <w:t xml:space="preserve">deposition results in a 0.1° resolution gridded map for the CONUS for each month of 2010, shown in </w:t>
      </w:r>
      <w:r w:rsidRPr="000F3C0B">
        <w:rPr>
          <w:rFonts w:ascii="Times New Roman" w:eastAsia="Times New Roman" w:hAnsi="Times New Roman" w:cs="Times New Roman"/>
          <w:b/>
          <w:bCs/>
          <w:sz w:val="24"/>
          <w:szCs w:val="24"/>
        </w:rPr>
        <w:t>Figure 3.5</w:t>
      </w:r>
      <w:r w:rsidRPr="008E4EFB">
        <w:rPr>
          <w:rFonts w:ascii="Times New Roman" w:eastAsia="Times New Roman" w:hAnsi="Times New Roman" w:cs="Times New Roman"/>
          <w:sz w:val="24"/>
          <w:szCs w:val="24"/>
        </w:rPr>
        <w:t>. Deposition is highest in the Midwest during the spring (~ 1.5 mg/ha) and then declines throughout the summer and fall, although the spatial pattern remains</w:t>
      </w:r>
      <w:r w:rsidRPr="00936B99">
        <w:rPr>
          <w:rFonts w:ascii="Times New Roman" w:eastAsia="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consistent. The spatial pattern of high concentrations in the Midwest </w:t>
      </w:r>
      <w:r w:rsidRPr="008E4EFB">
        <w:rPr>
          <w:rFonts w:ascii="Times New Roman" w:hAnsi="Times New Roman" w:cs="Times New Roman"/>
          <w:sz w:val="24"/>
          <w:szCs w:val="24"/>
        </w:rPr>
        <w:t xml:space="preserve">and particularly low concentrations in the West and Northeast match the NADP’s map of wet </w:t>
      </w:r>
    </w:p>
    <w:p w14:paraId="4790F7BF" w14:textId="77777777" w:rsidR="00936B99" w:rsidRDefault="00936B99" w:rsidP="00DC4266">
      <w:pPr>
        <w:pStyle w:val="Caption"/>
        <w:spacing w:after="0" w:line="360" w:lineRule="auto"/>
        <w:rPr>
          <w:rFonts w:ascii="Times New Roman" w:eastAsia="Times New Roman" w:hAnsi="Times New Roman" w:cs="Times New Roman"/>
          <w:i w:val="0"/>
          <w:iCs w:val="0"/>
          <w:color w:val="auto"/>
          <w:sz w:val="24"/>
          <w:szCs w:val="24"/>
        </w:rPr>
      </w:pPr>
    </w:p>
    <w:p w14:paraId="222660C6" w14:textId="3ECC7CE0" w:rsidR="00936B99" w:rsidRDefault="00936B99" w:rsidP="00DC4266">
      <w:pPr>
        <w:pStyle w:val="Caption"/>
        <w:spacing w:after="0" w:line="360" w:lineRule="auto"/>
        <w:rPr>
          <w:rFonts w:ascii="Times New Roman" w:eastAsia="Times New Roman" w:hAnsi="Times New Roman" w:cs="Times New Roman"/>
          <w:i w:val="0"/>
          <w:iCs w:val="0"/>
          <w:color w:val="auto"/>
          <w:sz w:val="24"/>
          <w:szCs w:val="24"/>
        </w:rPr>
      </w:pPr>
      <w:r w:rsidRPr="008E4EFB">
        <w:rPr>
          <w:rFonts w:ascii="Times New Roman" w:hAnsi="Times New Roman" w:cs="Times New Roman"/>
          <w:noProof/>
          <w:sz w:val="24"/>
          <w:szCs w:val="24"/>
        </w:rPr>
        <w:lastRenderedPageBreak/>
        <w:drawing>
          <wp:inline distT="0" distB="0" distL="0" distR="0" wp14:anchorId="45DF7318" wp14:editId="284F31C4">
            <wp:extent cx="5839764" cy="2352675"/>
            <wp:effectExtent l="0" t="0" r="8890" b="0"/>
            <wp:docPr id="162063037" name="Picture 2" descr="A graph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3037" name="Picture 2" descr="A graph of different colors&#10;&#10;Description automatically generated with medium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69856" cy="2364798"/>
                    </a:xfrm>
                    <a:prstGeom prst="rect">
                      <a:avLst/>
                    </a:prstGeom>
                    <a:noFill/>
                  </pic:spPr>
                </pic:pic>
              </a:graphicData>
            </a:graphic>
          </wp:inline>
        </w:drawing>
      </w:r>
    </w:p>
    <w:p w14:paraId="7997AA7A" w14:textId="77777777" w:rsidR="00936B99" w:rsidRPr="008E4EFB" w:rsidRDefault="00936B99" w:rsidP="00936B99">
      <w:pPr>
        <w:pStyle w:val="Caption"/>
        <w:keepNext/>
        <w:rPr>
          <w:rFonts w:ascii="Times New Roman" w:hAnsi="Times New Roman" w:cs="Times New Roman"/>
          <w:i w:val="0"/>
          <w:iCs w:val="0"/>
          <w:color w:val="auto"/>
          <w:sz w:val="24"/>
          <w:szCs w:val="24"/>
        </w:rPr>
      </w:pPr>
      <w:bookmarkStart w:id="37" w:name="_Toc184062899"/>
      <w:r w:rsidRPr="008E4EFB">
        <w:rPr>
          <w:rFonts w:ascii="Times New Roman" w:hAnsi="Times New Roman" w:cs="Times New Roman"/>
          <w:i w:val="0"/>
          <w:iCs w:val="0"/>
          <w:color w:val="auto"/>
          <w:sz w:val="24"/>
          <w:szCs w:val="24"/>
        </w:rPr>
        <w:t xml:space="preserve">Figure </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STYLEREF 1 \s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3</w:t>
      </w:r>
      <w:r>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Figure \* ARABIC \s 1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The relationship between measured and predicted NO3- for the training (left, R2 = 0.89) and testing (right, R2: 0.89) datasets.</w:t>
      </w:r>
      <w:bookmarkEnd w:id="37"/>
    </w:p>
    <w:p w14:paraId="2B44ED5F" w14:textId="77777777" w:rsidR="00936B99" w:rsidRDefault="00936B99" w:rsidP="00DC4266">
      <w:pPr>
        <w:pStyle w:val="Caption"/>
        <w:spacing w:after="0" w:line="360" w:lineRule="auto"/>
        <w:rPr>
          <w:rFonts w:ascii="Times New Roman" w:eastAsia="Times New Roman" w:hAnsi="Times New Roman" w:cs="Times New Roman"/>
          <w:i w:val="0"/>
          <w:iCs w:val="0"/>
          <w:color w:val="auto"/>
          <w:sz w:val="24"/>
          <w:szCs w:val="24"/>
        </w:rPr>
      </w:pPr>
    </w:p>
    <w:p w14:paraId="25838171" w14:textId="77777777" w:rsidR="00936B99" w:rsidRDefault="00936B99" w:rsidP="00DC4266">
      <w:pPr>
        <w:pStyle w:val="Caption"/>
        <w:spacing w:after="0" w:line="360" w:lineRule="auto"/>
        <w:rPr>
          <w:rFonts w:ascii="Times New Roman" w:eastAsia="Times New Roman" w:hAnsi="Times New Roman" w:cs="Times New Roman"/>
          <w:i w:val="0"/>
          <w:iCs w:val="0"/>
          <w:color w:val="auto"/>
          <w:sz w:val="24"/>
          <w:szCs w:val="24"/>
        </w:rPr>
      </w:pPr>
    </w:p>
    <w:p w14:paraId="280BC613" w14:textId="77777777" w:rsidR="00936B99" w:rsidRDefault="00936B99" w:rsidP="00DC4266">
      <w:pPr>
        <w:pStyle w:val="Caption"/>
        <w:spacing w:after="0" w:line="360" w:lineRule="auto"/>
        <w:rPr>
          <w:rFonts w:ascii="Times New Roman" w:eastAsia="Times New Roman" w:hAnsi="Times New Roman" w:cs="Times New Roman"/>
          <w:i w:val="0"/>
          <w:iCs w:val="0"/>
          <w:color w:val="auto"/>
          <w:sz w:val="24"/>
          <w:szCs w:val="24"/>
        </w:rPr>
      </w:pPr>
    </w:p>
    <w:p w14:paraId="1D401288" w14:textId="77777777" w:rsidR="00936B99" w:rsidRDefault="00936B99" w:rsidP="00DC4266">
      <w:pPr>
        <w:pStyle w:val="Caption"/>
        <w:spacing w:after="0" w:line="360" w:lineRule="auto"/>
        <w:rPr>
          <w:rFonts w:ascii="Times New Roman" w:eastAsia="Times New Roman" w:hAnsi="Times New Roman" w:cs="Times New Roman"/>
          <w:i w:val="0"/>
          <w:iCs w:val="0"/>
          <w:color w:val="auto"/>
          <w:sz w:val="24"/>
          <w:szCs w:val="24"/>
        </w:rPr>
      </w:pPr>
    </w:p>
    <w:p w14:paraId="123050DD" w14:textId="77777777" w:rsidR="00936B99" w:rsidRDefault="00936B99" w:rsidP="00DC4266">
      <w:pPr>
        <w:pStyle w:val="Caption"/>
        <w:spacing w:after="0" w:line="360" w:lineRule="auto"/>
        <w:rPr>
          <w:rFonts w:ascii="Times New Roman" w:eastAsia="Times New Roman" w:hAnsi="Times New Roman" w:cs="Times New Roman"/>
          <w:i w:val="0"/>
          <w:iCs w:val="0"/>
          <w:color w:val="auto"/>
          <w:sz w:val="24"/>
          <w:szCs w:val="24"/>
        </w:rPr>
      </w:pPr>
    </w:p>
    <w:p w14:paraId="6A49CDB8" w14:textId="77777777" w:rsidR="00936B99" w:rsidRDefault="00936B99" w:rsidP="00DC4266">
      <w:pPr>
        <w:pStyle w:val="Caption"/>
        <w:spacing w:after="0" w:line="360" w:lineRule="auto"/>
        <w:rPr>
          <w:rFonts w:ascii="Times New Roman" w:eastAsia="Times New Roman" w:hAnsi="Times New Roman" w:cs="Times New Roman"/>
          <w:i w:val="0"/>
          <w:iCs w:val="0"/>
          <w:color w:val="auto"/>
          <w:sz w:val="24"/>
          <w:szCs w:val="24"/>
        </w:rPr>
      </w:pPr>
    </w:p>
    <w:p w14:paraId="72ACA459" w14:textId="77777777" w:rsidR="00E17BD3" w:rsidRPr="008E4EFB" w:rsidRDefault="00E17BD3" w:rsidP="00ED686E">
      <w:pPr>
        <w:spacing w:line="240" w:lineRule="auto"/>
        <w:rPr>
          <w:rFonts w:ascii="Times New Roman" w:hAnsi="Times New Roman" w:cs="Times New Roman"/>
          <w:sz w:val="24"/>
          <w:szCs w:val="24"/>
        </w:rPr>
      </w:pPr>
    </w:p>
    <w:p w14:paraId="6429D391" w14:textId="77777777" w:rsidR="00E17BD3" w:rsidRPr="008E4EFB" w:rsidRDefault="00E17BD3" w:rsidP="00ED686E">
      <w:pPr>
        <w:pStyle w:val="Caption"/>
        <w:ind w:left="360"/>
        <w:rPr>
          <w:rFonts w:ascii="Times New Roman" w:hAnsi="Times New Roman" w:cs="Times New Roman"/>
          <w:i w:val="0"/>
          <w:iCs w:val="0"/>
          <w:color w:val="auto"/>
          <w:sz w:val="24"/>
          <w:szCs w:val="24"/>
        </w:rPr>
      </w:pPr>
      <w:r w:rsidRPr="008E4EFB">
        <w:rPr>
          <w:rFonts w:ascii="Times New Roman" w:hAnsi="Times New Roman" w:cs="Times New Roman"/>
          <w:i w:val="0"/>
          <w:iCs w:val="0"/>
          <w:noProof/>
          <w:color w:val="auto"/>
          <w:sz w:val="24"/>
          <w:szCs w:val="24"/>
        </w:rPr>
        <w:lastRenderedPageBreak/>
        <w:drawing>
          <wp:inline distT="0" distB="0" distL="0" distR="0" wp14:anchorId="12CBF316" wp14:editId="3539589A">
            <wp:extent cx="5546785" cy="3772525"/>
            <wp:effectExtent l="0" t="0" r="0" b="0"/>
            <wp:docPr id="1146224816"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24816" name="Picture 1" descr="A map of the united states&#10;&#10;Description automatically generated"/>
                    <pic:cNvPicPr/>
                  </pic:nvPicPr>
                  <pic:blipFill>
                    <a:blip r:embed="rId28"/>
                    <a:stretch>
                      <a:fillRect/>
                    </a:stretch>
                  </pic:blipFill>
                  <pic:spPr>
                    <a:xfrm>
                      <a:off x="0" y="0"/>
                      <a:ext cx="5559514" cy="3781182"/>
                    </a:xfrm>
                    <a:prstGeom prst="rect">
                      <a:avLst/>
                    </a:prstGeom>
                  </pic:spPr>
                </pic:pic>
              </a:graphicData>
            </a:graphic>
          </wp:inline>
        </w:drawing>
      </w:r>
      <w:r w:rsidRPr="008E4EFB">
        <w:rPr>
          <w:rFonts w:ascii="Times New Roman" w:hAnsi="Times New Roman" w:cs="Times New Roman"/>
          <w:noProof/>
          <w:color w:val="auto"/>
          <w:sz w:val="24"/>
          <w:szCs w:val="24"/>
          <w14:ligatures w14:val="standardContextual"/>
        </w:rPr>
        <w:t xml:space="preserve"> </w:t>
      </w:r>
      <w:r w:rsidRPr="008E4EFB">
        <w:rPr>
          <w:rFonts w:ascii="Times New Roman" w:hAnsi="Times New Roman" w:cs="Times New Roman"/>
          <w:i w:val="0"/>
          <w:iCs w:val="0"/>
          <w:noProof/>
          <w:color w:val="auto"/>
          <w:sz w:val="24"/>
          <w:szCs w:val="24"/>
        </w:rPr>
        <w:drawing>
          <wp:inline distT="0" distB="0" distL="0" distR="0" wp14:anchorId="7408DBF7" wp14:editId="12EB92A3">
            <wp:extent cx="5598543" cy="3808325"/>
            <wp:effectExtent l="0" t="0" r="2540" b="1905"/>
            <wp:docPr id="69503081"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3081" name="Picture 1" descr="A map of the united states&#10;&#10;Description automatically generated"/>
                    <pic:cNvPicPr/>
                  </pic:nvPicPr>
                  <pic:blipFill>
                    <a:blip r:embed="rId29"/>
                    <a:stretch>
                      <a:fillRect/>
                    </a:stretch>
                  </pic:blipFill>
                  <pic:spPr>
                    <a:xfrm>
                      <a:off x="0" y="0"/>
                      <a:ext cx="5615851" cy="3820099"/>
                    </a:xfrm>
                    <a:prstGeom prst="rect">
                      <a:avLst/>
                    </a:prstGeom>
                  </pic:spPr>
                </pic:pic>
              </a:graphicData>
            </a:graphic>
          </wp:inline>
        </w:drawing>
      </w:r>
    </w:p>
    <w:p w14:paraId="5CD3CA5D" w14:textId="5938C4FD" w:rsidR="00AA1967" w:rsidRPr="008E4EFB" w:rsidRDefault="00AA1967" w:rsidP="00AA1967">
      <w:pPr>
        <w:pStyle w:val="Caption"/>
        <w:rPr>
          <w:rFonts w:ascii="Times New Roman" w:hAnsi="Times New Roman" w:cs="Times New Roman"/>
          <w:i w:val="0"/>
          <w:iCs w:val="0"/>
          <w:color w:val="auto"/>
          <w:sz w:val="24"/>
          <w:szCs w:val="24"/>
        </w:rPr>
      </w:pPr>
      <w:bookmarkStart w:id="38" w:name="_Toc184062900"/>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3</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Monthly wet NO3- deposition over the CONUS in 2010, as modeled from HTAP and OMI satellite data in mg/ha.</w:t>
      </w:r>
      <w:bookmarkEnd w:id="38"/>
    </w:p>
    <w:p w14:paraId="0ED25FC3" w14:textId="399D2651" w:rsidR="00E17BD3" w:rsidRPr="008E4EFB" w:rsidRDefault="00E17BD3" w:rsidP="00AA1967">
      <w:pPr>
        <w:pStyle w:val="Caption"/>
        <w:rPr>
          <w:rFonts w:ascii="Times New Roman" w:hAnsi="Times New Roman" w:cs="Times New Roman"/>
          <w:i w:val="0"/>
          <w:iCs w:val="0"/>
          <w:color w:val="auto"/>
          <w:sz w:val="24"/>
          <w:szCs w:val="24"/>
        </w:rPr>
      </w:pPr>
      <w:r w:rsidRPr="008E4EFB">
        <w:rPr>
          <w:rFonts w:ascii="Times New Roman" w:hAnsi="Times New Roman" w:cs="Times New Roman"/>
          <w:i w:val="0"/>
          <w:iCs w:val="0"/>
          <w:noProof/>
          <w:color w:val="auto"/>
          <w:sz w:val="24"/>
          <w:szCs w:val="24"/>
        </w:rPr>
        <w:lastRenderedPageBreak/>
        <w:drawing>
          <wp:inline distT="0" distB="0" distL="0" distR="0" wp14:anchorId="72652D16" wp14:editId="2E7F95D6">
            <wp:extent cx="5625945" cy="3733800"/>
            <wp:effectExtent l="0" t="0" r="0" b="0"/>
            <wp:docPr id="1648111651"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11651" name="Picture 1" descr="A map of the united states&#10;&#10;Description automatically generated"/>
                    <pic:cNvPicPr/>
                  </pic:nvPicPr>
                  <pic:blipFill>
                    <a:blip r:embed="rId30"/>
                    <a:stretch>
                      <a:fillRect/>
                    </a:stretch>
                  </pic:blipFill>
                  <pic:spPr>
                    <a:xfrm>
                      <a:off x="0" y="0"/>
                      <a:ext cx="5634177" cy="3739263"/>
                    </a:xfrm>
                    <a:prstGeom prst="rect">
                      <a:avLst/>
                    </a:prstGeom>
                  </pic:spPr>
                </pic:pic>
              </a:graphicData>
            </a:graphic>
          </wp:inline>
        </w:drawing>
      </w:r>
      <w:r w:rsidRPr="008E4EFB">
        <w:rPr>
          <w:rFonts w:ascii="Times New Roman" w:hAnsi="Times New Roman" w:cs="Times New Roman"/>
          <w:i w:val="0"/>
          <w:iCs w:val="0"/>
          <w:noProof/>
          <w:color w:val="auto"/>
          <w:sz w:val="24"/>
          <w:szCs w:val="24"/>
        </w:rPr>
        <w:drawing>
          <wp:inline distT="0" distB="0" distL="0" distR="0" wp14:anchorId="6FA3FB7F" wp14:editId="00F41F4B">
            <wp:extent cx="5483482" cy="3670300"/>
            <wp:effectExtent l="0" t="0" r="3175" b="6350"/>
            <wp:docPr id="1622850153"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50153" name="Picture 1" descr="A map of the united states&#10;&#10;Description automatically generated"/>
                    <pic:cNvPicPr/>
                  </pic:nvPicPr>
                  <pic:blipFill>
                    <a:blip r:embed="rId31"/>
                    <a:stretch>
                      <a:fillRect/>
                    </a:stretch>
                  </pic:blipFill>
                  <pic:spPr>
                    <a:xfrm>
                      <a:off x="0" y="0"/>
                      <a:ext cx="5515440" cy="3691691"/>
                    </a:xfrm>
                    <a:prstGeom prst="rect">
                      <a:avLst/>
                    </a:prstGeom>
                  </pic:spPr>
                </pic:pic>
              </a:graphicData>
            </a:graphic>
          </wp:inline>
        </w:drawing>
      </w:r>
    </w:p>
    <w:p w14:paraId="1D0D1F03" w14:textId="061ADD1A" w:rsidR="003F76A6" w:rsidRPr="008E4EFB" w:rsidRDefault="003F76A6" w:rsidP="003F76A6">
      <w:pPr>
        <w:pStyle w:val="Caption"/>
        <w:rPr>
          <w:rFonts w:ascii="Times New Roman" w:hAnsi="Times New Roman" w:cs="Times New Roman"/>
          <w:i w:val="0"/>
          <w:iCs w:val="0"/>
          <w:color w:val="auto"/>
          <w:sz w:val="24"/>
          <w:szCs w:val="24"/>
        </w:rPr>
      </w:pPr>
      <w:bookmarkStart w:id="39" w:name="_Toc184062901"/>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3</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3</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The difference in monthly wet NO3- deposition over the CONUS in 2010 between the RF model estimated wet deposition and an estimate from an IDW map of NADP’s NTN wet deposition measurements in mg/ha.</w:t>
      </w:r>
      <w:bookmarkEnd w:id="39"/>
    </w:p>
    <w:p w14:paraId="31587CF3" w14:textId="77777777" w:rsidR="0028666D" w:rsidRPr="008E4EFB" w:rsidRDefault="00E17BD3" w:rsidP="0028666D">
      <w:pPr>
        <w:pStyle w:val="Caption"/>
        <w:rPr>
          <w:rFonts w:ascii="Times New Roman" w:hAnsi="Times New Roman" w:cs="Times New Roman"/>
          <w:i w:val="0"/>
          <w:iCs w:val="0"/>
          <w:color w:val="auto"/>
          <w:sz w:val="24"/>
          <w:szCs w:val="24"/>
        </w:rPr>
      </w:pPr>
      <w:r w:rsidRPr="008E4EFB">
        <w:rPr>
          <w:rFonts w:ascii="Times New Roman" w:hAnsi="Times New Roman" w:cs="Times New Roman"/>
          <w:noProof/>
          <w:color w:val="auto"/>
          <w:sz w:val="24"/>
          <w:szCs w:val="24"/>
        </w:rPr>
        <w:lastRenderedPageBreak/>
        <w:drawing>
          <wp:inline distT="0" distB="0" distL="0" distR="0" wp14:anchorId="30611FF1" wp14:editId="19133406">
            <wp:extent cx="5943600" cy="2392045"/>
            <wp:effectExtent l="0" t="0" r="0" b="8255"/>
            <wp:docPr id="1362682564" name="Picture 4" descr="A graph of a graph&#10;&#10;Description automatically generated with medium confidence">
              <a:extLst xmlns:a="http://schemas.openxmlformats.org/drawingml/2006/main">
                <a:ext uri="{FF2B5EF4-FFF2-40B4-BE49-F238E27FC236}">
                  <a16:creationId xmlns:a16="http://schemas.microsoft.com/office/drawing/2014/main" id="{E21E4DA9-E2B0-278E-C672-788E2BC7E8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graph&#10;&#10;Description automatically generated with medium confidence">
                      <a:extLst>
                        <a:ext uri="{FF2B5EF4-FFF2-40B4-BE49-F238E27FC236}">
                          <a16:creationId xmlns:a16="http://schemas.microsoft.com/office/drawing/2014/main" id="{E21E4DA9-E2B0-278E-C672-788E2BC7E855}"/>
                        </a:ext>
                      </a:extLst>
                    </pic:cNvPr>
                    <pic:cNvPicPr>
                      <a:picLocks noChangeAspect="1"/>
                    </pic:cNvPicPr>
                  </pic:nvPicPr>
                  <pic:blipFill>
                    <a:blip r:embed="rId32"/>
                    <a:stretch>
                      <a:fillRect/>
                    </a:stretch>
                  </pic:blipFill>
                  <pic:spPr>
                    <a:xfrm>
                      <a:off x="0" y="0"/>
                      <a:ext cx="5943600" cy="2392045"/>
                    </a:xfrm>
                    <a:prstGeom prst="rect">
                      <a:avLst/>
                    </a:prstGeom>
                  </pic:spPr>
                </pic:pic>
              </a:graphicData>
            </a:graphic>
          </wp:inline>
        </w:drawing>
      </w:r>
    </w:p>
    <w:p w14:paraId="5EAE21D5" w14:textId="05F8FECA" w:rsidR="003F76A6" w:rsidRPr="008E4EFB" w:rsidRDefault="003F76A6" w:rsidP="003F76A6">
      <w:pPr>
        <w:pStyle w:val="Caption"/>
        <w:rPr>
          <w:rFonts w:ascii="Times New Roman" w:hAnsi="Times New Roman" w:cs="Times New Roman"/>
          <w:i w:val="0"/>
          <w:iCs w:val="0"/>
          <w:color w:val="auto"/>
          <w:sz w:val="24"/>
          <w:szCs w:val="24"/>
        </w:rPr>
      </w:pPr>
      <w:bookmarkStart w:id="40" w:name="_Toc184062902"/>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3</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4</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The relationship between measured and predicted NH4+ for the training (left, R2 = 0.92) and testing (right, R2: 0.92) datasets.</w:t>
      </w:r>
      <w:bookmarkEnd w:id="40"/>
    </w:p>
    <w:p w14:paraId="775CD96A"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6970114F"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56D42E7A"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3C18AABE"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57924491"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13E1940C"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2CBFAB78"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41A27862"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0F65C92A"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758BFB0B"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047874E5"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73D3053A"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20176F2F"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3011C8F1"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53539D5C"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31910301"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148F4FAD"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193A6BFD"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44DA9170" w14:textId="77777777" w:rsidR="000F3C0B" w:rsidRDefault="000F3C0B" w:rsidP="00DC4266">
      <w:pPr>
        <w:pStyle w:val="Caption"/>
        <w:spacing w:after="0" w:line="360" w:lineRule="auto"/>
        <w:rPr>
          <w:rFonts w:ascii="Times New Roman" w:hAnsi="Times New Roman" w:cs="Times New Roman"/>
          <w:i w:val="0"/>
          <w:iCs w:val="0"/>
          <w:color w:val="auto"/>
          <w:sz w:val="24"/>
          <w:szCs w:val="24"/>
        </w:rPr>
      </w:pPr>
    </w:p>
    <w:p w14:paraId="704FFEAC" w14:textId="77777777" w:rsidR="00E17BD3" w:rsidRPr="008E4EFB" w:rsidRDefault="00E17BD3" w:rsidP="00ED686E">
      <w:pPr>
        <w:pStyle w:val="Caption"/>
        <w:ind w:left="360"/>
        <w:rPr>
          <w:rFonts w:ascii="Times New Roman" w:hAnsi="Times New Roman" w:cs="Times New Roman"/>
          <w:i w:val="0"/>
          <w:iCs w:val="0"/>
          <w:color w:val="auto"/>
          <w:sz w:val="24"/>
          <w:szCs w:val="24"/>
        </w:rPr>
      </w:pPr>
      <w:r w:rsidRPr="008E4EFB">
        <w:rPr>
          <w:rFonts w:ascii="Times New Roman" w:hAnsi="Times New Roman" w:cs="Times New Roman"/>
          <w:i w:val="0"/>
          <w:iCs w:val="0"/>
          <w:noProof/>
          <w:color w:val="auto"/>
          <w:sz w:val="24"/>
          <w:szCs w:val="24"/>
        </w:rPr>
        <w:lastRenderedPageBreak/>
        <w:drawing>
          <wp:inline distT="0" distB="0" distL="0" distR="0" wp14:anchorId="10BF967F" wp14:editId="20FD4CD5">
            <wp:extent cx="5537080" cy="3786039"/>
            <wp:effectExtent l="0" t="0" r="6985" b="5080"/>
            <wp:docPr id="1960829408"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29408" name="Picture 1" descr="A map of the united states&#10;&#10;Description automatically generated"/>
                    <pic:cNvPicPr/>
                  </pic:nvPicPr>
                  <pic:blipFill>
                    <a:blip r:embed="rId33"/>
                    <a:stretch>
                      <a:fillRect/>
                    </a:stretch>
                  </pic:blipFill>
                  <pic:spPr>
                    <a:xfrm>
                      <a:off x="0" y="0"/>
                      <a:ext cx="5567664" cy="3806951"/>
                    </a:xfrm>
                    <a:prstGeom prst="rect">
                      <a:avLst/>
                    </a:prstGeom>
                  </pic:spPr>
                </pic:pic>
              </a:graphicData>
            </a:graphic>
          </wp:inline>
        </w:drawing>
      </w:r>
      <w:r w:rsidRPr="008E4EFB">
        <w:rPr>
          <w:rFonts w:ascii="Times New Roman" w:hAnsi="Times New Roman" w:cs="Times New Roman"/>
          <w:i w:val="0"/>
          <w:iCs w:val="0"/>
          <w:noProof/>
          <w:color w:val="auto"/>
          <w:sz w:val="24"/>
          <w:szCs w:val="24"/>
        </w:rPr>
        <w:drawing>
          <wp:inline distT="0" distB="0" distL="0" distR="0" wp14:anchorId="30795C89" wp14:editId="3ADFCB19">
            <wp:extent cx="5572008" cy="3778370"/>
            <wp:effectExtent l="0" t="0" r="0" b="0"/>
            <wp:docPr id="1484173491"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73491" name="Picture 1" descr="A map of the united states&#10;&#10;Description automatically generated"/>
                    <pic:cNvPicPr/>
                  </pic:nvPicPr>
                  <pic:blipFill>
                    <a:blip r:embed="rId34"/>
                    <a:stretch>
                      <a:fillRect/>
                    </a:stretch>
                  </pic:blipFill>
                  <pic:spPr>
                    <a:xfrm>
                      <a:off x="0" y="0"/>
                      <a:ext cx="5585555" cy="3787556"/>
                    </a:xfrm>
                    <a:prstGeom prst="rect">
                      <a:avLst/>
                    </a:prstGeom>
                  </pic:spPr>
                </pic:pic>
              </a:graphicData>
            </a:graphic>
          </wp:inline>
        </w:drawing>
      </w:r>
    </w:p>
    <w:p w14:paraId="3B655D1F" w14:textId="7D7D970E" w:rsidR="003F76A6" w:rsidRDefault="003F76A6" w:rsidP="003F76A6">
      <w:pPr>
        <w:pStyle w:val="Caption"/>
        <w:rPr>
          <w:rFonts w:ascii="Times New Roman" w:hAnsi="Times New Roman" w:cs="Times New Roman"/>
          <w:i w:val="0"/>
          <w:iCs w:val="0"/>
          <w:color w:val="auto"/>
          <w:sz w:val="24"/>
          <w:szCs w:val="24"/>
        </w:rPr>
      </w:pPr>
      <w:bookmarkStart w:id="41" w:name="_Toc184062903"/>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3</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5</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Monthly wet NH4+ deposition over the CONUS in 2010, as modeled from HTAP and OMI satellite data in mg/ha.</w:t>
      </w:r>
      <w:bookmarkEnd w:id="41"/>
    </w:p>
    <w:p w14:paraId="4F091480" w14:textId="77777777" w:rsidR="00FB123A" w:rsidRPr="008E4EFB" w:rsidRDefault="00FB123A" w:rsidP="00FB123A">
      <w:pPr>
        <w:pStyle w:val="Caption"/>
        <w:ind w:left="360"/>
        <w:rPr>
          <w:rFonts w:ascii="Times New Roman" w:hAnsi="Times New Roman" w:cs="Times New Roman"/>
          <w:i w:val="0"/>
          <w:iCs w:val="0"/>
          <w:color w:val="auto"/>
          <w:sz w:val="24"/>
          <w:szCs w:val="24"/>
        </w:rPr>
      </w:pPr>
      <w:r w:rsidRPr="008E4EFB">
        <w:rPr>
          <w:rFonts w:ascii="Times New Roman" w:hAnsi="Times New Roman" w:cs="Times New Roman"/>
          <w:i w:val="0"/>
          <w:iCs w:val="0"/>
          <w:noProof/>
          <w:color w:val="auto"/>
          <w:sz w:val="24"/>
          <w:szCs w:val="24"/>
        </w:rPr>
        <w:lastRenderedPageBreak/>
        <w:drawing>
          <wp:inline distT="0" distB="0" distL="0" distR="0" wp14:anchorId="634D68BC" wp14:editId="2BB7E0F2">
            <wp:extent cx="5501439" cy="3709358"/>
            <wp:effectExtent l="0" t="0" r="4445" b="5715"/>
            <wp:docPr id="2036586110"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586110" name="Picture 1" descr="A map of the united states&#10;&#10;Description automatically generated"/>
                    <pic:cNvPicPr/>
                  </pic:nvPicPr>
                  <pic:blipFill>
                    <a:blip r:embed="rId35"/>
                    <a:stretch>
                      <a:fillRect/>
                    </a:stretch>
                  </pic:blipFill>
                  <pic:spPr>
                    <a:xfrm>
                      <a:off x="0" y="0"/>
                      <a:ext cx="5519874" cy="3721788"/>
                    </a:xfrm>
                    <a:prstGeom prst="rect">
                      <a:avLst/>
                    </a:prstGeom>
                  </pic:spPr>
                </pic:pic>
              </a:graphicData>
            </a:graphic>
          </wp:inline>
        </w:drawing>
      </w:r>
      <w:r w:rsidRPr="008E4EFB">
        <w:rPr>
          <w:rFonts w:ascii="Times New Roman" w:hAnsi="Times New Roman" w:cs="Times New Roman"/>
          <w:i w:val="0"/>
          <w:iCs w:val="0"/>
          <w:noProof/>
          <w:color w:val="auto"/>
          <w:sz w:val="24"/>
          <w:szCs w:val="24"/>
        </w:rPr>
        <w:drawing>
          <wp:inline distT="0" distB="0" distL="0" distR="0" wp14:anchorId="483D65ED" wp14:editId="767C0FE8">
            <wp:extent cx="5564038" cy="3701631"/>
            <wp:effectExtent l="0" t="0" r="0" b="0"/>
            <wp:docPr id="1072225326"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25326" name="Picture 1" descr="A map of the united states&#10;&#10;Description automatically generated"/>
                    <pic:cNvPicPr/>
                  </pic:nvPicPr>
                  <pic:blipFill>
                    <a:blip r:embed="rId36"/>
                    <a:stretch>
                      <a:fillRect/>
                    </a:stretch>
                  </pic:blipFill>
                  <pic:spPr>
                    <a:xfrm>
                      <a:off x="0" y="0"/>
                      <a:ext cx="5595003" cy="3722231"/>
                    </a:xfrm>
                    <a:prstGeom prst="rect">
                      <a:avLst/>
                    </a:prstGeom>
                  </pic:spPr>
                </pic:pic>
              </a:graphicData>
            </a:graphic>
          </wp:inline>
        </w:drawing>
      </w:r>
    </w:p>
    <w:p w14:paraId="2A64423A" w14:textId="77777777" w:rsidR="00FB123A" w:rsidRPr="008E4EFB" w:rsidRDefault="00FB123A" w:rsidP="00FB123A">
      <w:pPr>
        <w:pStyle w:val="Caption"/>
        <w:rPr>
          <w:rFonts w:ascii="Times New Roman" w:hAnsi="Times New Roman" w:cs="Times New Roman"/>
          <w:i w:val="0"/>
          <w:iCs w:val="0"/>
          <w:color w:val="auto"/>
          <w:sz w:val="24"/>
          <w:szCs w:val="24"/>
        </w:rPr>
      </w:pPr>
      <w:bookmarkStart w:id="42" w:name="_Toc184062904"/>
      <w:r w:rsidRPr="008E4EFB">
        <w:rPr>
          <w:rFonts w:ascii="Times New Roman" w:hAnsi="Times New Roman" w:cs="Times New Roman"/>
          <w:i w:val="0"/>
          <w:iCs w:val="0"/>
          <w:color w:val="auto"/>
          <w:sz w:val="24"/>
          <w:szCs w:val="24"/>
        </w:rPr>
        <w:t xml:space="preserve">Figure </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STYLEREF 1 \s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3</w:t>
      </w:r>
      <w:r>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Figure \* ARABIC \s 1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6</w:t>
      </w:r>
      <w:r>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The difference in monthly wet NH4+ deposition over the CONUS in 2010 between the RF model estimated wet deposition and an estimate from the NADP’s NTN wet deposition maps in mg/ha. Regional averages as estimated by </w:t>
      </w:r>
      <w:proofErr w:type="gramStart"/>
      <w:r w:rsidRPr="008E4EFB">
        <w:rPr>
          <w:rFonts w:ascii="Times New Roman" w:hAnsi="Times New Roman" w:cs="Times New Roman"/>
          <w:i w:val="0"/>
          <w:iCs w:val="0"/>
          <w:color w:val="auto"/>
          <w:sz w:val="24"/>
          <w:szCs w:val="24"/>
        </w:rPr>
        <w:t>the STRF</w:t>
      </w:r>
      <w:proofErr w:type="gramEnd"/>
      <w:r w:rsidRPr="008E4EFB">
        <w:rPr>
          <w:rFonts w:ascii="Times New Roman" w:hAnsi="Times New Roman" w:cs="Times New Roman"/>
          <w:i w:val="0"/>
          <w:iCs w:val="0"/>
          <w:color w:val="auto"/>
          <w:sz w:val="24"/>
          <w:szCs w:val="24"/>
        </w:rPr>
        <w:t xml:space="preserve"> are shown in Table 3.1.</w:t>
      </w:r>
      <w:bookmarkEnd w:id="42"/>
      <w:r w:rsidRPr="008E4EFB">
        <w:rPr>
          <w:rFonts w:ascii="Times New Roman" w:hAnsi="Times New Roman" w:cs="Times New Roman"/>
          <w:i w:val="0"/>
          <w:iCs w:val="0"/>
          <w:color w:val="auto"/>
          <w:sz w:val="24"/>
          <w:szCs w:val="24"/>
        </w:rPr>
        <w:t xml:space="preserve"> </w:t>
      </w:r>
    </w:p>
    <w:p w14:paraId="60EC9E0B" w14:textId="72A4CFC2" w:rsidR="000F3C0B" w:rsidRPr="000F3C0B" w:rsidRDefault="000F3C0B" w:rsidP="000F3C0B">
      <w:pPr>
        <w:pStyle w:val="Caption"/>
        <w:spacing w:after="0" w:line="360" w:lineRule="auto"/>
        <w:rPr>
          <w:rFonts w:ascii="Times New Roman" w:hAnsi="Times New Roman" w:cs="Times New Roman"/>
          <w:i w:val="0"/>
          <w:iCs w:val="0"/>
          <w:color w:val="auto"/>
          <w:sz w:val="24"/>
          <w:szCs w:val="24"/>
        </w:rPr>
      </w:pPr>
      <w:r w:rsidRPr="008E4EFB">
        <w:rPr>
          <w:rFonts w:ascii="Times New Roman" w:hAnsi="Times New Roman" w:cs="Times New Roman"/>
          <w:i w:val="0"/>
          <w:iCs w:val="0"/>
          <w:color w:val="auto"/>
          <w:sz w:val="24"/>
          <w:szCs w:val="24"/>
        </w:rPr>
        <w:lastRenderedPageBreak/>
        <w:t>ammonium deposition</w:t>
      </w:r>
      <w:r w:rsidRPr="00936B99">
        <w:rPr>
          <w:rFonts w:ascii="Times New Roman" w:hAnsi="Times New Roman" w:cs="Times New Roman"/>
          <w:sz w:val="24"/>
          <w:szCs w:val="24"/>
        </w:rPr>
        <w:t xml:space="preserve"> </w:t>
      </w:r>
      <w:r w:rsidRPr="008E4EFB">
        <w:rPr>
          <w:rFonts w:ascii="Times New Roman" w:hAnsi="Times New Roman" w:cs="Times New Roman"/>
          <w:i w:val="0"/>
          <w:iCs w:val="0"/>
          <w:color w:val="auto"/>
          <w:sz w:val="24"/>
          <w:szCs w:val="24"/>
        </w:rPr>
        <w:t xml:space="preserve">for 2010. This can be seen in </w:t>
      </w:r>
      <w:r w:rsidRPr="000F3C0B">
        <w:rPr>
          <w:rFonts w:ascii="Times New Roman" w:hAnsi="Times New Roman" w:cs="Times New Roman"/>
          <w:b/>
          <w:bCs/>
          <w:i w:val="0"/>
          <w:iCs w:val="0"/>
          <w:color w:val="auto"/>
          <w:sz w:val="24"/>
          <w:szCs w:val="24"/>
        </w:rPr>
        <w:t>Figure 3.</w:t>
      </w:r>
      <w:r w:rsidR="00FB123A">
        <w:rPr>
          <w:rFonts w:ascii="Times New Roman" w:hAnsi="Times New Roman" w:cs="Times New Roman"/>
          <w:b/>
          <w:bCs/>
          <w:i w:val="0"/>
          <w:iCs w:val="0"/>
          <w:color w:val="auto"/>
          <w:sz w:val="24"/>
          <w:szCs w:val="24"/>
        </w:rPr>
        <w:t>6</w:t>
      </w:r>
      <w:r w:rsidRPr="008E4EFB">
        <w:rPr>
          <w:rFonts w:ascii="Times New Roman" w:hAnsi="Times New Roman" w:cs="Times New Roman"/>
          <w:i w:val="0"/>
          <w:iCs w:val="0"/>
          <w:color w:val="auto"/>
          <w:sz w:val="24"/>
          <w:szCs w:val="24"/>
        </w:rPr>
        <w:t>, which shows the difference between my map of NH</w:t>
      </w:r>
      <w:r w:rsidRPr="008E4EFB">
        <w:rPr>
          <w:rFonts w:ascii="Times New Roman" w:hAnsi="Times New Roman" w:cs="Times New Roman"/>
          <w:i w:val="0"/>
          <w:iCs w:val="0"/>
          <w:color w:val="auto"/>
          <w:sz w:val="24"/>
          <w:szCs w:val="24"/>
          <w:vertAlign w:val="subscript"/>
        </w:rPr>
        <w:t>4</w:t>
      </w:r>
      <w:r w:rsidRPr="008E4EFB">
        <w:rPr>
          <w:rFonts w:ascii="Times New Roman" w:hAnsi="Times New Roman" w:cs="Times New Roman"/>
          <w:i w:val="0"/>
          <w:iCs w:val="0"/>
          <w:color w:val="auto"/>
          <w:sz w:val="24"/>
          <w:szCs w:val="24"/>
          <w:vertAlign w:val="superscript"/>
        </w:rPr>
        <w:t>+</w:t>
      </w:r>
      <w:r w:rsidRPr="008E4EFB">
        <w:rPr>
          <w:rFonts w:ascii="Times New Roman" w:hAnsi="Times New Roman" w:cs="Times New Roman"/>
          <w:i w:val="0"/>
          <w:iCs w:val="0"/>
          <w:color w:val="auto"/>
          <w:sz w:val="24"/>
          <w:szCs w:val="24"/>
        </w:rPr>
        <w:t>and the NADP’s data, mapped with IDW. For most of the CONUS for the majority of the year, the difference between my map of NH</w:t>
      </w:r>
      <w:r w:rsidRPr="008E4EFB">
        <w:rPr>
          <w:rFonts w:ascii="Times New Roman" w:hAnsi="Times New Roman" w:cs="Times New Roman"/>
          <w:i w:val="0"/>
          <w:iCs w:val="0"/>
          <w:color w:val="auto"/>
          <w:sz w:val="24"/>
          <w:szCs w:val="24"/>
          <w:vertAlign w:val="subscript"/>
        </w:rPr>
        <w:t>4</w:t>
      </w:r>
      <w:r w:rsidRPr="008E4EFB">
        <w:rPr>
          <w:rFonts w:ascii="Times New Roman" w:hAnsi="Times New Roman" w:cs="Times New Roman"/>
          <w:i w:val="0"/>
          <w:iCs w:val="0"/>
          <w:color w:val="auto"/>
          <w:sz w:val="24"/>
          <w:szCs w:val="24"/>
          <w:vertAlign w:val="superscript"/>
        </w:rPr>
        <w:t>+</w:t>
      </w:r>
      <w:r w:rsidRPr="008E4EFB">
        <w:rPr>
          <w:rFonts w:ascii="Times New Roman" w:hAnsi="Times New Roman" w:cs="Times New Roman"/>
          <w:i w:val="0"/>
          <w:iCs w:val="0"/>
          <w:color w:val="auto"/>
          <w:sz w:val="24"/>
          <w:szCs w:val="24"/>
        </w:rPr>
        <w:t xml:space="preserve"> and the NADP’s IDW data is less than 1 mg/ha. However, in northeastern Montana in April, my maps overestimate deposition by 2 </w:t>
      </w:r>
      <w:r w:rsidRPr="000F3C0B">
        <w:rPr>
          <w:rFonts w:ascii="Times New Roman" w:hAnsi="Times New Roman" w:cs="Times New Roman"/>
          <w:i w:val="0"/>
          <w:iCs w:val="0"/>
          <w:color w:val="auto"/>
          <w:sz w:val="24"/>
          <w:szCs w:val="24"/>
        </w:rPr>
        <w:t xml:space="preserve">mg/ha. </w:t>
      </w:r>
    </w:p>
    <w:p w14:paraId="7077E6F5" w14:textId="77777777" w:rsidR="000F3C0B" w:rsidRPr="000F3C0B" w:rsidRDefault="000F3C0B" w:rsidP="000F3C0B">
      <w:pPr>
        <w:pStyle w:val="Style3"/>
        <w:numPr>
          <w:ilvl w:val="1"/>
          <w:numId w:val="11"/>
        </w:numPr>
        <w:spacing w:before="0" w:line="360" w:lineRule="auto"/>
        <w:rPr>
          <w:rFonts w:cs="Times New Roman"/>
          <w:szCs w:val="24"/>
        </w:rPr>
      </w:pPr>
      <w:bookmarkStart w:id="43" w:name="_Toc179917976"/>
      <w:r w:rsidRPr="000F3C0B">
        <w:rPr>
          <w:rFonts w:cs="Times New Roman"/>
          <w:szCs w:val="24"/>
        </w:rPr>
        <w:t>Discussion</w:t>
      </w:r>
      <w:bookmarkEnd w:id="43"/>
    </w:p>
    <w:p w14:paraId="42E43279" w14:textId="77777777" w:rsidR="000F3C0B" w:rsidRPr="000F3C0B" w:rsidRDefault="000F3C0B" w:rsidP="000F3C0B">
      <w:pPr>
        <w:pStyle w:val="Abstract"/>
        <w:spacing w:before="0" w:line="360" w:lineRule="auto"/>
      </w:pPr>
      <w:r w:rsidRPr="000F3C0B">
        <w:t>The most important variables for the STRF prediction are space, time, and elevation, which is also what Guan et al. (2023) found in their PM</w:t>
      </w:r>
      <w:r w:rsidRPr="000F3C0B">
        <w:rPr>
          <w:vertAlign w:val="subscript"/>
        </w:rPr>
        <w:t>2.5</w:t>
      </w:r>
      <w:r w:rsidRPr="000F3C0B">
        <w:t xml:space="preserve"> study with a space-time random forest model. While these variables should not be important in a mechanistic model of wet deposition and ideally, we would be able to predict deposition from satellite data without needing the date and location of the ground-based measurements, the model explicitly relies on them as a proxy for information that cannot easily be measured and therefore incorporated into the model. Some studies have shown that precipitation amounts increase with elevation in mountainous regions </w:t>
      </w:r>
      <w:r w:rsidRPr="000F3C0B">
        <w:fldChar w:fldCharType="begin"/>
      </w:r>
      <w:r w:rsidRPr="000F3C0B">
        <w:instrText xml:space="preserve"> ADDIN ZOTERO_ITEM CSL_CITATION {"citationID":"90r9kP2c","properties":{"formattedCitation":"(Daly et al., 2008)","plainCitation":"(Daly et al., 2008)","noteIndex":0},"citationItems":[{"id":2298,"uris":["http://zotero.org/users/3110659/items/M7S6D8W5"],"itemData":{"id":2298,"type":"article-journal","abstract":"Spatial climate data sets of 1971–2000 mean monthly precipitation and minimum and maximum temperature were developed for the conterminous United States. These 30-arcsec (</w:instrText>
      </w:r>
      <w:r w:rsidRPr="000F3C0B">
        <w:rPr>
          <w:rFonts w:ascii="Cambria Math" w:hAnsi="Cambria Math" w:cs="Cambria Math"/>
        </w:rPr>
        <w:instrText>∼</w:instrText>
      </w:r>
      <w:r w:rsidRPr="000F3C0B">
        <w:instrText xml:space="preserve">800-m) grids are the ofﬁcial spatial climate data sets of the U.S. Department of Agriculture. The PRISM (Parameter-elevation Relationships on Independent Slopes Model) interpolation method was used to develop data sets that reﬂected, as closely as possible, the current state of knowledge of spatial climate patterns in the United States. PRISM calculates a climate–elevation regression for each digital elevation model (DEM) grid cell, and stations entering the regression are assigned weights based primarily on the physiographic similarity of the station to the grid cell. Factors considered are location, elevation, coastal proximity, topographic facet orientation, vertical atmospheric layer, topographic position, and orographic effectiveness of the terrain. Surface stations used in the analysis numbered nearly 13 000 for precipitation and 10 000 for temperature. Station data were spatially quality controlled, and short-period-of-record averages adjusted to better reﬂect the 1971–2000 period.","container-title":"International Journal of Climatology","DOI":"10.1002/joc.1688","ISSN":"08998418, 10970088","issue":"15","journalAbbreviation":"Int. J. Climatol.","language":"en","page":"2031-2064","source":"DOI.org (Crossref)","title":"Physiographically sensitive mapping of climatological temperature and precipitation across the conterminous United States","volume":"28","author":[{"family":"Daly","given":"Christopher"},{"family":"Halbleib","given":"Michael"},{"family":"Smith","given":"Joseph I."},{"family":"Gibson","given":"Wayne P."},{"family":"Doggett","given":"Matthew K."},{"family":"Taylor","given":"George H."},{"family":"Curtis","given":"Jan"},{"family":"Pasteris","given":"Phillip P."}],"issued":{"date-parts":[["2008",12]]}}}],"schema":"https://github.com/citation-style-language/schema/raw/master/csl-citation.json"} </w:instrText>
      </w:r>
      <w:r w:rsidRPr="000F3C0B">
        <w:fldChar w:fldCharType="separate"/>
      </w:r>
      <w:r w:rsidRPr="000F3C0B">
        <w:t>(Daly et al., 2008)</w:t>
      </w:r>
      <w:r w:rsidRPr="000F3C0B">
        <w:fldChar w:fldCharType="end"/>
      </w:r>
      <w:r w:rsidRPr="000F3C0B">
        <w:t xml:space="preserve"> while the concentration of solutes like NH</w:t>
      </w:r>
      <w:r w:rsidRPr="000F3C0B">
        <w:rPr>
          <w:vertAlign w:val="subscript"/>
        </w:rPr>
        <w:t>4</w:t>
      </w:r>
      <w:r w:rsidRPr="000F3C0B">
        <w:rPr>
          <w:vertAlign w:val="superscript"/>
        </w:rPr>
        <w:t>+</w:t>
      </w:r>
      <w:r w:rsidRPr="000F3C0B">
        <w:t xml:space="preserve"> and NO</w:t>
      </w:r>
      <w:r w:rsidRPr="000F3C0B">
        <w:rPr>
          <w:vertAlign w:val="subscript"/>
        </w:rPr>
        <w:t>3</w:t>
      </w:r>
      <w:r w:rsidRPr="000F3C0B">
        <w:rPr>
          <w:vertAlign w:val="superscript"/>
        </w:rPr>
        <w:t>-</w:t>
      </w:r>
      <w:r w:rsidRPr="000F3C0B">
        <w:t xml:space="preserve"> decreases </w:t>
      </w:r>
      <w:r w:rsidRPr="000F3C0B">
        <w:fldChar w:fldCharType="begin"/>
      </w:r>
      <w:r w:rsidRPr="000F3C0B">
        <w:instrText xml:space="preserve"> ADDIN ZOTERO_ITEM CSL_CITATION {"citationID":"ZBp6IzFt","properties":{"formattedCitation":"(Latysh &amp; Wetherbee, 2012)","plainCitation":"(Latysh &amp; Wetherbee, 2012)","noteIndex":0},"citationItems":[{"id":3681,"uris":["http://zotero.org/users/3110659/items/3RTG25HR"],"itemData":{"id":3681,"type":"article-journal","abstract":"High-elevation regions in the United States lack detailed atmospheric wet-deposition data. The National Atmospheric Deposition Program/National Trends Network (NADP/NTN) measures and reports precipitation amounts and chemical constituent concentration and deposition data for the United States on annual isopleth maps using inverse distance weighted (IDW) interpolation methods. This interpolation for unsampled areas does not account for topographic influences. Therefore, NADP/NTN isopleth maps lack detail and potentially underestimate wet deposition in high-elevation regions. The NADP/NTN wet-deposition maps may be improved using precipitation grids generated by other networks. The Parameter-elevation Regressions on Independent Slopes Model (PRISM) produces digital grids of precipitation estimates from many precipitation-monitoring networks and incorporates influences of topographical and geographical features. Because NADP/NTN ion concentrations do not vary with elevation as much as precipitation depths, PRISM is used with unadjusted NADP/NTN data in this paper to calculate ion wet deposition in complex terrain to yield more accurate and detailed isopleth deposition maps in complex terrain. PRISM precipitation estimates generally exceed NADP/NTN precipitation estimates for coastal and mountainous regions in the western United States. NADP/NTN precipitation estimates generally exceed PRISM precipitation estimates for leeward mountainous regions in Washington, Oregon, and Nevada, where abrupt changes in precipitation depths induced by topography are not depicted by IDW interpolation. PRISM-based deposition estimates for nitrate can exceed NADP/NTN estimates by more than 100% for mountainous regions in the western United States.","container-title":"Environmental Monitoring and Assessment","DOI":"10.1007/s10661-011-2009-7","ISSN":"1573-2959","issue":"2","journalAbbreviation":"Environ Monit Assess","language":"en","page":"913-928","source":"Springer Link","title":"Improved mapping of National Atmospheric Deposition Program wet-deposition in complex terrain using PRISM-gridded data sets","volume":"184","author":[{"family":"Latysh","given":"Natalie E."},{"family":"Wetherbee","given":"Gregory Alan"}],"issued":{"date-parts":[["2012",2,1]]}}}],"schema":"https://github.com/citation-style-language/schema/raw/master/csl-citation.json"} </w:instrText>
      </w:r>
      <w:r w:rsidRPr="000F3C0B">
        <w:fldChar w:fldCharType="separate"/>
      </w:r>
      <w:r w:rsidRPr="000F3C0B">
        <w:t>(Latysh &amp; Wetherbee, 2012)</w:t>
      </w:r>
      <w:r w:rsidRPr="000F3C0B">
        <w:fldChar w:fldCharType="end"/>
      </w:r>
      <w:r w:rsidRPr="000F3C0B">
        <w:t xml:space="preserve">, resulting in no apparent linear relationship between the two </w:t>
      </w:r>
      <w:r w:rsidRPr="000F3C0B">
        <w:fldChar w:fldCharType="begin"/>
      </w:r>
      <w:r w:rsidRPr="000F3C0B">
        <w:instrText xml:space="preserve"> ADDIN ZOTERO_ITEM CSL_CITATION {"citationID":"71iSptf6","properties":{"formattedCitation":"(Clow et al., 2015)","plainCitation":"(Clow et al., 2015)","noteIndex":0},"citationItems":[{"id":3684,"uris":["http://zotero.org/users/3110659/items/YM2QE33Q"],"itemData":{"id":3684,"type":"article-journal","abstract":"Lakes and streams in Class 1 wilderness areas in the western United States (U.S.) are at risk from atmospheric deposition of nitrogen (N) and sulfur (S), and protection of these resources is mandated under the Federal Clean Air Act and amendments. Assessment of critical loads, which are the maximum exposure to pollution an area can receive without adverse effects on sensitive ecosystems, requires accurate deposition estimates. However, deposition is difficult and expensive to measure in high-elevation wilderness, and spatial patterns in N and S deposition in these areas remain poorly quantified. In this study, ion-exchange resin (IER) collectors were used to measure dissolved inorganic N (DIN) and S deposition during June 2006–September 2007 at approximately 20 alpine/subalpine sites spanning the Continental Divide in Rocky Mountain National Park. Results indicated good agreement between deposition estimated from IER collectors and commonly used wet + dry methods during summer, but poor agreement during winter. Snowpack sampling was found to be a more accurate way of quantifying DIN and S deposition during winter. Summer DIN deposition was significantly greater on the east side of the park than on the west side (25–50%; p ≤ 0.03), consistent with transport of pollutants to the park from urban and agricultural areas to the east. Sources of atmospheric nitrate (NO3−) were examined using N isotopes. The average δ15N of NO3− from IER collectors was 3.5‰ higher during winter than during summer (p &lt; 0.001), indicating a seasonal shift in the relative importance of regional NOx sources, such as coal combustion and vehicular sources of atmospheric NO3−. There were no significant differences in δ15N of NO3− between east and west sides of the park during summer or winter (p = 0.83), indicating that the two areas may have similar sources of atmospheric NO3−. Results from this study indicate that a combination of IER collectors and snowpack sampling can be used to characterize spatial variability in DIN and S deposition in high-elevation wilderness areas. These data can improve our ability to model critical loads by filling gaps in geographic coverage of deposition monitoring/modeling programs and thus may enable policy makers to better protect sensitive natural resources in Class 1 Wilderness areas.","container-title":"Atmospheric Environment","DOI":"10.1016/j.atmosenv.2014.11.027","ISSN":"1352-2310","journalAbbreviation":"Atmospheric Environment","page":"149-157","source":"ScienceDirect","title":"Spatial patterns of atmospheric deposition of nitrogen and sulfur using ion-exchange resin collectors in Rocky Mountain National Park, USA","volume":"101","author":[{"family":"Clow","given":"David W."},{"family":"Roop","given":"Heidi A."},{"family":"Nanus","given":"Leora"},{"family":"Fenn","given":"Mark E."},{"family":"Sexstone","given":"Graham A."}],"issued":{"date-parts":[["2015",1,1]]}}}],"schema":"https://github.com/citation-style-language/schema/raw/master/csl-citation.json"} </w:instrText>
      </w:r>
      <w:r w:rsidRPr="000F3C0B">
        <w:fldChar w:fldCharType="separate"/>
      </w:r>
      <w:r w:rsidRPr="000F3C0B">
        <w:t>(Clow et al., 2015)</w:t>
      </w:r>
      <w:r w:rsidRPr="000F3C0B">
        <w:fldChar w:fldCharType="end"/>
      </w:r>
      <w:r w:rsidRPr="000F3C0B">
        <w:t xml:space="preserve">. However, the fact that the STRF does heavily depend on elevation means that there is a useful non-linear relationship between deposition and elevation. </w:t>
      </w:r>
    </w:p>
    <w:p w14:paraId="47713455" w14:textId="77777777" w:rsidR="000F3C0B" w:rsidRPr="008E4EFB" w:rsidRDefault="000F3C0B" w:rsidP="000F3C0B">
      <w:pPr>
        <w:pStyle w:val="Abstract"/>
        <w:spacing w:before="0" w:line="360" w:lineRule="auto"/>
      </w:pPr>
      <w:r w:rsidRPr="000F3C0B">
        <w:t>The STRF predicts slightly higher NO</w:t>
      </w:r>
      <w:r w:rsidRPr="000F3C0B">
        <w:rPr>
          <w:vertAlign w:val="superscript"/>
        </w:rPr>
        <w:t>3-</w:t>
      </w:r>
      <w:r w:rsidRPr="000F3C0B">
        <w:t xml:space="preserve"> deposition than the NADP maps in much of the Southwest, by less than 1 kg/ha/month, but lower deposition elsewhere, particularly on the west coast (less than 1 kg/ha/month) and the northern Midwest (between 1 and 2 kg/ha/month). Some of these differences where NADP projects higher values are driven by a lack of OMI satellite data for those regions, such as North and South Dakota in January and February. These data gaps </w:t>
      </w:r>
      <w:r w:rsidRPr="008E4EFB">
        <w:t xml:space="preserve">are due to a combination of cloud cover and other factors that mean the pixels do not pass quality assurance checks and cannot be used for analysis. </w:t>
      </w:r>
    </w:p>
    <w:p w14:paraId="5CF17BB1" w14:textId="77777777" w:rsidR="000F3C0B" w:rsidRPr="000F3C0B" w:rsidRDefault="000F3C0B" w:rsidP="000F3C0B">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Satellite data products inherently contain uncertainty because of interference from the atmosphere and the difficulty in separating the desired measurement from noise. Regions at  higher elevations or with unusual surface conditions may have systematic errors in deposition measurements due to the principal component analysis retrieval method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{"citationID":"Uo65Y4AL","properties":{"formattedCitation":"(Fioletov et al., 2016; Yan et al., 2016)","plainCitation":"(Fioletov et al., 2016; Yan et al., 2016)","noteIndex":0},"citationItems":[{"id":149,"uris":["http://zotero.org/users/local/UDk7s0H0/items/7HLVEMED",["http://zotero.org/users/local/UDk7s0H0/items/7HLVEMED"],"http://zotero.org/users/3110659/items/7HLVEMED"],"itemData":{"id":149,"type":"article-journal","abstract":"&lt;p&gt;&lt;strong class=\"journal-contentHeaderColor\"&gt;Abstract.&lt;/strong&gt; Sulfur dioxide (SO&lt;sub&gt;2&lt;/sub&gt;) measurements from the Ozone Monitoring Instrument (OMI) satellite sensor processed with the new principal component analysis (PCA) algorithm were used to detect large point emission sources or clusters of sources. The total of 491 continuously emitting point sources releasing from about 30 kt yr&lt;sup&gt;−1&lt;/sup&gt; to more than 4000 kt yr&lt;sup&gt;−1&lt;/sup&gt; of SO&lt;sub&gt;2&lt;/sub&gt; per year have been identified and grouped by country and by primary source origin: volcanoes (76 sources); power plants (297); smelters (53); and sources related to the oil and gas industry (65). The sources were identified using different methods, including through OMI measurements themselves applied to a new emission detection algorithm, and their evolution during the 2005–2014 period was traced by estimating annual emissions from each source. For volcanic sources, the study focused on continuous degassing, and emissions from explosive eruptions were excluded. Emissions from degassing volcanic sources were measured, many for the first time, and collectively they account for about 30 % of total SO&lt;sub&gt;2&lt;/sub&gt; emissions estimated from OMI measurements, but that fraction has increased in recent years given that cumulative global emissions from power plants and smelters are declining while emissions from oil and gas industry remained nearly constant. Anthropogenic emissions from the USA declined by 80 % over the 2005–2014 period as did emissions from western and central Europe, whereas emissions from India nearly doubled, and emissions from other large SO&lt;sub&gt;2&lt;/sub&gt;-emitting regions (South Africa, Russia, Mexico, and the Middle East) remained fairly constant. In total, OMI-based estimates account for about a half of total reported anthropogenic SO&lt;sub&gt;2&lt;/sub&gt; emissions; the remaining half is likely related to sources emitting less than 30 kt yr&lt;sup&gt;−1&lt;/sup&gt; and not detected by OMI.&lt;/p&gt;","container-title":"Atmospheric Chemistry and Physics","DOI":"10.5194/acp-16-11497-2016","ISSN":"1680-7316","issue":"18","language":"English","note":"publisher: Copernicus GmbH","page":"11497-11519","source":"acp.copernicus.org","title":"A global catalogue of large SO&lt;sub&gt;2&lt;/sub&gt; sources and emissions derived from the Ozone Monitoring Instrument","volume":"16","author":[{"family":"Fioletov","given":"Vitali E."},{"family":"McLinden","given":"Chris A."},{"family":"Krotkov","given":"Nickolay"},{"family":"Li","given":"Can"},{"family":"Joiner","given":"Joanna"},{"family":"Theys","given":"Nicolas"},{"family":"Carn","given":"Simon"},{"family":"Moran","given":"Mike D."}],"issued":{"date-parts":[["2016",9,15]]}}},{"id":154,"uris":["http://zotero.org/users/local/UDk7s0H0/items/HHHFKTAV",["http://zotero.org/users/local/UDk7s0H0/items/HHHFKTAV"],"http://zotero.org/users/3110659/items/HHHFKTAV"],"itemData":{"id":154,"type":"article-journal","container-title":"Acta Physica Sinica","DOI":"10.7498/aps.65.084204","issue":"8","title":"Comparative Analysis and Verification of Remote Sensing Retrieval Algorithms for Total Atmospheric SO2 Column","URL":"http://wulixb.iphy.ac.cn/article/doi/10.7498/aps.65.084204","volume":"65","author":[{"family":"Yan","given":"Huan-Huan"},{"family":"Li","given":"Xiao-Jing"},{"family":"Zhang","given":"Xing-Ying"},{"family":"Wang","given":"Wei-He"},{"family":"Chen","given":"Liang-Fu"},{"family":"Zhang","given":"Mei-Gen"},{"family":"Xu","given":"Jin"}],"accessed":{"date-parts":[["2021",10,13]]},"issued":{"date-parts":[["2016"]]}}}],"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(Fioletov et al., 2016; Yan et al., 2016)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Additionally, cloudiness is a concern. Particularly cloudy regions may only</w:t>
      </w:r>
      <w:r w:rsidRPr="000F3C0B">
        <w:rPr>
          <w:rFonts w:ascii="Times New Roman" w:hAnsi="Times New Roman" w:cs="Times New Roman"/>
          <w:sz w:val="24"/>
          <w:szCs w:val="24"/>
        </w:rPr>
        <w:t xml:space="preserve"> </w:t>
      </w:r>
      <w:r w:rsidRPr="008E4EFB">
        <w:rPr>
          <w:rFonts w:ascii="Times New Roman" w:hAnsi="Times New Roman" w:cs="Times New Roman"/>
          <w:sz w:val="24"/>
          <w:szCs w:val="24"/>
        </w:rPr>
        <w:t>have a few observations available over the entire year for 2010, meaning the annual average is</w:t>
      </w:r>
    </w:p>
    <w:p w14:paraId="19256C05" w14:textId="77777777" w:rsidR="000F3C0B" w:rsidRPr="000F3C0B" w:rsidRDefault="000F3C0B" w:rsidP="000F3C0B"/>
    <w:p w14:paraId="6E99B6CF" w14:textId="73E713E2" w:rsidR="00763355" w:rsidRPr="008E4EFB" w:rsidRDefault="00763355" w:rsidP="00DC4266">
      <w:pPr>
        <w:spacing w:after="0" w:line="360" w:lineRule="auto"/>
        <w:rPr>
          <w:rFonts w:ascii="Times New Roman" w:hAnsi="Times New Roman" w:cs="Times New Roman"/>
          <w:sz w:val="24"/>
          <w:szCs w:val="24"/>
        </w:rPr>
      </w:pPr>
      <w:proofErr w:type="gramStart"/>
      <w:r w:rsidRPr="008E4EFB">
        <w:rPr>
          <w:rFonts w:ascii="Times New Roman" w:hAnsi="Times New Roman" w:cs="Times New Roman"/>
          <w:sz w:val="24"/>
          <w:szCs w:val="24"/>
        </w:rPr>
        <w:lastRenderedPageBreak/>
        <w:t>biased</w:t>
      </w:r>
      <w:proofErr w:type="gramEnd"/>
      <w:r w:rsidRPr="008E4EFB">
        <w:rPr>
          <w:rFonts w:ascii="Times New Roman" w:hAnsi="Times New Roman" w:cs="Times New Roman"/>
          <w:sz w:val="24"/>
          <w:szCs w:val="24"/>
        </w:rPr>
        <w:t xml:space="preserve"> by clear, sunny days and does not account for rainy days when wet deposition may be higher. This is called clear-sky bias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{"citationID":"P1UavC3g","properties":{"formattedCitation":"(Geddes et al., 2012; Krotkov et al., 2016; McLinden et al., 2014)","plainCitation":"(Geddes et al., 2012; Krotkov et al., 2016; McLinden et al., 2014)","noteIndex":0},"citationItems":[{"id":44,"uris":["http://zotero.org/users/local/UDk7s0H0/items/PQPSTLT9",["http://zotero.org/users/local/UDk7s0H0/items/PQPSTLT9"],"http://zotero.org/users/3110659/items/PQPSTLT9"],"itemData":{"id":44,"type":"article-journal","abstract":"Retrievals of atmospheric trace gas column densities from space are compromised by the presence of clouds, requiring most studies to exclude observations with signiﬁcant cloud fractions in the instrument's ﬁeld of view. Using NO2 observations at three ground stations representing urban, suburban, and rural environments, and tropospheric vertical column densities measured by the Ozone Monitoring Instrument (OMI) over each site, we show that the observations from space represent monthly averaged ground-level pollutant conditions well (R = 0.86) under relatively cloud-free conditions. However, by analyzing the ground-level data and applying the OMI cloud fraction as a ﬁlter, we show there is a signiﬁcant bias in long-term averaged NO2 as a result of removing the data during cloudy conditions. For the ground-based sites considered in this study, excluding observations on days when OMI-derived cloud fractions were greater than 0.2 causes 12:00–14:00 mean summer mixing ratios to be underestimated by 12% ± 6%, 20% ± 7%, and 40% ± 10% on average (±1 standard deviation) at the urban, suburban, and rural sites respectively. This bias was investigated in particular at the rural site, a region where pollutant transport is the main source of NO2, and where longterm observations of NOy were also available. Evidence of changing photochemical conditions and a correlation between clear skies and the transport of cleaner air masses play key roles in explaining the bias. The magnitude of a bias is expected to vary from site to site depending on meteorology and proximity to NOx sources, and decreases when longer averaging times of ground station data (e.g. 24-h) are used for the comparison.","container-title":"Remote Sensing of Environment","DOI":"10.1016/j.rse.2012.05.008","ISSN":"00344257","journalAbbreviation":"Remote Sensing of Environment","language":"en","page":"210-216","source":"DOI.org (Crossref)","title":"Biases in long-term NO2 averages inferred from satellite observations due to cloud selection criteria","volume":"124","author":[{"family":"Geddes","given":"Jeffrey A."},{"family":"Murphy","given":"Jennifer G."},{"family":"O'Brien","given":"Jason M."},{"family":"Celarier","given":"Edward A."}],"issued":{"date-parts":[["2012",9]]}}},{"id":202,"uris":["http://zotero.org/users/local/UDk7s0H0/items/LCKA2IEC",["http://zotero.org/users/local/UDk7s0H0/items/LCKA2IEC"],"http://zotero.org/users/3110659/items/LCKA2IEC"],"itemData":{"id":202,"type":"article-journal","abstract":"Abstract. The Ozone Monitoring Instrument (OMI) onboard NASA's Aura satellite has been providing global observations of the ozone layer and key atmospheric pollutant gases, such as nitrogen dioxide (NO2) and sulfur dioxide (SO2), since October 2004. The data products from the same instrument provide consistent spatial and temporal coverage and permit the study of anthropogenic and natural emissions on local-to-global scales. In this paper, we examine changes in SO2 and NO2 over some of the world's most polluted industrialized regions during the first decade of OMI observations. In terms of regional pollution changes, we see both upward and downward trends, sometimes in opposite directions for NO2 and SO2, for different study areas. The trends are, for the most part, associated with economic and/or technological changes in energy use, as well as regional regulatory policies. Over the eastern US, both NO2 and SO2 levels decreased dramatically from 2005 to 2015, by more than 40 and 80 %, respectively, as a result of both technological improvements and stricter regulations of emissions. OMI confirmed large reductions in SO2 over eastern Europe's largest coal-fired power plants after installation of flue gas desulfurization devices. The North China Plain has the world's most severe SO2 pollution, but a decreasing trend has been observed since 2011, with about a 50 % reduction in 2012–2015, due to an economic slowdown and government efforts to restrain emissions from the power and industrial sectors. In contrast, India's SO2 and NO2 levels from coal power plants and smelters are growing at a fast pace, increasing by more than 100 and 50 %, respectively, from 2005 to 2015. Several SO2 hot spots observed over the Persian Gulf are probably related to oil and gas operations and indicate a possible underestimation of emissions from these sources in bottom-up emission inventories. Overall, OMI observations have proved valuable in documenting rapid changes in air quality over different parts of the world during last decade. The baseline established during the first 11 years of OMI is indispensable for the interpretation of air quality measurements from current and future satellite atmospheric composition missions.","container-title":"Atmospheric Chemistry and Physics","DOI":"10.5194/acp-16-4605-2016","ISSN":"1680-7324","issue":"7","journalAbbreviation":"Atmos. Chem. Phys.","language":"en","page":"4605-4629","source":"DOI.org (Crossref)","title":"Aura OMI observations of regional SO&amp;lt;sub&amp;gt;2&amp;lt;/sub&amp;gt; and NO&amp;lt;sub&amp;gt;2&amp;lt;/sub&amp;gt; pollution changes from 2005 to 2015","volume":"16","author":[{"family":"Krotkov","given":"Nickolay A."},{"family":"McLinden","given":"Chris A."},{"family":"Li","given":"Can"},{"family":"Lamsal","given":"Lok N."},{"family":"Celarier","given":"Edward A."},{"family":"Marchenko","given":"Sergey V."},{"family":"Swartz","given":"William H."},{"family":"Bucsela","given":"Eric J."},{"family":"Joiner","given":"Joanna"},{"family":"Duncan","given":"Bryan N."},{"family":"Boersma","given":"K. Folkert"},{"family":"Veefkind","given":"J. Pepijn"},{"family":"Levelt","given":"Pieternel F."},{"family":"Fioletov","given":"Vitali E."},{"family":"Dickerson","given":"Russell R."},{"family":"He","given":"Hao"},{"family":"Lu","given":"Zifeng"},{"family":"Streets","given":"David G."}],"issued":{"date-parts":[["2016",4,13]]}}},{"id":204,"uris":["http://zotero.org/users/local/UDk7s0H0/items/EDVCQ6IG",["http://zotero.org/users/local/UDk7s0H0/items/EDVCQ6IG"],"http://zotero.org/users/3110659/items/EDVCQ6IG"],"itemData":{"id":204,"type":"article-journal","abstract":"Abstract. Satellite remote sensing is increasingly being used to monitor air quality over localized sources such as the Canadian oil sands. Following an initial study, significantly low biases have been identified in current NO2 and SO2 retrieval products from the Ozone Monitoring Instrument (OMI) satellite sensor over this location resulting from a combination of its rapid development and small spatial scale. Air mass factors (AMFs) used to convert line-of-sight \"slant\" columns to vertical columns were re-calculated for this region based on updated and higher resolution input information including absorber profiles from a regional-scale (15 km × 15 km resolution) air quality model, higher spatial and temporal resolution surface reflectivity, and an improved treatment of snow. The overall impact of these new Environment Canada (EC) AMFs led to substantial increases in the peak NO2 and SO2 average vertical column density (VCD), occurring over an area of intensive surface mining, by factors of 2 and 1.4, respectively, relative to estimates made with previous AMFs. Comparisons are made with long-term averages of NO2 and SO2 (2005–2011) from in situ surface monitors by using the air quality model to map the OMI VCDs to surface concentrations. This new OMI-EC product is able to capture the spatial distribution of the in situ instruments (slopes of 0.65 to 1.0, correlation coefficients of &gt;0.9). The concentration absolute values from surface network observations were in reasonable agreement, with OMI-EC NO2 and SO2 biased low by roughly 30%. Several complications were addressed including correction for the interference effect in the surface NO2 instruments and smoothing and clear-sky biases in the OMI measurements. Overall these results highlight the importance of using input information that accounts for the spatial and temporal variability of the location of interest when performing retrievals.","container-title":"Atmospheric Chemistry and Physics","DOI":"10.5194/acp-14-3637-2014","ISSN":"1680-7324","issue":"7","journalAbbreviation":"Atmos. Chem. Phys.","language":"en","page":"3637-3656","source":"DOI.org (Crossref)","title":"Improved satellite retrievals of NO&amp;lt;sub&amp;gt;2&amp;lt;/sub&amp;gt; and SO&amp;lt;sub&amp;gt;2&amp;lt;/sub&amp;gt; over the Canadian oil sands and comparisons with surface measurements","volume":"14","author":[{"family":"McLinden","given":"C. A."},{"family":"Fioletov","given":"V."},{"family":"Boersma","given":"K. F."},{"family":"Kharol","given":"S. K."},{"family":"Krotkov","given":"N."},{"family":"Lamsal","given":"L."},{"family":"Makar","given":"P. A."},{"family":"Martin","given":"R. V."},{"family":"Veefkind","given":"J. P."},{"family":"Yang","given":"K."}],"issued":{"date-parts":[["2014",4,9]]}}}],"schema":"https://github.com/citation-style-language/schema/raw/master/csl-citation.json"}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(Geddes et al., 2012; Krotkov et al., 2016; McLinden et al., 2014)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We make an effort to </w:t>
      </w:r>
      <w:proofErr w:type="gramStart"/>
      <w:r w:rsidRPr="008E4EFB">
        <w:rPr>
          <w:rFonts w:ascii="Times New Roman" w:hAnsi="Times New Roman" w:cs="Times New Roman"/>
          <w:sz w:val="24"/>
          <w:szCs w:val="24"/>
        </w:rPr>
        <w:t>correct for</w:t>
      </w:r>
      <w:proofErr w:type="gramEnd"/>
      <w:r w:rsidRPr="008E4EFB">
        <w:rPr>
          <w:rFonts w:ascii="Times New Roman" w:hAnsi="Times New Roman" w:cs="Times New Roman"/>
          <w:sz w:val="24"/>
          <w:szCs w:val="24"/>
        </w:rPr>
        <w:t xml:space="preserve"> this bias by including cloud cover as a predictor variable in the </w:t>
      </w:r>
      <w:proofErr w:type="gramStart"/>
      <w:r w:rsidRPr="008E4EFB">
        <w:rPr>
          <w:rFonts w:ascii="Times New Roman" w:hAnsi="Times New Roman" w:cs="Times New Roman"/>
          <w:sz w:val="24"/>
          <w:szCs w:val="24"/>
        </w:rPr>
        <w:t>STRF</w:t>
      </w:r>
      <w:proofErr w:type="gramEnd"/>
      <w:r w:rsidRPr="008E4EFB">
        <w:rPr>
          <w:rFonts w:ascii="Times New Roman" w:hAnsi="Times New Roman" w:cs="Times New Roman"/>
          <w:sz w:val="24"/>
          <w:szCs w:val="24"/>
        </w:rPr>
        <w:t xml:space="preserve"> but we cannot simulate data that do not exist on particularly cloudy days, potentially leading to a small but systematic underestimation in some regions. For example, January 2010 is shown in </w:t>
      </w:r>
      <w:r w:rsidRPr="000F3C0B">
        <w:rPr>
          <w:rFonts w:ascii="Times New Roman" w:hAnsi="Times New Roman" w:cs="Times New Roman"/>
          <w:b/>
          <w:bCs/>
          <w:sz w:val="24"/>
          <w:szCs w:val="24"/>
        </w:rPr>
        <w:t xml:space="preserve">Figure </w:t>
      </w:r>
      <w:r w:rsidR="00170610">
        <w:rPr>
          <w:rFonts w:ascii="Times New Roman" w:hAnsi="Times New Roman" w:cs="Times New Roman"/>
          <w:b/>
          <w:bCs/>
          <w:sz w:val="24"/>
          <w:szCs w:val="24"/>
        </w:rPr>
        <w:t>S</w:t>
      </w:r>
      <w:r w:rsidR="00B00353" w:rsidRPr="000F3C0B">
        <w:rPr>
          <w:rFonts w:ascii="Times New Roman" w:hAnsi="Times New Roman" w:cs="Times New Roman"/>
          <w:b/>
          <w:bCs/>
          <w:sz w:val="24"/>
          <w:szCs w:val="24"/>
        </w:rPr>
        <w:t>3.</w:t>
      </w:r>
      <w:r w:rsidR="00170610">
        <w:rPr>
          <w:rFonts w:ascii="Times New Roman" w:hAnsi="Times New Roman" w:cs="Times New Roman"/>
          <w:b/>
          <w:bCs/>
          <w:sz w:val="24"/>
          <w:szCs w:val="24"/>
        </w:rPr>
        <w:t>1</w:t>
      </w:r>
      <w:r w:rsidRPr="008E4EFB">
        <w:rPr>
          <w:rFonts w:ascii="Times New Roman" w:hAnsi="Times New Roman" w:cs="Times New Roman"/>
          <w:sz w:val="24"/>
          <w:szCs w:val="24"/>
        </w:rPr>
        <w:t xml:space="preserve"> and there are no OMI measurements over parts of the Upper Midwest and Rocky Mountains, so the original HTAP II grid is unchanged in those locations. This could be due to </w:t>
      </w:r>
      <w:r w:rsidR="00FB123A">
        <w:rPr>
          <w:rFonts w:ascii="Times New Roman" w:hAnsi="Times New Roman" w:cs="Times New Roman"/>
          <w:sz w:val="24"/>
          <w:szCs w:val="24"/>
        </w:rPr>
        <w:t>errors</w:t>
      </w:r>
      <w:r w:rsidRPr="008E4EFB">
        <w:rPr>
          <w:rFonts w:ascii="Times New Roman" w:hAnsi="Times New Roman" w:cs="Times New Roman"/>
          <w:sz w:val="24"/>
          <w:szCs w:val="24"/>
        </w:rPr>
        <w:t xml:space="preserve"> in the satellite processing other than cloudiness. For example, the systematic removal of negative values from the satellite columns during pre-processing yields a bias towards higher values. The negative values are an error and cannot be used since there is no way to interpret a negative average deposition over a particular region, but these negative values could potentially correspond to very low deposition values that are improperly processed. </w:t>
      </w:r>
    </w:p>
    <w:p w14:paraId="1A0711B9" w14:textId="77777777" w:rsidR="00763355" w:rsidRPr="008E4EFB" w:rsidRDefault="00763355"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Another consideration is that IASI is known to be less reliable during temperature inversions and wintertime, though the reanalysis dataset that we use does have temperature corrections from the boundary layer to account for this issue. It is important to note that </w:t>
      </w:r>
      <w:r w:rsidRPr="008E4EFB">
        <w:rPr>
          <w:rFonts w:ascii="Times New Roman" w:hAnsi="Times New Roman" w:cs="Times New Roman"/>
          <w:i/>
          <w:iCs/>
          <w:sz w:val="24"/>
          <w:szCs w:val="24"/>
        </w:rPr>
        <w:t>in situ</w:t>
      </w:r>
      <w:r w:rsidRPr="008E4EFB">
        <w:rPr>
          <w:rFonts w:ascii="Times New Roman" w:hAnsi="Times New Roman" w:cs="Times New Roman"/>
          <w:sz w:val="24"/>
          <w:szCs w:val="24"/>
        </w:rPr>
        <w:t xml:space="preserve"> measurements also have biases and while they are used as ground truth data here, they also include some uncertainty. For example, if a measurement is lower than the detection limit, it may be corrected to reflect the detection limit, rather than the actual measurement value which is unknown. </w:t>
      </w:r>
    </w:p>
    <w:p w14:paraId="1C3F96B0" w14:textId="40C0267B" w:rsidR="00763355" w:rsidRPr="008E4EFB" w:rsidRDefault="00763355" w:rsidP="00DC4266">
      <w:pPr>
        <w:pStyle w:val="Abstract"/>
        <w:spacing w:before="0" w:line="360" w:lineRule="auto"/>
      </w:pPr>
      <w:r w:rsidRPr="008E4EFB">
        <w:t>Recent work using CMAQ to model NO</w:t>
      </w:r>
      <w:r w:rsidRPr="008E4EFB">
        <w:rPr>
          <w:vertAlign w:val="subscript"/>
        </w:rPr>
        <w:t>3</w:t>
      </w:r>
      <w:r w:rsidRPr="008E4EFB">
        <w:rPr>
          <w:vertAlign w:val="superscript"/>
        </w:rPr>
        <w:t>-</w:t>
      </w:r>
      <w:r w:rsidRPr="008E4EFB">
        <w:t xml:space="preserve"> deposition found that the highest wet deposition from 2002-2017 occurred in the Upper Midwest (7.83 kg/ha/yr), Ohio Valley (10.44 kg/ha/yr), and the Northeast (9.79 kg/ha/yr) </w:t>
      </w:r>
      <w:r w:rsidRPr="008E4EFB">
        <w:fldChar w:fldCharType="begin"/>
      </w:r>
      <w:r w:rsidRPr="008E4EFB">
        <w:instrText xml:space="preserve"> ADDIN ZOTERO_ITEM CSL_CITATION {"citationID":"MnzDpXNw","properties":{"formattedCitation":"(Benish et al., 2022)","plainCitation":"(Benish et al., 2022)","noteIndex":0},"citationItems":[{"id":3639,"uris":["http://zotero.org/users/3110659/items/H2XUQF5H"],"itemData":{"id":3639,"type":"article-journal","abstract":"Atmospheric deposition of nitrogen (N) and sulfur (S) compounds from human activity has greatly declined in the United States (US) over the past several decades in response to emission controls set by the Clean Air Act. While many observational studies have investigated spatial and temporal trends of atmospheric deposition, modeling assessments can provide useful information over areas with sparse measurements, although they usually have larger horizontal resolutions and are limited by input data availability. In this analysis, we evaluate wet, dry, and total N and S deposition from multiyear simulations within the contiguous US (CONUS). Community Multiscale Air Quality (CMAQ) model estimates from the EPA's (Environmental Protection Agency) Air QUAlity TimE Series (EQUATES) project contain important model updates to atmospheric deposition algorithms compared to previous model data, including the new Surface Tiled Aerosol and Gaseous Exchange (STAGE) bidirectional deposition model which contains land-use-specific resistance parameterization and land-use-specific deposition estimates needed to estimate the differential impacts of N deposition to different land use types. First, we evaluate model estimates of wet deposition and ambient concentrations, finding underestimates of SO4, NO3, and NH4 wet deposition compared to National Atmospheric Deposition Program observations and underestimates of NH4 and SO4 and overestimates of SO2 and TNO3 (HNO3+NO3) compared to the Clean Air Status and Trends Network (CASTNET) ambient concentrations. Second, a measurement–model fusion approach employing a precipitation and bias correction to wet-deposition estimates is found to reduce model bias and improve correlations compared to the unadjusted model values. Model agreement of wet deposition is poor over parts of the West and Northern Rockies, due to errors in precipitation estimates caused by complex terrain and uncertainty in emissions at the relatively coarse 12 km grid resolution used in this study. Next, we assess modeled N and S deposition trends across climatologically consistent regions in the CONUS. Total deposition of N and S in the eastern US is larger than the western US with a steeper decreasing trend from 2002–2017; i.e., total N declined at a rate of approximately −0.30 kg N ha−1 yr−1 in the Northeast and Southeast and by −0.02 kg N ha−1 yr−1 in the Northwest and Southwest. Widespread increases in reduced N deposition across the Upper Midwest, Northern Rockies, and West indicate evolving atmospheric composition due to increased precipitation amounts over some areas, growing agricultural emissions, and regional NOx/SOx emission reductions shifting gas–aerosol partitioning; these increases in reduced N deposition are generally masked by the larger decreasing oxidized N trend. We find larger average declining trends of total N and S deposition between 2002–2009 than 2010–2017, suggesting a slowdown of the rate of decline likely in response to smaller emission reductions. Finally, we document changes in the modeled total N and S deposition budgets. The average annual total N deposition budget over the CONUS decreases from 7.8 in 2002 to 6.3 kg N ha−1 yr−1 in 2017 due to declines in oxidized N deposition from NOx emission controls. Across the CONUS during the 2002–2017 time period, the average contribution of dry deposition to the total N deposition budget drops from 60 % to 52 %, whereas wet deposition dominates the S budget rising from 45 % to 68 %. Our analysis extends upon the literature documenting the growing contribution of reduced N to the total deposition budget, particularly in the Upper Midwest and Northern Rockies, and documents a slowdown of the declining oxidized N deposition trend, which may have consequences on vegetation diversity and productivity.","container-title":"Atmospheric Chemistry and Physics","DOI":"10.5194/acp-22-12749-2022","ISSN":"1680-7316","issue":"19","language":"English","note":"publisher: Copernicus GmbH","page":"12749-12767","source":"Copernicus Online Journals","title":"Long-term regional trends of nitrogen and sulfur deposition in the United States from 2002 to 2017","volume":"22","author":[{"family":"Benish","given":"Sarah E."},{"family":"Bash","given":"Jesse O."},{"family":"Foley","given":"Kristen M."},{"family":"Appel","given":"K. Wyat"},{"family":"Hogrefe","given":"Christian"},{"family":"Gilliam","given":"Robert"},{"family":"Pouliot","given":"George"}],"issued":{"date-parts":[["2022",9,30]]}}}],"schema":"https://github.com/citation-style-language/schema/raw/master/csl-citation.json"} </w:instrText>
      </w:r>
      <w:r w:rsidRPr="008E4EFB">
        <w:fldChar w:fldCharType="separate"/>
      </w:r>
      <w:r w:rsidRPr="008E4EFB">
        <w:t>(Benish et al., 2022)</w:t>
      </w:r>
      <w:r w:rsidRPr="008E4EFB">
        <w:fldChar w:fldCharType="end"/>
      </w:r>
      <w:r w:rsidRPr="008E4EFB">
        <w:t>. They also estimated wet NH</w:t>
      </w:r>
      <w:r w:rsidRPr="008E4EFB">
        <w:rPr>
          <w:vertAlign w:val="subscript"/>
        </w:rPr>
        <w:t>4</w:t>
      </w:r>
      <w:r w:rsidRPr="008E4EFB">
        <w:rPr>
          <w:vertAlign w:val="superscript"/>
        </w:rPr>
        <w:t>+</w:t>
      </w:r>
      <w:r w:rsidRPr="008E4EFB">
        <w:t xml:space="preserve"> deposition in the CONUS and found the highest values in the Ohio Valley (3.59 kg/ha/yr), the Upper Midwest (3.76 kg/ha/yr), and the South (2.74). These values are slightly lower than </w:t>
      </w:r>
      <w:r w:rsidR="00C24F7C" w:rsidRPr="008E4EFB">
        <w:t>my estimates</w:t>
      </w:r>
      <w:r w:rsidRPr="008E4EFB">
        <w:t>, particularly in the Upper Midwest (</w:t>
      </w:r>
      <w:r w:rsidRPr="007F0D68">
        <w:rPr>
          <w:b/>
          <w:bCs/>
        </w:rPr>
        <w:t xml:space="preserve">Table </w:t>
      </w:r>
      <w:r w:rsidR="00FF0282" w:rsidRPr="007F0D68">
        <w:rPr>
          <w:b/>
          <w:bCs/>
        </w:rPr>
        <w:t>3.</w:t>
      </w:r>
      <w:r w:rsidRPr="007F0D68">
        <w:rPr>
          <w:b/>
          <w:bCs/>
        </w:rPr>
        <w:t>1</w:t>
      </w:r>
      <w:r w:rsidRPr="008E4EFB">
        <w:t xml:space="preserve">). This is likely due to the MMF procedure where grid cells that do not have corresponding satellite measurements instead are filled in by the original HTAP II model estimates. These locations are primarily in the Upper Midwest in the winter months. Other work modeling long-term trends of inorganic N with WRF-CMAQ also finds similar values to </w:t>
      </w:r>
      <w:r w:rsidR="00C24F7C" w:rsidRPr="008E4EFB">
        <w:t>mine</w:t>
      </w:r>
      <w:r w:rsidRPr="008E4EFB">
        <w:t xml:space="preserve">, although their ecoregion divisions do not correspond exactly to </w:t>
      </w:r>
      <w:r w:rsidR="004A39DD" w:rsidRPr="008E4EFB">
        <w:t>the same</w:t>
      </w:r>
      <w:r w:rsidRPr="008E4EFB">
        <w:t xml:space="preserve"> climate divisions </w:t>
      </w:r>
      <w:r w:rsidRPr="008E4EFB">
        <w:fldChar w:fldCharType="begin"/>
      </w:r>
      <w:r w:rsidRPr="008E4EFB">
        <w:instrText xml:space="preserve"> ADDIN ZOTERO_ITEM CSL_CITATION {"citationID":"o4Z5uSOU","properties":{"formattedCitation":"(Y. Zhang et al., 2018)","plainCitation":"(Y. Zhang et al., 2018)","noteIndex":0},"citationItems":[{"id":1269,"uris":["http://zotero.org/users/3110659/items/FRBH9ZMT"],"itemData":{"id":1269,"type":"article-journal","abstract":"&lt;p&gt;&lt;strong class=\"journal-contentHeaderColor\"&gt;Abstract.&lt;/strong&gt; Excess deposition (including both wet and dry deposition) of nitrogen and sulfur is detrimental to ecosystems. Recent studies have investigated the spatial patterns and temporal trends of nitrogen and sulfur wet deposition, but few studies have focused on dry deposition due to the scarcity of dry deposition measurements. Here, we use long-term model simulations from the coupled Weather Research and Forecasting and the Community Multiscale Air Quality (WRF-CMAQ) model covering the period from 1990 to 2010 to study changes in spatial distribution as well as temporal trends in total (TDEP), wet (WDEP), and dry deposition (DDEP) of total inorganic nitrogen (TIN) and sulfur (TS) in the United States (US). We first evaluate the model's performance in simulating WDEP over the US by comparing the model results with observational data from the US National Atmospheric Deposition Program. The coupled model generally underestimates the WDEP of both TIN (including both the oxidized nitrogen deposition, &lt;span class=\"inline-formula\"&gt;TNO&lt;sub&gt;3&lt;/sub&gt;&lt;/span&gt;, and the reduced nitrogen deposition, &lt;span class=\"inline-formula\"&gt;NH&lt;sub&gt;&lt;i&gt;x&lt;/i&gt;&lt;/sub&gt;&lt;/span&gt;) and TS, with better performance in the eastern US than the western US. The underestimation of the wet deposition by the model is mainly caused by the coarse model grid resolution, missing lightning &lt;span class=\"inline-formula\"&gt;NO&lt;sub&gt;&lt;i&gt;x&lt;/i&gt;&lt;/sub&gt;&lt;/span&gt; emissions, and the poor temporal and spatial representation of &lt;span class=\"inline-formula\"&gt;NH&lt;sub&gt;3&lt;/sub&gt;&lt;/span&gt; emissions. TDEP of both TIN and TS shows significant decreases over the US, especially in the east, due to the large emission reductions that occurred in that region. The decreasing trends of TIN TDEP are caused by decreases in &lt;span class=\"inline-formula\"&gt;TNO&lt;sub&gt;3&lt;/sub&gt;&lt;/span&gt;, and the increasing trends of TIN deposition over the Great Plains and Tropical Wet Forests (Southern Florida Coastal Plain) regions are caused by increases in &lt;span class=\"inline-formula\"&gt;NH&lt;sub&gt;3&lt;/sub&gt;&lt;/span&gt; emissions, although it should be noted that these increasing trends are not significant. TIN WDEP shows decreasing trends throughout the US, except for the Marine West Coast Forest region. TIN DDEP shows significant decreasing trends in the Eastern Temperate Forests, Northern Forests, Mediterranean California, and Marine West Coast Forest and significant increasing trends in the Tropical Wet Forests, Great Plains and Southern Semi-arid Highlands. For the other three regions (North American Deserts, Temperate Sierras, and Northwestern Forested Mountains), the decreasing or increasing trends are not significant. Both the WDEP and DDEP of TS have decreases across the US, with a larger decreasing trend in the DDEP than that in the WDEP. Across the US during the 1990–2010 period, DDEP of TIN accounts for 58–65&amp;thinsp;% of TDEP of TIN. TDEP of TIN over the US is dominated by deposition of &lt;span class=\"inline-formula\"&gt;TNO&lt;sub&gt;3&lt;/sub&gt;&lt;/span&gt; during the first decade, which then shifts to reduced nitrogen (&lt;span class=\"inline-formula\"&gt;NH&lt;sub&gt;&lt;i&gt;x&lt;/i&gt;&lt;/sub&gt;&lt;/span&gt;) dominance after 2003, resulting from a combination of &lt;span class=\"inline-formula\"&gt;NO&lt;sub&gt;&lt;i&gt;x&lt;/i&gt;&lt;/sub&gt;&lt;/span&gt; emission reductions and &lt;span class=\"inline-formula\"&gt;NH&lt;sub&gt;3&lt;/sub&gt;&lt;/span&gt; emission increases. The sulfur DDEP is usually higher than the sulfur WDEP until recent years, as the sulfur DDEP has a larger decreasing trend than WDEP.&lt;/p&gt;","container-title":"Atmospheric Chemistry and Physics","DOI":"https://doi.org/10.5194/acp-18-9091-2018","ISSN":"1680-7316","issue":"12","language":"English","note":"publisher: Copernicus GmbH","page":"9091-9106","source":"acp.copernicus.org","title":"Long-term trends in total inorganic nitrogen and sulfur deposition in the US from 1990 to 2010","volume":"18","author":[{"family":"Zhang","given":"Yuqiang"},{"family":"Mathur","given":"Rohit"},{"family":"Bash","given":"Jesse O."},{"family":"Hogrefe","given":"Christian"},{"family":"Xing","given":"Jia"},{"family":"Roselle","given":"Shawn J."}],"issued":{"date-parts":[["2018",6,28]]}}}],"schema":"https://github.com/citation-style-language/schema/raw/master/csl-citation.json"} </w:instrText>
      </w:r>
      <w:r w:rsidRPr="008E4EFB">
        <w:fldChar w:fldCharType="separate"/>
      </w:r>
      <w:r w:rsidRPr="008E4EFB">
        <w:t>(Y. Zhang et al., 2018)</w:t>
      </w:r>
      <w:r w:rsidRPr="008E4EFB">
        <w:fldChar w:fldCharType="end"/>
      </w:r>
      <w:r w:rsidRPr="008E4EFB">
        <w:t xml:space="preserve">. </w:t>
      </w:r>
    </w:p>
    <w:p w14:paraId="7DC63C37" w14:textId="77777777" w:rsidR="000F3C0B" w:rsidRDefault="00763355" w:rsidP="00DC4266">
      <w:pPr>
        <w:pStyle w:val="Abstract"/>
        <w:spacing w:before="0" w:line="360" w:lineRule="auto"/>
      </w:pPr>
      <w:r w:rsidRPr="008E4EFB">
        <w:t>At the CONUS level, compared to the HTAP II estimate of wet NO</w:t>
      </w:r>
      <w:r w:rsidRPr="008E4EFB">
        <w:rPr>
          <w:vertAlign w:val="subscript"/>
        </w:rPr>
        <w:t>3</w:t>
      </w:r>
      <w:r w:rsidRPr="008E4EFB">
        <w:rPr>
          <w:vertAlign w:val="superscript"/>
        </w:rPr>
        <w:t>-</w:t>
      </w:r>
      <w:r w:rsidRPr="008E4EFB">
        <w:t xml:space="preserve"> deposition for 2010 of 4.13 kg/ha, the STRF estimate corrects the large underestimation to 8.89 kg/ha/yr, similar to the </w:t>
      </w:r>
    </w:p>
    <w:p w14:paraId="735E6A49" w14:textId="77777777" w:rsidR="000F3C0B" w:rsidRPr="008E4EFB" w:rsidRDefault="000F3C0B" w:rsidP="000F3C0B">
      <w:pPr>
        <w:pStyle w:val="Caption"/>
        <w:rPr>
          <w:rFonts w:ascii="Times New Roman" w:hAnsi="Times New Roman" w:cs="Times New Roman"/>
          <w:i w:val="0"/>
          <w:iCs w:val="0"/>
          <w:color w:val="auto"/>
          <w:sz w:val="24"/>
          <w:szCs w:val="24"/>
        </w:rPr>
      </w:pPr>
      <w:bookmarkStart w:id="44" w:name="_Toc184062957"/>
      <w:r w:rsidRPr="008E4EFB">
        <w:rPr>
          <w:rFonts w:ascii="Times New Roman" w:hAnsi="Times New Roman" w:cs="Times New Roman"/>
          <w:i w:val="0"/>
          <w:iCs w:val="0"/>
          <w:color w:val="auto"/>
          <w:sz w:val="24"/>
          <w:szCs w:val="24"/>
        </w:rPr>
        <w:lastRenderedPageBreak/>
        <w:t xml:space="preserve">Table </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STYLEREF 1 \s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3</w:t>
      </w:r>
      <w:r>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Table \* ARABIC \s 1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Regional wet deposition averages in kg/ha/yr for 2010, as estimated by the STRF.</w:t>
      </w:r>
      <w:bookmarkEnd w:id="44"/>
    </w:p>
    <w:tbl>
      <w:tblPr>
        <w:tblStyle w:val="PlainTable3"/>
        <w:tblW w:w="0" w:type="auto"/>
        <w:jc w:val="center"/>
        <w:tblLook w:val="04A0" w:firstRow="1" w:lastRow="0" w:firstColumn="1" w:lastColumn="0" w:noHBand="0" w:noVBand="1"/>
      </w:tblPr>
      <w:tblGrid>
        <w:gridCol w:w="2340"/>
        <w:gridCol w:w="1260"/>
        <w:gridCol w:w="1710"/>
      </w:tblGrid>
      <w:tr w:rsidR="000F3C0B" w:rsidRPr="008E4EFB" w14:paraId="1F8074D7" w14:textId="77777777" w:rsidTr="00191F8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340" w:type="dxa"/>
            <w:noWrap/>
            <w:hideMark/>
          </w:tcPr>
          <w:p w14:paraId="08207652" w14:textId="77777777" w:rsidR="000F3C0B" w:rsidRPr="008E4EFB" w:rsidRDefault="000F3C0B" w:rsidP="00191F85">
            <w:pPr>
              <w:pStyle w:val="Abstract"/>
              <w:jc w:val="center"/>
              <w:rPr>
                <w:b w:val="0"/>
                <w:bCs w:val="0"/>
              </w:rPr>
            </w:pPr>
            <w:r w:rsidRPr="008E4EFB">
              <w:rPr>
                <w:b w:val="0"/>
                <w:bCs w:val="0"/>
              </w:rPr>
              <w:t>R</w:t>
            </w:r>
            <w:r w:rsidRPr="008E4EFB">
              <w:rPr>
                <w:b w:val="0"/>
                <w:bCs w:val="0"/>
                <w:caps w:val="0"/>
              </w:rPr>
              <w:t>egion</w:t>
            </w:r>
          </w:p>
        </w:tc>
        <w:tc>
          <w:tcPr>
            <w:tcW w:w="1260" w:type="dxa"/>
            <w:noWrap/>
            <w:hideMark/>
          </w:tcPr>
          <w:p w14:paraId="6067EEBF" w14:textId="77777777" w:rsidR="000F3C0B" w:rsidRPr="008E4EFB" w:rsidRDefault="000F3C0B" w:rsidP="00191F85">
            <w:pPr>
              <w:pStyle w:val="Abstract"/>
              <w:jc w:val="center"/>
              <w:cnfStyle w:val="100000000000" w:firstRow="1" w:lastRow="0" w:firstColumn="0" w:lastColumn="0" w:oddVBand="0" w:evenVBand="0" w:oddHBand="0" w:evenHBand="0" w:firstRowFirstColumn="0" w:firstRowLastColumn="0" w:lastRowFirstColumn="0" w:lastRowLastColumn="0"/>
              <w:rPr>
                <w:b w:val="0"/>
                <w:bCs w:val="0"/>
              </w:rPr>
            </w:pPr>
            <w:r w:rsidRPr="008E4EFB">
              <w:rPr>
                <w:b w:val="0"/>
                <w:bCs w:val="0"/>
                <w:caps w:val="0"/>
              </w:rPr>
              <w:t xml:space="preserve">Wet </w:t>
            </w:r>
            <w:r w:rsidRPr="008E4EFB">
              <w:rPr>
                <w:b w:val="0"/>
                <w:bCs w:val="0"/>
              </w:rPr>
              <w:t>NO</w:t>
            </w:r>
            <w:r w:rsidRPr="008E4EFB">
              <w:rPr>
                <w:b w:val="0"/>
                <w:bCs w:val="0"/>
                <w:vertAlign w:val="subscript"/>
              </w:rPr>
              <w:t>3</w:t>
            </w:r>
            <w:r w:rsidRPr="008E4EFB">
              <w:rPr>
                <w:b w:val="0"/>
                <w:bCs w:val="0"/>
                <w:vertAlign w:val="superscript"/>
              </w:rPr>
              <w:t>-</w:t>
            </w:r>
          </w:p>
        </w:tc>
        <w:tc>
          <w:tcPr>
            <w:tcW w:w="1710" w:type="dxa"/>
            <w:noWrap/>
            <w:hideMark/>
          </w:tcPr>
          <w:p w14:paraId="0E3EEFC1" w14:textId="77777777" w:rsidR="000F3C0B" w:rsidRPr="008E4EFB" w:rsidRDefault="000F3C0B" w:rsidP="00191F85">
            <w:pPr>
              <w:pStyle w:val="Abstract"/>
              <w:jc w:val="center"/>
              <w:cnfStyle w:val="100000000000" w:firstRow="1" w:lastRow="0" w:firstColumn="0" w:lastColumn="0" w:oddVBand="0" w:evenVBand="0" w:oddHBand="0" w:evenHBand="0" w:firstRowFirstColumn="0" w:firstRowLastColumn="0" w:lastRowFirstColumn="0" w:lastRowLastColumn="0"/>
              <w:rPr>
                <w:b w:val="0"/>
                <w:bCs w:val="0"/>
              </w:rPr>
            </w:pPr>
            <w:r w:rsidRPr="008E4EFB">
              <w:rPr>
                <w:b w:val="0"/>
                <w:bCs w:val="0"/>
              </w:rPr>
              <w:t>W</w:t>
            </w:r>
            <w:r w:rsidRPr="008E4EFB">
              <w:rPr>
                <w:b w:val="0"/>
                <w:bCs w:val="0"/>
                <w:caps w:val="0"/>
              </w:rPr>
              <w:t>et</w:t>
            </w:r>
            <w:r w:rsidRPr="008E4EFB">
              <w:rPr>
                <w:b w:val="0"/>
                <w:bCs w:val="0"/>
              </w:rPr>
              <w:t xml:space="preserve"> NH</w:t>
            </w:r>
            <w:r w:rsidRPr="008E4EFB">
              <w:rPr>
                <w:b w:val="0"/>
                <w:bCs w:val="0"/>
                <w:vertAlign w:val="subscript"/>
              </w:rPr>
              <w:t>4</w:t>
            </w:r>
            <w:r w:rsidRPr="008E4EFB">
              <w:rPr>
                <w:b w:val="0"/>
                <w:bCs w:val="0"/>
                <w:vertAlign w:val="superscript"/>
              </w:rPr>
              <w:t>+</w:t>
            </w:r>
          </w:p>
        </w:tc>
      </w:tr>
      <w:tr w:rsidR="000F3C0B" w:rsidRPr="008E4EFB" w14:paraId="1385DA0C" w14:textId="77777777" w:rsidTr="00191F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40" w:type="dxa"/>
            <w:noWrap/>
            <w:hideMark/>
          </w:tcPr>
          <w:p w14:paraId="1E0F18A6" w14:textId="77777777" w:rsidR="000F3C0B" w:rsidRPr="008E4EFB" w:rsidRDefault="000F3C0B" w:rsidP="00191F85">
            <w:pPr>
              <w:pStyle w:val="Abstract"/>
              <w:jc w:val="center"/>
              <w:rPr>
                <w:b w:val="0"/>
                <w:bCs w:val="0"/>
              </w:rPr>
            </w:pPr>
            <w:r w:rsidRPr="008E4EFB">
              <w:rPr>
                <w:b w:val="0"/>
                <w:bCs w:val="0"/>
                <w:caps w:val="0"/>
              </w:rPr>
              <w:t>Northeast</w:t>
            </w:r>
          </w:p>
        </w:tc>
        <w:tc>
          <w:tcPr>
            <w:tcW w:w="1260" w:type="dxa"/>
            <w:noWrap/>
            <w:hideMark/>
          </w:tcPr>
          <w:p w14:paraId="44316927"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8.43</w:t>
            </w:r>
          </w:p>
        </w:tc>
        <w:tc>
          <w:tcPr>
            <w:tcW w:w="1710" w:type="dxa"/>
            <w:noWrap/>
            <w:hideMark/>
          </w:tcPr>
          <w:p w14:paraId="369BD6A2"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2.39</w:t>
            </w:r>
          </w:p>
        </w:tc>
      </w:tr>
      <w:tr w:rsidR="000F3C0B" w:rsidRPr="008E4EFB" w14:paraId="18E42B54" w14:textId="77777777" w:rsidTr="00191F85">
        <w:trPr>
          <w:trHeight w:val="300"/>
          <w:jc w:val="center"/>
        </w:trPr>
        <w:tc>
          <w:tcPr>
            <w:cnfStyle w:val="001000000000" w:firstRow="0" w:lastRow="0" w:firstColumn="1" w:lastColumn="0" w:oddVBand="0" w:evenVBand="0" w:oddHBand="0" w:evenHBand="0" w:firstRowFirstColumn="0" w:firstRowLastColumn="0" w:lastRowFirstColumn="0" w:lastRowLastColumn="0"/>
            <w:tcW w:w="2340" w:type="dxa"/>
            <w:noWrap/>
            <w:hideMark/>
          </w:tcPr>
          <w:p w14:paraId="110AC5FE" w14:textId="77777777" w:rsidR="000F3C0B" w:rsidRPr="008E4EFB" w:rsidRDefault="000F3C0B" w:rsidP="00191F85">
            <w:pPr>
              <w:pStyle w:val="Abstract"/>
              <w:jc w:val="center"/>
              <w:rPr>
                <w:b w:val="0"/>
                <w:bCs w:val="0"/>
              </w:rPr>
            </w:pPr>
            <w:r w:rsidRPr="008E4EFB">
              <w:rPr>
                <w:b w:val="0"/>
                <w:bCs w:val="0"/>
                <w:caps w:val="0"/>
              </w:rPr>
              <w:t>Northwest</w:t>
            </w:r>
          </w:p>
        </w:tc>
        <w:tc>
          <w:tcPr>
            <w:tcW w:w="1260" w:type="dxa"/>
            <w:noWrap/>
            <w:hideMark/>
          </w:tcPr>
          <w:p w14:paraId="655A6DA0" w14:textId="77777777" w:rsidR="000F3C0B" w:rsidRPr="008E4EFB" w:rsidRDefault="000F3C0B" w:rsidP="00191F85">
            <w:pPr>
              <w:pStyle w:val="Abstract"/>
              <w:jc w:val="center"/>
              <w:cnfStyle w:val="000000000000" w:firstRow="0" w:lastRow="0" w:firstColumn="0" w:lastColumn="0" w:oddVBand="0" w:evenVBand="0" w:oddHBand="0" w:evenHBand="0" w:firstRowFirstColumn="0" w:firstRowLastColumn="0" w:lastRowFirstColumn="0" w:lastRowLastColumn="0"/>
            </w:pPr>
            <w:r w:rsidRPr="008E4EFB">
              <w:t>4.83</w:t>
            </w:r>
          </w:p>
        </w:tc>
        <w:tc>
          <w:tcPr>
            <w:tcW w:w="1710" w:type="dxa"/>
            <w:noWrap/>
            <w:hideMark/>
          </w:tcPr>
          <w:p w14:paraId="592C707C" w14:textId="77777777" w:rsidR="000F3C0B" w:rsidRPr="008E4EFB" w:rsidRDefault="000F3C0B" w:rsidP="00191F85">
            <w:pPr>
              <w:pStyle w:val="Abstract"/>
              <w:jc w:val="center"/>
              <w:cnfStyle w:val="000000000000" w:firstRow="0" w:lastRow="0" w:firstColumn="0" w:lastColumn="0" w:oddVBand="0" w:evenVBand="0" w:oddHBand="0" w:evenHBand="0" w:firstRowFirstColumn="0" w:firstRowLastColumn="0" w:lastRowFirstColumn="0" w:lastRowLastColumn="0"/>
            </w:pPr>
            <w:r w:rsidRPr="008E4EFB">
              <w:t>2.30</w:t>
            </w:r>
          </w:p>
        </w:tc>
      </w:tr>
      <w:tr w:rsidR="000F3C0B" w:rsidRPr="008E4EFB" w14:paraId="1D2A8247" w14:textId="77777777" w:rsidTr="00191F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45EE6AC" w14:textId="77777777" w:rsidR="000F3C0B" w:rsidRPr="008E4EFB" w:rsidRDefault="000F3C0B" w:rsidP="00191F85">
            <w:pPr>
              <w:pStyle w:val="Abstract"/>
              <w:jc w:val="center"/>
              <w:rPr>
                <w:b w:val="0"/>
                <w:bCs w:val="0"/>
              </w:rPr>
            </w:pPr>
            <w:r w:rsidRPr="008E4EFB">
              <w:rPr>
                <w:b w:val="0"/>
                <w:bCs w:val="0"/>
                <w:caps w:val="0"/>
              </w:rPr>
              <w:t>Northern Rockies</w:t>
            </w:r>
          </w:p>
        </w:tc>
        <w:tc>
          <w:tcPr>
            <w:tcW w:w="1260" w:type="dxa"/>
            <w:noWrap/>
            <w:hideMark/>
          </w:tcPr>
          <w:p w14:paraId="47C40DF4"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8.40</w:t>
            </w:r>
          </w:p>
        </w:tc>
        <w:tc>
          <w:tcPr>
            <w:tcW w:w="1710" w:type="dxa"/>
            <w:noWrap/>
            <w:hideMark/>
          </w:tcPr>
          <w:p w14:paraId="47582FB1"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4.37</w:t>
            </w:r>
          </w:p>
        </w:tc>
      </w:tr>
      <w:tr w:rsidR="000F3C0B" w:rsidRPr="008E4EFB" w14:paraId="15B9D2A2" w14:textId="77777777" w:rsidTr="00191F85">
        <w:trPr>
          <w:trHeight w:val="300"/>
          <w:jc w:val="center"/>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2D4A3A1" w14:textId="77777777" w:rsidR="000F3C0B" w:rsidRPr="008E4EFB" w:rsidRDefault="000F3C0B" w:rsidP="00191F85">
            <w:pPr>
              <w:pStyle w:val="Abstract"/>
              <w:jc w:val="center"/>
              <w:rPr>
                <w:b w:val="0"/>
                <w:bCs w:val="0"/>
              </w:rPr>
            </w:pPr>
            <w:r w:rsidRPr="008E4EFB">
              <w:rPr>
                <w:b w:val="0"/>
                <w:bCs w:val="0"/>
                <w:caps w:val="0"/>
              </w:rPr>
              <w:t>Southeast</w:t>
            </w:r>
          </w:p>
        </w:tc>
        <w:tc>
          <w:tcPr>
            <w:tcW w:w="1260" w:type="dxa"/>
            <w:noWrap/>
            <w:hideMark/>
          </w:tcPr>
          <w:p w14:paraId="3296160E" w14:textId="77777777" w:rsidR="000F3C0B" w:rsidRPr="008E4EFB" w:rsidRDefault="000F3C0B" w:rsidP="00191F85">
            <w:pPr>
              <w:pStyle w:val="Abstract"/>
              <w:jc w:val="center"/>
              <w:cnfStyle w:val="000000000000" w:firstRow="0" w:lastRow="0" w:firstColumn="0" w:lastColumn="0" w:oddVBand="0" w:evenVBand="0" w:oddHBand="0" w:evenHBand="0" w:firstRowFirstColumn="0" w:firstRowLastColumn="0" w:lastRowFirstColumn="0" w:lastRowLastColumn="0"/>
            </w:pPr>
            <w:r w:rsidRPr="008E4EFB">
              <w:t>7.83</w:t>
            </w:r>
          </w:p>
        </w:tc>
        <w:tc>
          <w:tcPr>
            <w:tcW w:w="1710" w:type="dxa"/>
            <w:noWrap/>
            <w:hideMark/>
          </w:tcPr>
          <w:p w14:paraId="42D8E444" w14:textId="77777777" w:rsidR="000F3C0B" w:rsidRPr="008E4EFB" w:rsidRDefault="000F3C0B" w:rsidP="00191F85">
            <w:pPr>
              <w:pStyle w:val="Abstract"/>
              <w:jc w:val="center"/>
              <w:cnfStyle w:val="000000000000" w:firstRow="0" w:lastRow="0" w:firstColumn="0" w:lastColumn="0" w:oddVBand="0" w:evenVBand="0" w:oddHBand="0" w:evenHBand="0" w:firstRowFirstColumn="0" w:firstRowLastColumn="0" w:lastRowFirstColumn="0" w:lastRowLastColumn="0"/>
            </w:pPr>
            <w:r w:rsidRPr="008E4EFB">
              <w:t>2.33</w:t>
            </w:r>
          </w:p>
        </w:tc>
      </w:tr>
      <w:tr w:rsidR="000F3C0B" w:rsidRPr="008E4EFB" w14:paraId="26972783" w14:textId="77777777" w:rsidTr="00191F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40" w:type="dxa"/>
            <w:noWrap/>
            <w:hideMark/>
          </w:tcPr>
          <w:p w14:paraId="14D240BC" w14:textId="77777777" w:rsidR="000F3C0B" w:rsidRPr="008E4EFB" w:rsidRDefault="000F3C0B" w:rsidP="00191F85">
            <w:pPr>
              <w:pStyle w:val="Abstract"/>
              <w:jc w:val="center"/>
              <w:rPr>
                <w:b w:val="0"/>
                <w:bCs w:val="0"/>
              </w:rPr>
            </w:pPr>
            <w:r w:rsidRPr="008E4EFB">
              <w:rPr>
                <w:b w:val="0"/>
                <w:bCs w:val="0"/>
                <w:caps w:val="0"/>
              </w:rPr>
              <w:t>South</w:t>
            </w:r>
          </w:p>
        </w:tc>
        <w:tc>
          <w:tcPr>
            <w:tcW w:w="1260" w:type="dxa"/>
            <w:noWrap/>
            <w:hideMark/>
          </w:tcPr>
          <w:p w14:paraId="610A2265"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9.80</w:t>
            </w:r>
          </w:p>
        </w:tc>
        <w:tc>
          <w:tcPr>
            <w:tcW w:w="1710" w:type="dxa"/>
            <w:noWrap/>
            <w:hideMark/>
          </w:tcPr>
          <w:p w14:paraId="5CD65C13"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4.17</w:t>
            </w:r>
          </w:p>
        </w:tc>
      </w:tr>
      <w:tr w:rsidR="000F3C0B" w:rsidRPr="008E4EFB" w14:paraId="7D5547FC" w14:textId="77777777" w:rsidTr="00191F85">
        <w:trPr>
          <w:trHeight w:val="300"/>
          <w:jc w:val="center"/>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FD38191" w14:textId="77777777" w:rsidR="000F3C0B" w:rsidRPr="008E4EFB" w:rsidRDefault="000F3C0B" w:rsidP="00191F85">
            <w:pPr>
              <w:pStyle w:val="Abstract"/>
              <w:jc w:val="center"/>
              <w:rPr>
                <w:b w:val="0"/>
                <w:bCs w:val="0"/>
              </w:rPr>
            </w:pPr>
            <w:r w:rsidRPr="008E4EFB">
              <w:rPr>
                <w:b w:val="0"/>
                <w:bCs w:val="0"/>
                <w:caps w:val="0"/>
              </w:rPr>
              <w:t>Southwest</w:t>
            </w:r>
          </w:p>
        </w:tc>
        <w:tc>
          <w:tcPr>
            <w:tcW w:w="1260" w:type="dxa"/>
            <w:noWrap/>
            <w:hideMark/>
          </w:tcPr>
          <w:p w14:paraId="401E5B43" w14:textId="77777777" w:rsidR="000F3C0B" w:rsidRPr="008E4EFB" w:rsidRDefault="000F3C0B" w:rsidP="00191F85">
            <w:pPr>
              <w:pStyle w:val="Abstract"/>
              <w:jc w:val="center"/>
              <w:cnfStyle w:val="000000000000" w:firstRow="0" w:lastRow="0" w:firstColumn="0" w:lastColumn="0" w:oddVBand="0" w:evenVBand="0" w:oddHBand="0" w:evenHBand="0" w:firstRowFirstColumn="0" w:firstRowLastColumn="0" w:lastRowFirstColumn="0" w:lastRowLastColumn="0"/>
            </w:pPr>
            <w:r w:rsidRPr="008E4EFB">
              <w:t>9.82</w:t>
            </w:r>
          </w:p>
        </w:tc>
        <w:tc>
          <w:tcPr>
            <w:tcW w:w="1710" w:type="dxa"/>
            <w:noWrap/>
            <w:hideMark/>
          </w:tcPr>
          <w:p w14:paraId="679FED08" w14:textId="77777777" w:rsidR="000F3C0B" w:rsidRPr="008E4EFB" w:rsidRDefault="000F3C0B" w:rsidP="00191F85">
            <w:pPr>
              <w:pStyle w:val="Abstract"/>
              <w:jc w:val="center"/>
              <w:cnfStyle w:val="000000000000" w:firstRow="0" w:lastRow="0" w:firstColumn="0" w:lastColumn="0" w:oddVBand="0" w:evenVBand="0" w:oddHBand="0" w:evenHBand="0" w:firstRowFirstColumn="0" w:firstRowLastColumn="0" w:lastRowFirstColumn="0" w:lastRowLastColumn="0"/>
            </w:pPr>
            <w:r w:rsidRPr="008E4EFB">
              <w:t>3.60</w:t>
            </w:r>
          </w:p>
        </w:tc>
      </w:tr>
      <w:tr w:rsidR="000F3C0B" w:rsidRPr="008E4EFB" w14:paraId="77CEDA26" w14:textId="77777777" w:rsidTr="00191F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40" w:type="dxa"/>
            <w:noWrap/>
            <w:hideMark/>
          </w:tcPr>
          <w:p w14:paraId="4BB786F5" w14:textId="77777777" w:rsidR="000F3C0B" w:rsidRPr="008E4EFB" w:rsidRDefault="000F3C0B" w:rsidP="00191F85">
            <w:pPr>
              <w:pStyle w:val="Abstract"/>
              <w:jc w:val="center"/>
              <w:rPr>
                <w:b w:val="0"/>
                <w:bCs w:val="0"/>
              </w:rPr>
            </w:pPr>
            <w:r w:rsidRPr="008E4EFB">
              <w:rPr>
                <w:b w:val="0"/>
                <w:bCs w:val="0"/>
                <w:caps w:val="0"/>
              </w:rPr>
              <w:t>Ohio Valley</w:t>
            </w:r>
          </w:p>
        </w:tc>
        <w:tc>
          <w:tcPr>
            <w:tcW w:w="1260" w:type="dxa"/>
            <w:noWrap/>
            <w:hideMark/>
          </w:tcPr>
          <w:p w14:paraId="5AC13AF2"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11.56</w:t>
            </w:r>
          </w:p>
        </w:tc>
        <w:tc>
          <w:tcPr>
            <w:tcW w:w="1710" w:type="dxa"/>
            <w:noWrap/>
            <w:hideMark/>
          </w:tcPr>
          <w:p w14:paraId="41FF3CDE"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4.13</w:t>
            </w:r>
          </w:p>
        </w:tc>
      </w:tr>
      <w:tr w:rsidR="000F3C0B" w:rsidRPr="008E4EFB" w14:paraId="51C2A34F" w14:textId="77777777" w:rsidTr="00191F85">
        <w:trPr>
          <w:trHeight w:val="300"/>
          <w:jc w:val="center"/>
        </w:trPr>
        <w:tc>
          <w:tcPr>
            <w:cnfStyle w:val="001000000000" w:firstRow="0" w:lastRow="0" w:firstColumn="1" w:lastColumn="0" w:oddVBand="0" w:evenVBand="0" w:oddHBand="0" w:evenHBand="0" w:firstRowFirstColumn="0" w:firstRowLastColumn="0" w:lastRowFirstColumn="0" w:lastRowLastColumn="0"/>
            <w:tcW w:w="2340" w:type="dxa"/>
            <w:noWrap/>
            <w:hideMark/>
          </w:tcPr>
          <w:p w14:paraId="5593EB46" w14:textId="77777777" w:rsidR="000F3C0B" w:rsidRPr="008E4EFB" w:rsidRDefault="000F3C0B" w:rsidP="00191F85">
            <w:pPr>
              <w:pStyle w:val="Abstract"/>
              <w:jc w:val="center"/>
              <w:rPr>
                <w:b w:val="0"/>
                <w:bCs w:val="0"/>
              </w:rPr>
            </w:pPr>
            <w:r w:rsidRPr="008E4EFB">
              <w:rPr>
                <w:b w:val="0"/>
                <w:bCs w:val="0"/>
                <w:caps w:val="0"/>
              </w:rPr>
              <w:t>Upper Midwest</w:t>
            </w:r>
          </w:p>
        </w:tc>
        <w:tc>
          <w:tcPr>
            <w:tcW w:w="1260" w:type="dxa"/>
            <w:noWrap/>
            <w:hideMark/>
          </w:tcPr>
          <w:p w14:paraId="26B5C5DB" w14:textId="77777777" w:rsidR="000F3C0B" w:rsidRPr="008E4EFB" w:rsidRDefault="000F3C0B" w:rsidP="00191F85">
            <w:pPr>
              <w:pStyle w:val="Abstract"/>
              <w:jc w:val="center"/>
              <w:cnfStyle w:val="000000000000" w:firstRow="0" w:lastRow="0" w:firstColumn="0" w:lastColumn="0" w:oddVBand="0" w:evenVBand="0" w:oddHBand="0" w:evenHBand="0" w:firstRowFirstColumn="0" w:firstRowLastColumn="0" w:lastRowFirstColumn="0" w:lastRowLastColumn="0"/>
            </w:pPr>
            <w:r w:rsidRPr="008E4EFB">
              <w:t>10.81</w:t>
            </w:r>
          </w:p>
        </w:tc>
        <w:tc>
          <w:tcPr>
            <w:tcW w:w="1710" w:type="dxa"/>
            <w:noWrap/>
            <w:hideMark/>
          </w:tcPr>
          <w:p w14:paraId="26742BD7" w14:textId="77777777" w:rsidR="000F3C0B" w:rsidRPr="008E4EFB" w:rsidRDefault="000F3C0B" w:rsidP="00191F85">
            <w:pPr>
              <w:pStyle w:val="Abstract"/>
              <w:jc w:val="center"/>
              <w:cnfStyle w:val="000000000000" w:firstRow="0" w:lastRow="0" w:firstColumn="0" w:lastColumn="0" w:oddVBand="0" w:evenVBand="0" w:oddHBand="0" w:evenHBand="0" w:firstRowFirstColumn="0" w:firstRowLastColumn="0" w:lastRowFirstColumn="0" w:lastRowLastColumn="0"/>
            </w:pPr>
            <w:r w:rsidRPr="008E4EFB">
              <w:t>5.00</w:t>
            </w:r>
          </w:p>
        </w:tc>
      </w:tr>
      <w:tr w:rsidR="000F3C0B" w:rsidRPr="008E4EFB" w14:paraId="465F051C" w14:textId="77777777" w:rsidTr="00191F85">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2340" w:type="dxa"/>
            <w:noWrap/>
            <w:hideMark/>
          </w:tcPr>
          <w:p w14:paraId="32FFDD20" w14:textId="77777777" w:rsidR="000F3C0B" w:rsidRPr="008E4EFB" w:rsidRDefault="000F3C0B" w:rsidP="00191F85">
            <w:pPr>
              <w:pStyle w:val="Abstract"/>
              <w:jc w:val="center"/>
              <w:rPr>
                <w:b w:val="0"/>
                <w:bCs w:val="0"/>
              </w:rPr>
            </w:pPr>
            <w:r w:rsidRPr="008E4EFB">
              <w:rPr>
                <w:b w:val="0"/>
                <w:bCs w:val="0"/>
                <w:caps w:val="0"/>
              </w:rPr>
              <w:t>West</w:t>
            </w:r>
          </w:p>
        </w:tc>
        <w:tc>
          <w:tcPr>
            <w:tcW w:w="1260" w:type="dxa"/>
            <w:noWrap/>
            <w:hideMark/>
          </w:tcPr>
          <w:p w14:paraId="1CD2DCC9"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7.15</w:t>
            </w:r>
          </w:p>
        </w:tc>
        <w:tc>
          <w:tcPr>
            <w:tcW w:w="1710" w:type="dxa"/>
            <w:noWrap/>
            <w:hideMark/>
          </w:tcPr>
          <w:p w14:paraId="606CBB6C" w14:textId="77777777" w:rsidR="000F3C0B" w:rsidRPr="008E4EFB" w:rsidRDefault="000F3C0B" w:rsidP="00191F85">
            <w:pPr>
              <w:pStyle w:val="Abstract"/>
              <w:jc w:val="center"/>
              <w:cnfStyle w:val="000000100000" w:firstRow="0" w:lastRow="0" w:firstColumn="0" w:lastColumn="0" w:oddVBand="0" w:evenVBand="0" w:oddHBand="1" w:evenHBand="0" w:firstRowFirstColumn="0" w:firstRowLastColumn="0" w:lastRowFirstColumn="0" w:lastRowLastColumn="0"/>
            </w:pPr>
            <w:r w:rsidRPr="008E4EFB">
              <w:t>3.38</w:t>
            </w:r>
          </w:p>
        </w:tc>
      </w:tr>
    </w:tbl>
    <w:p w14:paraId="7957CE94" w14:textId="77777777" w:rsidR="000F3C0B" w:rsidRDefault="000F3C0B" w:rsidP="00DC4266">
      <w:pPr>
        <w:pStyle w:val="Abstract"/>
        <w:spacing w:before="0" w:line="360" w:lineRule="auto"/>
      </w:pPr>
    </w:p>
    <w:p w14:paraId="78275003" w14:textId="77777777" w:rsidR="000F3C0B" w:rsidRDefault="000F3C0B" w:rsidP="00DC4266">
      <w:pPr>
        <w:pStyle w:val="Abstract"/>
        <w:spacing w:before="0" w:line="360" w:lineRule="auto"/>
      </w:pPr>
    </w:p>
    <w:p w14:paraId="4E84A56B" w14:textId="173570F0" w:rsidR="00763355" w:rsidRPr="008E4EFB" w:rsidRDefault="00763355" w:rsidP="00DC4266">
      <w:pPr>
        <w:pStyle w:val="Abstract"/>
        <w:spacing w:before="0" w:line="360" w:lineRule="auto"/>
      </w:pPr>
      <w:r w:rsidRPr="008E4EFB">
        <w:t xml:space="preserve">NTN-IDW </w:t>
      </w:r>
      <w:proofErr w:type="gramStart"/>
      <w:r w:rsidRPr="008E4EFB">
        <w:t>estimate of</w:t>
      </w:r>
      <w:proofErr w:type="gramEnd"/>
      <w:r w:rsidRPr="008E4EFB">
        <w:t xml:space="preserve"> 8.46 kg/ha/year. The STRF wet NH</w:t>
      </w:r>
      <w:r w:rsidRPr="008E4EFB">
        <w:rPr>
          <w:vertAlign w:val="subscript"/>
        </w:rPr>
        <w:t>4</w:t>
      </w:r>
      <w:r w:rsidRPr="008E4EFB">
        <w:rPr>
          <w:vertAlign w:val="superscript"/>
        </w:rPr>
        <w:t>+</w:t>
      </w:r>
      <w:r w:rsidRPr="008E4EFB">
        <w:t xml:space="preserve"> deposition estimate also corrects the large overestimation from the HTAP II grids from 13.61 kg/ha/yr to 3.67 kg/ha/yr, very similar to the NTN-IDW estimate of 3.21 kg/ha/yr for the CONUS. </w:t>
      </w:r>
    </w:p>
    <w:p w14:paraId="3573E9ED" w14:textId="6D37869F" w:rsidR="00763355" w:rsidRPr="008E4EFB" w:rsidRDefault="00763355" w:rsidP="00DC4266">
      <w:pPr>
        <w:pStyle w:val="Abstract"/>
        <w:spacing w:before="0" w:line="360" w:lineRule="auto"/>
      </w:pPr>
      <w:r w:rsidRPr="008E4EFB">
        <w:t xml:space="preserve">Still, the average values mask the large seasonal changes in wet deposition that correspond with agricultural cycles </w:t>
      </w:r>
      <w:r w:rsidRPr="008E4EFB">
        <w:fldChar w:fldCharType="begin"/>
      </w:r>
      <w:r w:rsidRPr="008E4EFB">
        <w:instrText xml:space="preserve"> ADDIN ZOTERO_ITEM CSL_CITATION {"citationID":"IvANxuy0","properties":{"formattedCitation":"(L. Zhang et al., 2012)","plainCitation":"(L. Zhang et al., 2012)","noteIndex":0},"citationItems":[{"id":1254,"uris":["http://zotero.org/users/3110659/items/HRF7ZSMD"],"itemData":{"id":1254,"type":"article-journal","abstract":"We simulate nitrogen deposition over the US in 2006–2008 by using the GEOS-Chem global chemical transport model at 1/2◦×2/3◦ horizontal resolution over North America and adjacent oceans. US emissions of NOx and NH3 in the model are 6.7 and 2.9 Tg N a−1 respectively, including a 20 % natural contribution for each. Ammonia emissions are a factor of 3 lower in winter than summer, providing a good match to US network observations of NHx (≡NH3 gas + ammonium aerosol) and ammonium wet deposition ﬂuxes. Model comparisons to observed deposition ﬂuxes and surface air concentrations of oxidized nitrogen species (NOy) show overall good agreement but excessive wintertime HNO3 production over the US Midwest and Northeast. This suggests a model overestimate N2O5 hydrolysis in aerosols, and a possible factor is inhibition by aerosol nitrate. Model results indicate a total nitrogen deposition ﬂux of 6.5 Tg N a−1 over the contiguous US, including 4.2 as NOy and 2.3 as NHx. Domestic anthropogenic, foreign anthropogenic, and natural sources contribute respectively 78 %, 6 %, and 16 % of total nitrogen deposition over the contiguous US in the model. The domestic anthropogenic contribution generally exceeds 70 % in the east and in populated areas of the west, and is typically 50–70 % in remote areas of the west. Total nitrogen deposition in the model exceeds 10 kg N ha−1 a−1 over 35 % of the contiguous US.","container-title":"Atmospheric Chemistry and Physics","DOI":"10.5194/acp-12-4539-2012","ISSN":"1680-7324","issue":"10","journalAbbreviation":"Atmos. Chem. Phys.","language":"en","page":"4539-4554","source":"DOI.org (Crossref)","title":"Nitrogen deposition to the United States: distribution, sources, and processes","title-short":"Nitrogen deposition to the United States","volume":"12","author":[{"family":"Zhang","given":"L."},{"family":"Jacob","given":"D. J."},{"family":"Knipping","given":"E. M."},{"family":"Kumar","given":"N."},{"family":"Munger","given":"J. W."},{"family":"Carouge","given":"C. C."},{"family":"Donkelaar","given":"A.","non-dropping-particle":"van"},{"family":"Wang","given":"Y. X."},{"family":"Chen","given":"D."}],"issued":{"date-parts":[["2012",5,24]]}}}],"schema":"https://github.com/citation-style-language/schema/raw/master/csl-citation.json"} </w:instrText>
      </w:r>
      <w:r w:rsidRPr="008E4EFB">
        <w:fldChar w:fldCharType="separate"/>
      </w:r>
      <w:r w:rsidRPr="008E4EFB">
        <w:t>(L. Zhang et al., 2012)</w:t>
      </w:r>
      <w:r w:rsidRPr="008E4EFB">
        <w:fldChar w:fldCharType="end"/>
      </w:r>
      <w:r w:rsidRPr="008E4EFB">
        <w:t xml:space="preserve">. Agriculture accounts for the majority of both nitrous oxide and ammonia emissions in the US </w:t>
      </w:r>
      <w:r w:rsidRPr="008E4EFB">
        <w:fldChar w:fldCharType="begin"/>
      </w:r>
      <w:r w:rsidR="0004467C" w:rsidRPr="008E4EFB">
        <w:instrText xml:space="preserve"> ADDIN ZOTERO_ITEM CSL_CITATION {"citationID":"yqG8NtyI","properties":{"formattedCitation":"(US EPA, 2015b)","plainCitation":"(US EPA, 2015b)","noteIndex":0},"citationItems":[{"id":1234,"uris":["http://zotero.org/users/3110659/items/ZUY8SAQ9"],"itemData":{"id":1234,"type":"webpage","abstract":"detailed estimate of air emissions of both criteria and hazardous air pollutants from all air emissions sources.","container-title":"US EPA","genre":"Other Policies and Guidance","language":"en","title":"National Emissions Inventory (NEI)","URL":"https://www.epa.gov/air-emissions-inventories/national-emissions-inventory-nei","author":[{"family":"US EPA","given":"OAR"}],"accessed":{"date-parts":[["2021",2,18]]},"issued":{"date-parts":[["2015",6,2]]}}}],"schema":"https://github.com/citation-style-language/schema/raw/master/csl-citation.json"} </w:instrText>
      </w:r>
      <w:r w:rsidRPr="008E4EFB">
        <w:fldChar w:fldCharType="separate"/>
      </w:r>
      <w:r w:rsidR="0004467C" w:rsidRPr="008E4EFB">
        <w:t>(US EPA, 2015b)</w:t>
      </w:r>
      <w:r w:rsidRPr="008E4EFB">
        <w:fldChar w:fldCharType="end"/>
      </w:r>
      <w:r w:rsidRPr="008E4EFB">
        <w:t>, which eventually become deposition. This means that the seasonal timing of deposition should follow immediately after soil management practices that increase emissions, such as fertilization. In the Midwest, this is typically early spring, which corresponds well with the peak of ammonium deposition (</w:t>
      </w:r>
      <w:r w:rsidRPr="00427197">
        <w:rPr>
          <w:b/>
          <w:bCs/>
        </w:rPr>
        <w:t>Figure</w:t>
      </w:r>
      <w:r w:rsidRPr="008E4EFB">
        <w:t xml:space="preserve"> </w:t>
      </w:r>
      <w:r w:rsidR="00B00353" w:rsidRPr="00427197">
        <w:rPr>
          <w:b/>
          <w:bCs/>
        </w:rPr>
        <w:t>3.</w:t>
      </w:r>
      <w:r w:rsidRPr="00427197">
        <w:rPr>
          <w:b/>
          <w:bCs/>
        </w:rPr>
        <w:t>5</w:t>
      </w:r>
      <w:r w:rsidRPr="008E4EFB">
        <w:t>).  However, winter deposition peaks in the Midwest are primarily composed of NO</w:t>
      </w:r>
      <w:r w:rsidRPr="008E4EFB">
        <w:rPr>
          <w:vertAlign w:val="subscript"/>
        </w:rPr>
        <w:t>3</w:t>
      </w:r>
      <w:r w:rsidRPr="008E4EFB">
        <w:rPr>
          <w:vertAlign w:val="superscript"/>
        </w:rPr>
        <w:t>-</w:t>
      </w:r>
      <w:r w:rsidRPr="008E4EFB">
        <w:t xml:space="preserve">, which is likely due to the lack of crop demand for N, the large amount of precipitation and runoff, and subsequent high levels of nitrification on farm systems </w:t>
      </w:r>
      <w:r w:rsidRPr="008E4EFB">
        <w:fldChar w:fldCharType="begin"/>
      </w:r>
      <w:r w:rsidRPr="008E4EFB">
        <w:instrText xml:space="preserve"> ADDIN ZOTERO_ITEM CSL_CITATION {"citationID":"xvRjyg1k","properties":{"formattedCitation":"(Fenn et al., 2003)","plainCitation":"(Fenn et al., 2003)","noteIndex":0},"citationItems":[{"id":3686,"uris":["http://zotero.org/users/3110659/items/ZFZNKNGT"],"itemData":{"id":3686,"type":"article-journal","abstract":"In the western United States vast acreages of land are exposed to low levels of atmospheric nitrogen (N) deposition, with interspersed hotspots of elevated N deposition downwind of large, expanding metropolitan centers or large agricultural operations. Biological response studies in western North America demonstrate that some aquatic and terrestrial plant and microbial communities are significantly altered by N deposition. Greater plant productivity is counterbalanced by biotic community changes and deleterious effects on sensitive organisms (lichens and phytoplankton) that respond to low inputs of N (3 to 8 kilograms N per hectare per year). Streamwater nitrate concentrations are elevated in high-elevation catchments in Colorado and are unusually high in southern California and in some chaparral catchments in the southwestern Sierra Nevada. Chronic N deposition in the West is implicated in increased fire frequency in some areas and habitat alteration for threatened species. Between hotspots, N deposition is too low to cause...","container-title":"BioScience","DOI":"10.1641/0006-3568(2003)053[0404:EEONDI]2.0.CO;2","issue":"4","language":"en","page":"404-420","source":"pubs.usgs.gov","title":"Ecological effects of nitrogen deposition in the western United States","volume":"53","author":[{"family":"Fenn","given":"M. E."},{"family":"Baron","given":"Jill"},{"family":"Allen","given":"E. B."},{"family":"Rueth","given":"H. M."},{"family":"Nydick","given":"K. R."},{"family":"Geiser","given":"L."},{"family":"Bowman","given":"W. D."},{"family":"Sickman","given":"J. O."},{"family":"Meixner","given":"T."},{"family":"Johnson","given":"D. W."},{"family":"Neitlich","given":"P."}],"issued":{"date-parts":[["2003"]]}}}],"schema":"https://github.com/citation-style-language/schema/raw/master/csl-citation.json"} </w:instrText>
      </w:r>
      <w:r w:rsidRPr="008E4EFB">
        <w:fldChar w:fldCharType="separate"/>
      </w:r>
      <w:r w:rsidRPr="008E4EFB">
        <w:t>(Fenn et al., 2003)</w:t>
      </w:r>
      <w:r w:rsidRPr="008E4EFB">
        <w:fldChar w:fldCharType="end"/>
      </w:r>
      <w:r w:rsidRPr="008E4EFB">
        <w:t xml:space="preserve">. It could also be related to OMI retrieval errors over snow </w:t>
      </w:r>
      <w:r w:rsidRPr="008E4EFB">
        <w:fldChar w:fldCharType="begin"/>
      </w:r>
      <w:r w:rsidRPr="008E4EFB">
        <w:instrText xml:space="preserve"> ADDIN ZOTERO_ITEM CSL_CITATION {"citationID":"DR0PaXfo","properties":{"formattedCitation":"(O\\uc0\\u8217{}Byrne et al., 2010)","plainCitation":"(O’Byrne et al., 2010)","noteIndex":0},"citationItems":[{"id":3688,"uris":["http://zotero.org/users/3110659/items/BIN5NRDQ"],"itemData":{"id":3688,"type":"article-journal","abstract":"Satellite retrievals of tropospheric composition from measurements of solar backscatter require accurate information about surface reflectivity. We use clear-sky data from the Ozone Monitoring Instrument (OMI) to determine global surface reflectivity under both snow-covered and snow-free conditions at 354 nm. Clear-sky scenes are determined using cloud and aerosol data from the Moderate Resolution Imaging Spectroradiometer/Aqua satellite instrument that flies 12 min ahead of OMI/Aura. The result is a database of OMI-observed Lambertian equivalent reflectivity (LER) that does not rely on statistical methods to eliminate cloud and aerosol contamination. We apply this database to evaluate previous climatologies of surface reflectivity. Except for regions of seasonal snow cover, agreement is best with a climatology from OMI, which selects the surface reflectivity from a histogram of observed LER (mean difference, 0.0002; standard deviation, 0.011). Three other climatologies of surface reflectivity from Total Ozone Mapping Spectrometer, Global Ozone Monitoring Experiment, and OMI, based on minimum observed LER, are less consistent with our cloud- and aerosol-filtered data set (mean difference, −0.008, 0.012, and −0.002; standard deviation, 0.022, 0.026, and 0.033). Snow increases the sensitivity of solar backscatter measurements at ultraviolet and visible wavelengths to trace gases in the lower troposphere. However, all four existing LER climatologies poorly represent seasonal snow. Surface reflectivity over snow-covered lands depends strongly on the vegetation type covering the surface. The monthly variation of snow-covered reflectivity varies by less than 0.1 in fall and winter. Applying our snow-covered surface reflectivity database to OMI NO2 retrievals could change the retrieved NO2 column by 20%–50% over large regions with seasonal snow cover.","container-title":"Journal of Geophysical Research: Atmospheres","DOI":"10.1029/2009JD013079","ISSN":"2156-2202","issue":"D17","language":"en","note":"_eprint: https://onlinelibrary.wiley.com/doi/pdf/10.1029/2009JD013079","source":"Wiley Online Library","title":"Surface reflectivity from the Ozone Monitoring Instrument using the Moderate Resolution Imaging Spectroradiometer to eliminate clouds: Effects of snow on ultraviolet and visible trace gas retrievals","title-short":"Surface reflectivity from the Ozone Monitoring Instrument using the Moderate Resolution Imaging Spectroradiometer to eliminate clouds","URL":"https://onlinelibrary.wiley.com/doi/abs/10.1029/2009JD013079","volume":"115","author":[{"family":"O'Byrne","given":"G."},{"family":"Martin","given":"R. V."},{"family":"Donkelaar","given":"A.","non-dropping-particle":"van"},{"family":"Joiner","given":"J."},{"family":"Celarier","given":"E. A."}],"accessed":{"date-parts":[["2024",9,29]]},"issued":{"date-parts":[["2010"]]}}}],"schema":"https://github.com/citation-style-language/schema/raw/master/csl-citation.json"} </w:instrText>
      </w:r>
      <w:r w:rsidRPr="008E4EFB">
        <w:fldChar w:fldCharType="separate"/>
      </w:r>
      <w:r w:rsidRPr="008E4EFB">
        <w:t>(O’Byrne et al., 2010)</w:t>
      </w:r>
      <w:r w:rsidRPr="008E4EFB">
        <w:fldChar w:fldCharType="end"/>
      </w:r>
      <w:r w:rsidRPr="008E4EFB">
        <w:t xml:space="preserve">. </w:t>
      </w:r>
    </w:p>
    <w:p w14:paraId="0120A8DB" w14:textId="05B18B8E" w:rsidR="00C50D4B" w:rsidRPr="008E4EFB" w:rsidRDefault="00C50D4B" w:rsidP="00DC4266">
      <w:pPr>
        <w:pStyle w:val="Style3"/>
        <w:numPr>
          <w:ilvl w:val="1"/>
          <w:numId w:val="11"/>
        </w:numPr>
        <w:spacing w:before="0" w:line="360" w:lineRule="auto"/>
        <w:rPr>
          <w:rFonts w:cs="Times New Roman"/>
          <w:szCs w:val="24"/>
        </w:rPr>
      </w:pPr>
      <w:bookmarkStart w:id="45" w:name="_Toc179917977"/>
      <w:r w:rsidRPr="008E4EFB">
        <w:rPr>
          <w:rFonts w:cs="Times New Roman"/>
          <w:szCs w:val="24"/>
        </w:rPr>
        <w:t>Conclusions</w:t>
      </w:r>
      <w:bookmarkEnd w:id="45"/>
    </w:p>
    <w:p w14:paraId="6D227044" w14:textId="2C0F3A80" w:rsidR="00763355" w:rsidRPr="008E4EFB" w:rsidRDefault="00DD69A5" w:rsidP="00DC4266">
      <w:pPr>
        <w:pStyle w:val="Abstract"/>
        <w:spacing w:before="0" w:line="360" w:lineRule="auto"/>
      </w:pPr>
      <w:r w:rsidRPr="008E4EFB">
        <w:t xml:space="preserve">The STRF is a promising new method of incorporating satellite data into existing models of wet deposition and expanding the regions with measurements available to correct the model. The seasonal patterns of wet N deposition in 2010 are well reproduced and </w:t>
      </w:r>
      <w:r w:rsidR="004A39DD" w:rsidRPr="008E4EFB">
        <w:t>my</w:t>
      </w:r>
      <w:r w:rsidRPr="008E4EFB">
        <w:t xml:space="preserve"> estimates are similar to those of prior studies that require intensive modeling and gridded datasets that are not </w:t>
      </w:r>
      <w:r w:rsidRPr="008E4EFB">
        <w:lastRenderedPageBreak/>
        <w:t xml:space="preserve">available for much of the world. </w:t>
      </w:r>
      <w:r w:rsidR="004A39DD" w:rsidRPr="008E4EFB">
        <w:t>My</w:t>
      </w:r>
      <w:r w:rsidRPr="008E4EFB">
        <w:t xml:space="preserve"> approach relies instead on machine learning to combine the global HTAP II model estimates with satellite data. </w:t>
      </w:r>
      <w:r w:rsidR="004A39DD" w:rsidRPr="008E4EFB">
        <w:t>These</w:t>
      </w:r>
      <w:r w:rsidRPr="008E4EFB">
        <w:t xml:space="preserve"> efforts demonstrate good performance over a wide, geographically diverse region and suggest that machine learning and satellite data have a critical role to play in improving global maps as well.</w:t>
      </w:r>
    </w:p>
    <w:p w14:paraId="1E5A1C80" w14:textId="77777777" w:rsidR="00CF558E" w:rsidRDefault="00CF558E" w:rsidP="00DC4266">
      <w:pPr>
        <w:pStyle w:val="Abstract"/>
        <w:spacing w:before="0" w:line="360" w:lineRule="auto"/>
      </w:pPr>
    </w:p>
    <w:p w14:paraId="1C9453C5" w14:textId="77777777" w:rsidR="000F3C0B" w:rsidRDefault="000F3C0B" w:rsidP="00DC4266">
      <w:pPr>
        <w:pStyle w:val="Abstract"/>
        <w:spacing w:before="0" w:line="360" w:lineRule="auto"/>
      </w:pPr>
    </w:p>
    <w:p w14:paraId="1EDEDD6B" w14:textId="77777777" w:rsidR="000F3C0B" w:rsidRDefault="000F3C0B" w:rsidP="00DC4266">
      <w:pPr>
        <w:pStyle w:val="Abstract"/>
        <w:spacing w:before="0" w:line="360" w:lineRule="auto"/>
      </w:pPr>
    </w:p>
    <w:p w14:paraId="30A404BF" w14:textId="77777777" w:rsidR="000F3C0B" w:rsidRDefault="000F3C0B" w:rsidP="00DC4266">
      <w:pPr>
        <w:pStyle w:val="Abstract"/>
        <w:spacing w:before="0" w:line="360" w:lineRule="auto"/>
      </w:pPr>
    </w:p>
    <w:p w14:paraId="1BD2B1C7" w14:textId="77777777" w:rsidR="000F3C0B" w:rsidRDefault="000F3C0B" w:rsidP="00DC4266">
      <w:pPr>
        <w:pStyle w:val="Abstract"/>
        <w:spacing w:before="0" w:line="360" w:lineRule="auto"/>
      </w:pPr>
    </w:p>
    <w:p w14:paraId="6F6F5429" w14:textId="77777777" w:rsidR="000F3C0B" w:rsidRDefault="000F3C0B" w:rsidP="00DC4266">
      <w:pPr>
        <w:pStyle w:val="Abstract"/>
        <w:spacing w:before="0" w:line="360" w:lineRule="auto"/>
      </w:pPr>
    </w:p>
    <w:p w14:paraId="57CCD40E" w14:textId="77777777" w:rsidR="000F3C0B" w:rsidRDefault="000F3C0B" w:rsidP="00DC4266">
      <w:pPr>
        <w:pStyle w:val="Abstract"/>
        <w:spacing w:before="0" w:line="360" w:lineRule="auto"/>
      </w:pPr>
    </w:p>
    <w:p w14:paraId="6F06D32B" w14:textId="77777777" w:rsidR="000F3C0B" w:rsidRDefault="000F3C0B" w:rsidP="00DC4266">
      <w:pPr>
        <w:pStyle w:val="Abstract"/>
        <w:spacing w:before="0" w:line="360" w:lineRule="auto"/>
      </w:pPr>
    </w:p>
    <w:p w14:paraId="44D934C4" w14:textId="77777777" w:rsidR="000F3C0B" w:rsidRDefault="000F3C0B" w:rsidP="00DC4266">
      <w:pPr>
        <w:pStyle w:val="Abstract"/>
        <w:spacing w:before="0" w:line="360" w:lineRule="auto"/>
      </w:pPr>
    </w:p>
    <w:p w14:paraId="465FD7FA" w14:textId="77777777" w:rsidR="000F3C0B" w:rsidRDefault="000F3C0B" w:rsidP="00DC4266">
      <w:pPr>
        <w:pStyle w:val="Abstract"/>
        <w:spacing w:before="0" w:line="360" w:lineRule="auto"/>
      </w:pPr>
    </w:p>
    <w:p w14:paraId="7DEBC58E" w14:textId="77777777" w:rsidR="000F3C0B" w:rsidRDefault="000F3C0B" w:rsidP="00DC4266">
      <w:pPr>
        <w:pStyle w:val="Abstract"/>
        <w:spacing w:before="0" w:line="360" w:lineRule="auto"/>
      </w:pPr>
    </w:p>
    <w:p w14:paraId="22E8B582" w14:textId="77777777" w:rsidR="000F3C0B" w:rsidRDefault="000F3C0B" w:rsidP="00DC4266">
      <w:pPr>
        <w:pStyle w:val="Abstract"/>
        <w:spacing w:before="0" w:line="360" w:lineRule="auto"/>
      </w:pPr>
    </w:p>
    <w:p w14:paraId="54CD64F3" w14:textId="77777777" w:rsidR="000F3C0B" w:rsidRDefault="000F3C0B" w:rsidP="00DC4266">
      <w:pPr>
        <w:pStyle w:val="Abstract"/>
        <w:spacing w:before="0" w:line="360" w:lineRule="auto"/>
      </w:pPr>
    </w:p>
    <w:p w14:paraId="7BEF956C" w14:textId="77777777" w:rsidR="000F3C0B" w:rsidRDefault="000F3C0B" w:rsidP="00DC4266">
      <w:pPr>
        <w:pStyle w:val="Abstract"/>
        <w:spacing w:before="0" w:line="360" w:lineRule="auto"/>
      </w:pPr>
    </w:p>
    <w:p w14:paraId="35F230B9" w14:textId="77777777" w:rsidR="000F3C0B" w:rsidRDefault="000F3C0B" w:rsidP="00DC4266">
      <w:pPr>
        <w:pStyle w:val="Abstract"/>
        <w:spacing w:before="0" w:line="360" w:lineRule="auto"/>
      </w:pPr>
    </w:p>
    <w:p w14:paraId="69C54F1B" w14:textId="77777777" w:rsidR="000F3C0B" w:rsidRDefault="000F3C0B" w:rsidP="00DC4266">
      <w:pPr>
        <w:pStyle w:val="Abstract"/>
        <w:spacing w:before="0" w:line="360" w:lineRule="auto"/>
      </w:pPr>
    </w:p>
    <w:p w14:paraId="6A00EE4C" w14:textId="77777777" w:rsidR="000F3C0B" w:rsidRDefault="000F3C0B" w:rsidP="00DC4266">
      <w:pPr>
        <w:pStyle w:val="Abstract"/>
        <w:spacing w:before="0" w:line="360" w:lineRule="auto"/>
      </w:pPr>
    </w:p>
    <w:p w14:paraId="650505EF" w14:textId="77777777" w:rsidR="000F3C0B" w:rsidRDefault="000F3C0B" w:rsidP="00DC4266">
      <w:pPr>
        <w:pStyle w:val="Abstract"/>
        <w:spacing w:before="0" w:line="360" w:lineRule="auto"/>
      </w:pPr>
    </w:p>
    <w:p w14:paraId="5C08CC9E" w14:textId="77777777" w:rsidR="000F3C0B" w:rsidRDefault="000F3C0B" w:rsidP="00DC4266">
      <w:pPr>
        <w:pStyle w:val="Abstract"/>
        <w:spacing w:before="0" w:line="360" w:lineRule="auto"/>
      </w:pPr>
    </w:p>
    <w:p w14:paraId="6264CEB7" w14:textId="77777777" w:rsidR="000F3C0B" w:rsidRDefault="000F3C0B" w:rsidP="00DC4266">
      <w:pPr>
        <w:pStyle w:val="Abstract"/>
        <w:spacing w:before="0" w:line="360" w:lineRule="auto"/>
      </w:pPr>
    </w:p>
    <w:p w14:paraId="6522C61D" w14:textId="77777777" w:rsidR="000F3C0B" w:rsidRDefault="000F3C0B" w:rsidP="00DC4266">
      <w:pPr>
        <w:pStyle w:val="Abstract"/>
        <w:spacing w:before="0" w:line="360" w:lineRule="auto"/>
      </w:pPr>
    </w:p>
    <w:p w14:paraId="4300F7D3" w14:textId="77777777" w:rsidR="000F3C0B" w:rsidRDefault="000F3C0B" w:rsidP="00DC4266">
      <w:pPr>
        <w:pStyle w:val="Abstract"/>
        <w:spacing w:before="0" w:line="360" w:lineRule="auto"/>
      </w:pPr>
    </w:p>
    <w:p w14:paraId="5172A11F" w14:textId="77777777" w:rsidR="000F3C0B" w:rsidRDefault="000F3C0B" w:rsidP="00DC4266">
      <w:pPr>
        <w:pStyle w:val="Abstract"/>
        <w:spacing w:before="0" w:line="360" w:lineRule="auto"/>
      </w:pPr>
    </w:p>
    <w:p w14:paraId="6EA59E65" w14:textId="77777777" w:rsidR="000F3C0B" w:rsidRDefault="000F3C0B" w:rsidP="00DC4266">
      <w:pPr>
        <w:pStyle w:val="Abstract"/>
        <w:spacing w:before="0" w:line="360" w:lineRule="auto"/>
      </w:pPr>
    </w:p>
    <w:p w14:paraId="05BCC79E" w14:textId="77777777" w:rsidR="000F3C0B" w:rsidRPr="008E4EFB" w:rsidRDefault="000F3C0B" w:rsidP="00DC4266">
      <w:pPr>
        <w:pStyle w:val="Abstract"/>
        <w:spacing w:before="0" w:line="360" w:lineRule="auto"/>
      </w:pPr>
    </w:p>
    <w:p w14:paraId="4963E98D" w14:textId="77777777" w:rsidR="00C50D4B" w:rsidRPr="008E4EFB" w:rsidRDefault="00C50D4B" w:rsidP="00DC4266">
      <w:pPr>
        <w:pStyle w:val="Heading1"/>
        <w:spacing w:before="0" w:line="360" w:lineRule="auto"/>
        <w:rPr>
          <w:sz w:val="24"/>
          <w:szCs w:val="24"/>
        </w:rPr>
      </w:pPr>
      <w:bookmarkStart w:id="46" w:name="_Toc179917978"/>
      <w:r w:rsidRPr="008E4EFB">
        <w:rPr>
          <w:sz w:val="24"/>
          <w:szCs w:val="24"/>
        </w:rPr>
        <w:lastRenderedPageBreak/>
        <w:t>Projected Global Sulfur Deposition with Climate Intervention</w:t>
      </w:r>
      <w:bookmarkEnd w:id="46"/>
      <w:r w:rsidRPr="008E4EFB">
        <w:rPr>
          <w:sz w:val="24"/>
          <w:szCs w:val="24"/>
        </w:rPr>
        <w:t xml:space="preserve"> </w:t>
      </w:r>
    </w:p>
    <w:p w14:paraId="64E0554D" w14:textId="740D1143" w:rsidR="006131EE" w:rsidRPr="008E4EFB" w:rsidRDefault="006131EE" w:rsidP="00DC4266">
      <w:pPr>
        <w:pStyle w:val="Style3"/>
        <w:spacing w:before="0" w:line="360" w:lineRule="auto"/>
        <w:rPr>
          <w:rFonts w:cs="Times New Roman"/>
          <w:szCs w:val="24"/>
        </w:rPr>
      </w:pPr>
      <w:bookmarkStart w:id="47" w:name="_Toc179917979"/>
      <w:r w:rsidRPr="008E4EFB">
        <w:rPr>
          <w:rFonts w:cs="Times New Roman"/>
          <w:szCs w:val="24"/>
        </w:rPr>
        <w:t>4.1 Climate Intervention</w:t>
      </w:r>
      <w:bookmarkEnd w:id="47"/>
    </w:p>
    <w:p w14:paraId="25C6F57E" w14:textId="49588B2F" w:rsidR="00F15FD6" w:rsidRPr="008E4EFB" w:rsidRDefault="00F15FD6"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Anthropogenic climate change is the most pressing global challenge we face today and the widespread harmful impacts to humans and ecosystems are being felt worldwide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{"citationID":"oJk26zHK","properties":{"formattedCitation":"(IPCC, 2022; Scheffers et al., 2016)","plainCitation":"(IPCC, 2022; Scheffers et al., 2016)","noteIndex":0},"citationItems":[{"id":1979,"uris":["http://zotero.org/users/3110659/items/U94DTK8W"],"itemData":{"id":1979,"type":"report","collection-title":"Contributions of Working Group II teo the Sixth Assessment Report of the Intergovernemental Panel on Climate Change","event-place":"Cambridge University Press","genre":"Scientific Investigations Report","publisher":"IPCC","publisher-place":"Cambridge University Press","title":"Climate Change 2022: Impacts, Adaptation and Vulnerability","collection-editor":[{"family":"Pörtner","given":"H.-O."},{"family":"Roberts","given":"D.C."},{"family":"Tignor","given":"M."},{"family":"Poloczanska","given":"E.S."},{"family":"Mintenbeck","given":"K."},{"family":"Alegria","given":"A."},{"family":"Craig","given":"M."},{"family":"Langsdorf","given":"S."},{"family":"Löschke","given":"S."},{"family":"Möller","given":"V."},{"family":"Okem","given":"A."},{"family":"Rama","given":"B."}],"author":[{"family":"IPCC","given":""}],"issued":{"date-parts":[["2022"]]}}},{"id":1980,"uris":["http://zotero.org/users/3110659/items/DETW44H3"],"itemData":{"id":1980,"type":"article-journal","container-title":"Science","DOI":"10.1126/science.aaf7671","issue":"6313","note":"publisher: American Association for the Advancement of Science","page":"aaf7671","source":"science.org (Atypon)","title":"The broad footprint of climate change from genes to biomes to people","volume":"354","author":[{"family":"Scheffers","given":"Brett R."},{"family":"De Meester","given":"Luc"},{"family":"Bridge","given":"Tom C. L."},{"family":"Hoffmann","given":"Ary A."},{"family":"Pandolfi","given":"John M."},{"family":"Corlett","given":"Richard T."},{"family":"Butchart","given":"Stuart H. M."},{"family":"Pearce-Kelly","given":"Paul"},{"family":"Kovacs","given":"Kit M."},{"family":"Dudgeon","given":"David"},{"family":"Pacifici","given":"Michela"},{"family":"Rondinini","given":"Carlo"},{"family":"Foden","given":"Wendy B."},{"family":"Martin","given":"Tara G."},{"family":"Mora","given":"Camilo"},{"family":"Bickford","given":"David"},{"family":"Watson","given":"James E. M."}],"issued":{"date-parts":[["2016",11,11]]}}}],"schema":"https://github.com/citation-style-language/schema/raw/master/csl-citation.json"}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(IPCC, 2022; Scheffers et al., 2016)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While scientists have warned for decades that it is essential to decrease carbon dioxide (CO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inputs to the atmosphere to mitigate climate change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{"citationID":"i67hUrKK","properties":{"formattedCitation":"(d\\uc0\\u8217{}Arge et al., 1982; Schultz &amp; Kasting, 1997)","plainCitation":"(d’Arge et al., 1982; Schultz &amp; Kasting, 1997)","noteIndex":0},"citationItems":[{"id":1985,"uris":["http://zotero.org/users/3110659/items/HF2XS5NV"],"itemData":{"id":1985,"type":"article-journal","container-title":"The American Economic Review","ISSN":"0002-8282","issue":"2","note":"publisher: American Economic Association","page":"251-256","source":"JSTOR","title":"Carbon Dioxide and Intergenerational Choice","volume":"72","author":[{"family":"Arge","given":"Ralph C.","non-dropping-particle":"d'"},{"family":"Schulze","given":"William D."},{"family":"Brookshire","given":"David S."}],"issued":{"date-parts":[["1982"]]}}},{"id":1982,"uris":["http://zotero.org/users/3110659/items/XNQFUFXT"],"itemData":{"id":1982,"type":"article-journal","abstract":"Current optimizing climate-economy models use CO2 uptake functions that greatly underestimate both peak atmospheric CO2 concentrations and the time horizon of elevated CO2. As a result these models underestiamte potential global warming damages. Here, a more realistic, but practical, carbon cycle parameterization is developed that can be incorporated within an optimizing climate-economy model framework. This method is utilized in conjunction with the DICE model (Nordhaus, 1994) to estimate optimal reductions in CO2 emissions. The results are shown to be extremely sensitive to the pure rate of time preference, ϱ. For ϱ=3% (Nordhaus' preferred value), our model predicts an optimal CO2 emission reduction of 13% by the year 2045, as compared to 11% in the original DICE model. But, for ϱ=0% the optimal emissions reduction rises to 79% in the year 2045 and to 97% by the year 2200. We argue that energy policy should be guided by the ϱ=0% results for both economic and ethical reasons. A steady-state analysis performed using the DICE model supports the argument that large fractional reductions in CO2 emissions should be undertaken.","container-title":"Energy Policy","DOI":"10.1016/S0301-4215(97)00027-X","ISSN":"0301-4215","issue":"5","journalAbbreviation":"Energy Policy","language":"en","page":"491-500","source":"ScienceDirect","title":"Optimal reductions in CO2 emissions","volume":"25","author":[{"family":"Schultz","given":"Peter A"},{"family":"Kasting","given":"James F"}],"issued":{"date-parts":[["1997",4,1]]}}}],"schema":"https://github.com/citation-style-language/schema/raw/master/csl-citation.json"}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(d’Arge et al., 1982; Schultz &amp; Kasting, 1997)</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current pledges to reduce emissions are not adequate to even maintain warming at two degrees Celsius above historical temperatures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{"citationID":"KTiKot3l","properties":{"formattedCitation":"(Robiou du Pont &amp; Meinshausen, 2018; Tollefson, 2019)","plainCitation":"(Robiou du Pont &amp; Meinshausen, 2018; Tollefson, 2019)","noteIndex":0},"citationItems":[{"id":1991,"uris":["http://zotero.org/users/3110659/items/YKVQSYKW"],"itemData":{"id":1991,"type":"article-journal","abstract":"Under the bottom-up architecture of the Paris Agreement, countries pledge Nationally Determined Contributions (NDCs). Current NDCs individually align, at best, with divergent concepts of equity and are collectively inconsistent with the Paris Agreement. We show that the global 2030-emissions of NDCs match the sum of each country adopting the least-stringent of five effort-sharing allocations of a well-below 2 °C-scenario. Extending such a self-interested bottom-up aggregation of equity might lead to a median 2100-warming of 2.3 °C. Tightening the warming goal of each country’s effort-sharing approach to aspirational levels of 1.1 °C and 1.3 °C could achieve the 1.5 °C and well-below 2 °C-thresholds, respectively. This new hybrid allocation reconciles the bottom-up nature of the Paris Agreement with its top-down warming thresholds and provides a temperature metric to assess NDCs. When taken as benchmark by other countries, the NDCs of India, the EU, the USA and China lead to 2.6 °C, 3.2 °C, 4 °C and over 5.1 °C warmings, respectively.","container-title":"Nature Communications","DOI":"10.1038/s41467-018-07223-9","ISSN":"2041-1723","issue":"1","journalAbbreviation":"Nat Commun","language":"en","license":"2018 The Author(s)","note":"number: 1\npublisher: Nature Publishing Group","page":"4810","source":"www.nature.com","title":"Warming assessment of the bottom-up Paris Agreement emissions pledges","volume":"9","author":[{"family":"Robiou du Pont","given":"Yann"},{"family":"Meinshausen","given":"Malte"}],"issued":{"date-parts":[["2018",11,16]]}}},{"id":1987,"uris":["http://zotero.org/users/3110659/items/6U7HXTL5"],"itemData":{"id":1987,"type":"article-journal","abstract":"A set of troubling charts shows how little progress nations have made toward limiting greenhouse-gas emissions.","container-title":"Nature","issue":"7774","language":"en","page":"324+","title":"The hard truths of climate change — by the numbers","volume":"573","author":[{"family":"Tollefson","given":""}],"issued":{"date-parts":[["2019"]]}}}],"schema":"https://github.com/citation-style-language/schema/raw/master/csl-citation.json"}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(Robiou du Pont &amp; Meinshausen, 2018; Tollefson, 2019)</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 variety of responses will therefore be needed to slow </w:t>
      </w:r>
      <w:proofErr w:type="gramStart"/>
      <w:r w:rsidRPr="008E4EFB">
        <w:rPr>
          <w:rFonts w:ascii="Times New Roman" w:hAnsi="Times New Roman" w:cs="Times New Roman"/>
          <w:sz w:val="24"/>
          <w:szCs w:val="24"/>
        </w:rPr>
        <w:t>warming</w:t>
      </w:r>
      <w:proofErr w:type="gramEnd"/>
      <w:r w:rsidRPr="008E4EFB">
        <w:rPr>
          <w:rFonts w:ascii="Times New Roman" w:hAnsi="Times New Roman" w:cs="Times New Roman"/>
          <w:sz w:val="24"/>
          <w:szCs w:val="24"/>
        </w:rPr>
        <w:t xml:space="preserve">, in addition to reducing emissions and adapting to the future warmer climate. This may include climate intervention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{"citationID":"cwoVsmVV","properties":{"formattedCitation":"(National Research Council, 2015)","plainCitation":"(National Research Council, 2015)","noteIndex":0},"citationItems":[{"id":2000,"uris":["http://zotero.org/users/3110659/items/LBJVXLTE"],"itemData":{"id":2000,"type":"book","abstract":"Download a PDF of \"Climate Intervention\" by the National Research Council for free.","ISBN":"978-0-309-31482-4","language":"en","note":"DOI: 10.17226/18988","source":"nap.nationalacademies.org","title":"Climate Intervention: Reflecting Sunlight to Cool Earth","title-short":"Climate Intervention","URL":"https://nap.nationalacademies.org/catalog/18988/climate-intervention-reflecting-sunlight-to-cool-earth","author":[{"family":"National Research Council","given":""}],"accessed":{"date-parts":[["2022",5,5]]},"issued":{"date-parts":[["2015",2,10]]}}}],"schema":"https://github.com/citation-style-language/schema/raw/master/csl-citation.json"}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(National Research Council, 2015)</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Climate intervention approaches fall into one of two categories: removing CO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from the atmosphere or modifying the way solar radiation is reflected by the atmosphere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{"citationID":"jxOSZ0Hk","properties":{"formattedCitation":"(Shepherd, 2012)","plainCitation":"(Shepherd, 2012)","noteIndex":0},"citationItems":[{"id":2820,"uris":["http://zotero.org/users/3110659/items/DAFIYFML"],"itemData":{"id":2820,"type":"article-journal","abstract":"The climate change that we are experiencing now is caused by an increase in greenhouse gases due to human activities, including burning fossil fuels, agriculture and deforestation. There is now widespread belief that a global warming of greater than 2°C above pre-industrial levels would be dangerous and should therefore be avoided. However, despite growing concerns over climate change and numerous international attempts to agree on reductions of global CO2 emissions, these have continued to climb. This has led some commentators to suggest more radical ‘geoengineering’ alternatives to conventional mitigation by reductions in CO2 emissions. Geoengineering is deliberate intervention in the climate system to counteract man-made global warming. There are two main classes of geoengineering: direct carbon dioxide removal and solar radiation management that aims to cool the planet by reflecting more sunlight back to space. The findings of the review of geoengineering carried out by the UK Royal Society in 2009 are summarized here, including the climate effects, costs, risks and research and governance needs for various approaches. The possible role of geoengineering in a portfolio of responses to climate change is discussed, and various recent initiatives to establish good governance of research activity are reviewed.\n\nKey findings include the following.\n\n\t\n\n— Geoengineering is not a magic bullet and not an alternative to emissions reductions.\n\n\n\t\n\n— Cutting global greenhouse gas emissions must remain our highest priority.\n\n(i) But this is proving to be difficult, and geoengineering may be useful to support it.\n\n\n\t\n\n— Geoengineering is very likely to be technically possible.\n\n(i) However, there are major uncertainties and potential risks concerning effectiveness, costs and social and environmental impacts.\n\n\n\t\n\n— Much more research is needed, as well as public engagement and a system of regulation (for both deployment and for possible large-scale field tests).\n\n\n\t\n\n— The acceptability of geoengineering will be determined as much by social, legal and political issues as by scientific and technical factors.\n\nSome methods of both types would involve release of materials to the environment, either to the atmosphere or to the oceans, in areas beyond national jurisdiction. The intended impacts on climate would in any case affect many or all countries, possibly to a variable extent. There are therefore inherent international implications for deployment of such geoengineering methods (and possibly also for some forms of research), which need early and collaborative consideration, before any deployment or large-scale experiments could be undertaken responsibly.","container-title":"Philosophical Transactions of the Royal Society A: Mathematical, Physical and Engineering Sciences","DOI":"10.1098/rsta.2012.0186","issue":"1974","note":"publisher: Royal Society","page":"4166-4175","source":"royalsocietypublishing.org (Atypon)","title":"Geoengineering the climate: an overview and update","title-short":"Geoengineering the climate","volume":"370","author":[{"family":"Shepherd","given":"J. G."}],"issued":{"date-parts":[["2012",9,13]]}}}],"schema":"https://github.com/citation-style-language/schema/raw/master/csl-citation.json"}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(Shepherd, 2012)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While CO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removal will likely be part of a portfolio of responses to climate change, it may not be enough due to the costs of scaling CO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utilization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{"citationID":"P6dmHImR","properties":{"formattedCitation":"(Hepburn et al., 2019)","plainCitation":"(Hepburn et al., 2019)","noteIndex":0},"citationItems":[{"id":2626,"uris":["http://zotero.org/users/3110659/items/77794XFN"],"itemData":{"id":2626,"type":"article-journal","abstract":"The capture and use of carbon dioxide to create valuable products might lower the net costs of reducing emissions or removing carbon dioxide from the atmosphere. Here we review ten pathways for the utilization of carbon dioxide. Pathways that involve chemicals, fuels and microalgae might reduce emissions of carbon dioxide but have limited potential for its removal, whereas pathways that involve construction materials can both utilize and remove carbon dioxide. Land-based pathways can increase agricultural output and remove carbon dioxide. Our assessment suggests that each pathway could scale to over 0.5 gigatonnes of carbon dioxide utilization annually. However, barriers to implementation remain substantial and resource constraints prevent the simultaneous deployment of all pathways.","container-title":"Nature","DOI":"10.1038/s41586-019-1681-6","ISSN":"1476-4687","issue":"7781","language":"en","license":"2019 Springer Nature Limited","note":"number: 7781\npublisher: Nature Publishing Group","page":"87-97","source":"www.nature.com","title":"The technological and economic prospects for CO2 utilization and removal","volume":"575","author":[{"family":"Hepburn","given":"Cameron"},{"family":"Adlen","given":"Ella"},{"family":"Beddington","given":"John"},{"family":"Carter","given":"Emily A."},{"family":"Fuss","given":"Sabine"},{"family":"Mac Dowell","given":"Niall"},{"family":"Minx","given":"Jan C."},{"family":"Smith","given":"Pete"},{"family":"Williams","given":"Charlotte K."}],"issued":{"date-parts":[["2019",11]]}}}],"schema":"https://github.com/citation-style-language/schema/raw/master/csl-citation.json"}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(Hepburn et al., 2019)</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The most commonly researched method of altering the atmosphere’s radiative budget is stratospheric aerosol injection (SAI)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{"citationID":"RUjgCZnA","properties":{"formattedCitation":"(Crutzen, 2006; Lawrence et al., 2018; W. Smith &amp; Henly, 2021)","plainCitation":"(Crutzen, 2006; Lawrence et al., 2018; W. Smith &amp; Henly, 2021)","noteIndex":0},"citationItems":[{"id":1994,"uris":["http://zotero.org/users/3110659/items/UEF9F9BW"],"itemData":{"id":1994,"type":"article-journal","abstract":"Current mitigation efforts and existing future commitments are inadequate to accomplish the Paris Agreement temperature goals. In light of this, research and debate are intensifying on the possibilities of additionally employing proposed climate geoengineering technologies, either through atmospheric carbon dioxide removal or farther-reaching interventions altering the Earth’s radiative energy budget. Although research indicates that several techniques may eventually have the physical potential to contribute to limiting climate change, all are in early stages of development, involve substantial uncertainties and risks, and raise ethical and governance dilemmas. Based on present knowledge, climate geoengineering techniques cannot be relied on to significantly contribute to meeting the Paris Agreement temperature goals.","container-title":"Nature Communications","DOI":"10.1038/s41467-018-05938-3","ISSN":"2041-1723","issue":"1","journalAbbreviation":"Nat Commun","language":"en","license":"2018 The Author(s)","note":"number: 1\npublisher: Nature Publishing Group","page":"3734","source":"www.nature.com","title":"Evaluating climate geoengineering proposals in the context of the Paris Agreement temperature goals","volume":"9","author":[{"family":"Lawrence","given":"Mark G."},{"family":"Schäfer","given":"Stefan"},{"family":"Muri","given":"Helene"},{"family":"Scott","given":"Vivian"},{"family":"Oschlies","given":"Andreas"},{"family":"Vaughan","given":"Naomi E."},{"family":"Boucher","given":"Olivier"},{"family":"Schmidt","given":"Hauke"},{"family":"Haywood","given":"Jim"},{"family":"Scheffran","given":"Jürgen"}],"issued":{"date-parts":[["2018",9,13]]}}},{"id":2622,"uris":["http://zotero.org/users/3110659/items/LR2RRZWA"],"itemData":{"id":2622,"type":"article-journal","container-title":"Climatic Change","DOI":"10.1007/s10584-006-9101-y","ISSN":"1573-1480","issue":"3","journalAbbreviation":"Climatic Change","language":"en","page":"211-220","source":"Springer Link","title":"Albedo Enhancement by Stratospheric Sulfur Injections: A Contribution to Resolve a Policy Dilemma?","title-short":"Albedo Enhancement by Stratospheric Sulfur Injections","volume":"77","author":[{"family":"Crutzen","given":"Paul J."}],"issued":{"date-parts":[["2006",8,1]]}}},{"id":2624,"uris":["http://zotero.org/users/3110659/items/Z5T3D78C"],"itemData":{"id":2624,"type":"article-journal","abstract":"In this paper, we seek to ground discussions of the governance of stratospheric aerosol injection research in recent literature about the field including an updated understanding of the technology’s deployment logistics and scale, pattern of effects, and research pathways. Relying upon this literature, we evaluate several common reservations regarding the governance of pre-deployment research and testing including covert deployment, technological lock-in, weaponization, slippery slope, and the blurry line between research and deployment. We conclude that these reservations are no longer supported by literature. However, we do not argue that there is no reason for concern. Instead, we enumerate alternative bases for caution about research into stratospheric aerosol injection which are supported by an up-to-date understanding of the literature. We conclude that in order to establish the correct degree and type of governance for stratospheric aerosol injection research, the research community must focus its attention on these well-grounded reservations. However, while these reservations are supported and warrant further attention, we conclude that none currently justifies restrictive governance of early-stage stratospheric aerosol injection research.","container-title":"Climatic Change","DOI":"10.1007/s10584-021-03017-z","ISSN":"1573-1480","issue":"3","journalAbbreviation":"Climatic Change","language":"en","page":"39","source":"Springer Link","title":"Updated and outdated reservations about research into stratospheric aerosol injection","volume":"164","author":[{"family":"Smith","given":"Wake"},{"family":"Henly","given":"Claire"}],"issued":{"date-parts":[["2021",2,11]]}}}],"schema":"https://github.com/citation-style-language/schema/raw/master/csl-citation.json"}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(Crutzen, 2006; Lawrence et al., 2018; W. Smith &amp; Henly, 2021)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using aircraft-based delivery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{"citationID":"qKOywZMR","properties":{"formattedCitation":"(Tracy et al., 2022)","plainCitation":"(Tracy et al., 2022)","noteIndex":0},"citationItems":[{"id":2311,"uris":["http://zotero.org/users/3110659/items/YTP42T4V"],"itemData":{"id":2311,"type":"article-journal","abstract":"Solar radiation management (SRM) is a climate engineering strategy to reduce temperature increases due to global climate change. The most well-researched SRM methodology is stratospheric aerosol injection (SAI), which involves increasing the concentration of aerosol particles in the stratosphere to reduce the amount of solar radiation reaching Earth’s surface. The most considered and heavily researched aerosol for SAI is sulfate. SAI has been extensively modeled using various climate scenarios and investigated using data from previous volcanic eruptions, which provide an analog of the climate effects of SAI. Prior research has determined that SAI will not only decrease global temperatures but is likely to have direct impacts on ecosystem and public health. This review seeks to investigate the various ways by which SAI may impact global public health outcomes related to hydrologic cycling, atmospheric chemical cycling, frequency of natural disasters, food system disruptions, and ecological health through the pathways of water, air, soil, and biota. SAI has the potential to decrease negative health outcomes associated with rising temperatures but may have a myriad of impacts on global environmental systems. Anthropogenically altering the global climate, through both the release of greenhouse gases or through climatic engineering, has unknown consequences, many of which will likely impact global health and quality of life. A more holistic approach is necessary to understand the relative benefits and harms in using SAI as compared to the implication of global climate change.","container-title":"Elementa: Science of the Anthropocene","DOI":"10.1525/elementa.2022.00047","ISSN":"2325-1026","issue":"1","journalAbbreviation":"Elementa: Science of the Anthropocene","page":"00047","source":"Silverchair","title":"Stratospheric aerosol injection may impact global systems and human health outcomes","volume":"10","author":[{"family":"Tracy","given":"Samantha M."},{"family":"Moch","given":"Jonathan M."},{"family":"Eastham","given":"Sebastian D."},{"family":"Buonocore","given":"Jonathan J."}],"issued":{"date-parts":[["2022",12,21]]}}}],"schema":"https://github.com/citation-style-language/schema/raw/master/csl-citation.json"}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(Tracy et al.,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p>
    <w:p w14:paraId="5CC4BB7D" w14:textId="340CC7A5" w:rsidR="00F15FD6" w:rsidRPr="008E4EFB" w:rsidRDefault="00F15FD6" w:rsidP="00DC4266">
      <w:pPr>
        <w:spacing w:after="0" w:line="360" w:lineRule="auto"/>
        <w:rPr>
          <w:rFonts w:ascii="Times New Roman" w:hAnsi="Times New Roman" w:cs="Times New Roman"/>
          <w:sz w:val="24"/>
          <w:szCs w:val="24"/>
        </w:rPr>
      </w:pPr>
      <w:r w:rsidRPr="008E4EFB">
        <w:rPr>
          <w:rFonts w:ascii="Times New Roman" w:eastAsia="Times New Roman" w:hAnsi="Times New Roman" w:cs="Times New Roman"/>
          <w:kern w:val="2"/>
          <w:sz w:val="24"/>
          <w:szCs w:val="24"/>
        </w:rPr>
        <w:t xml:space="preserve">SAI is extremely controversial in part because it is a global intervention without clear policy frameworks or a governing body in charge of the decision to deploy, and in part because it calls into question both our duties and our rights towards the natural world and other humans. Studies disagree about the magnitude and impacts of disruptions to precipitation and temperature that it would cause </w:t>
      </w:r>
      <w:r w:rsidRPr="008E4EFB">
        <w:rPr>
          <w:rFonts w:ascii="Times New Roman" w:eastAsia="Times New Roman" w:hAnsi="Times New Roman" w:cs="Times New Roman"/>
          <w:kern w:val="2"/>
          <w:sz w:val="24"/>
          <w:szCs w:val="24"/>
        </w:rPr>
        <w:fldChar w:fldCharType="begin"/>
      </w:r>
      <w:r w:rsidR="00652E13" w:rsidRPr="008E4EFB">
        <w:rPr>
          <w:rFonts w:ascii="Times New Roman" w:eastAsia="Times New Roman" w:hAnsi="Times New Roman" w:cs="Times New Roman"/>
          <w:kern w:val="2"/>
          <w:sz w:val="24"/>
          <w:szCs w:val="24"/>
        </w:rPr>
        <w:instrText xml:space="preserve"> ADDIN ZOTERO_ITEM CSL_CITATION {"citationID":"YypsbHRg","properties":{"formattedCitation":"(Brendan Clark et al., 2023; P. Irvine et al., 2019; P. J. Irvine &amp; Keith, 2020; Kortetm\\uc0\\u228{}ki &amp; Oksanen, 2023)","plainCitation":"(Brendan Clark et al., 2023; P. Irvine et al., 2019; P. J. Irvine &amp; Keith, 2020; Kortetmäki &amp; Oksanen, 2023)","noteIndex":0},"citationItems":[{"id":3020,"uris":["http://zotero.org/users/3110659/items/AM8TD76D"],"itemData":{"id":3020,"type":"article-journal","abstract":"Stratospheric aerosol intervention (SAI) is a proposed strategy to reduce the effects of anthropogenic climate change. There are many temperature targets that could be chosen for a SAI implementation, which would regionally modify climatically relevant variables such as surface temperature, precipitation, humidity, total solar radiation and diffuse radiation. In this work, we analyse impacts on national maize, rice, soybean and wheat production by looking at output from 11 different SAI scenarios carried out with a fully coupled Earth system model coupled to a crop model. Higher-latitude nations tend to produce the most calories under unabated climate change, while midlatitude nations maximize calories under moderate SAI implementation and equatorial nations produce the most calories from crops under high levels of SAI. Our results highlight the challenges in defining ‘globally optimal’ SAI strategies, even if such definitions are based on just one metric.","container-title":"Nature Food","DOI":"10.1038/s43016-023-00853-3","ISSN":"2662-1355","issue":"10","journalAbbreviation":"Nat Food","language":"en","license":"2023 The Author(s), under exclusive licence to Springer Nature Limited","note":"number: 10\npublisher: Nature Publishing Group","page":"902-911","source":"www.nature.com","title":"Optimal climate intervention scenarios for crop production vary by nation","volume":"4","author":[{"family":"Clark","given":"Brendan"},{"family":"Xia","given":"Lili"},{"family":"Robock","given":"Alan"},{"family":"Tilmes","given":"Simone"},{"family":"Richter","given":"Jadwiga H."},{"family":"Visioni","given":"Daniele"},{"family":"Rabin","given":"Sam S."}],"issued":{"date-parts":[["2023",10]]}}},{"id":3022,"uris":["http://zotero.org/users/3110659/items/PPWBA3W9"],"itemData":{"id":3022,"type":"article-journal","abstract":"Solar geoengineering (SG) has the potential to restore average surface temperatures by increasing planetary albedo1–4, but this could reduce precipitation5–7. Thus, although SG might reduce globally aggregated risks, it may increase climate risks for some regions8–10. Here, using the high-resolution forecast-oriented low ocean resolution (HiFLOR) model—which resolves tropical cyclones and has an improved representation of present-day precipitation extremes11,12—alongside 12 models from the Geoengineering Model Intercomparison Project (GeoMIP), we analyse the fraction of locations that see their local climate change exacerbated or moderated by SG. Rather than restoring temperatures, we assume that SG is applied to halve the warming produced by doubling CO2 (half-SG). In HiFLOR, half-SG offsets most of the CO2-induced increase of simulated tropical cyclone intensity. Moreover, neither temperature, water availability, extreme temperature nor extreme precipitation are exacerbated under half-SG when averaged over any Intergovernmental Panel on Climate Change (IPCC) Special Report on Extremes (SREX) region. Indeed, for both extreme precipitation and water availability, less than 0.4% of the ice-free land surface sees exacerbation. Thus, while concerns about the inequality of solar geoengineering impacts are appropriate, the quantitative extent of inequality may be overstated13.","container-title":"Nature Climate Change","DOI":"10.1038/s41558-019-0398-8","ISSN":"1758-6798","issue":"4","journalAbbreviation":"Nat. Clim. Chang.","language":"en","license":"2019 The Author(s), under exclusive licence to Springer Nature Limited","note":"number: 4\npublisher: Nature Publishing Group","page":"295-299","source":"www.nature.com","title":"Halving warming with idealized solar geoengineering moderates key climate hazards","volume":"9","author":[{"family":"Irvine","given":"Peter"},{"family":"Emanuel","given":"Kerry"},{"family":"He","given":"Jie"},{"family":"Horowitz","given":"Larry W."},{"family":"Vecchi","given":"Gabriel"},{"family":"Keith","given":"David"}],"issued":{"date-parts":[["2019",4]]}}},{"id":3024,"uris":["http://zotero.org/users/3110659/items/Y5AU6I9E"],"itemData":{"id":3024,"type":"article-journal","abstract":"Stratospheric aerosol geoengineering is a proposal to artificially thicken the layer of reflective aerosols in the stratosphere and it is hoped that this may offer a means of reducing average climate changes. However, previous work has shown that it could not perfectly offset the effects of climate change and there is a concern that it may worsen climate impacts in some regions. One approach to evaluating this concern is to test whether the absolute magnitude of climate change at each location is significantly increased (exacerbated) or decreased (moderated) relative to the period just preceding deployment. In prior work it was found that halving warming with an idealized solar constant reduction would substantially reduce climate change overall, exacerbating change in a small fraction of places. Here, we test if this result holds for a more realistic representation of stratospheric aerosol geoengineering using the data from the geoengineering large ensemble (GLENS). Using a linearized scaling of GLENS we find that halving warming with stratospheric aerosols moderates important climate hazards in almost all regions. Only 1.3% of land area sees exacerbation of change in water availability, and regions that are exacerbated see wetting not drying contradicting the common assumption that solar geoengineering leads to drying in general. These results suggest that halving warming with stratospheric aerosol geoengineering could potentially reduce key climate hazards substantially while avoiding some problems associated with fully offsetting warming.","container-title":"Environmental Research Letters","DOI":"10.1088/1748-9326/ab76de","ISSN":"1748-9326","issue":"4","journalAbbreviation":"Environ. Res. Lett.","language":"en","note":"publisher: IOP Publishing","page":"044011","source":"Institute of Physics","title":"Halving warming with stratospheric aerosol geoengineering moderates policy-relevant climate hazards","volume":"15","author":[{"family":"Irvine","given":"Peter J."},{"family":"Keith","given":"David W."}],"issued":{"date-parts":[["2020",3]]}}},{"id":2611,"uris":["http://zotero.org/users/3110659/items/W3TZ48FL"],"itemData":{"id":2611,"type":"article-journal","abstract":"Climate change poses grave risks to food security, and mitigation and adaptation actions have so far been insufficient to lessen the risk of climate-induced violations of the right to food. Could safeguarding the right to food, then, justify some forms of geoengineering? This article examines geoengineering through the analytical lens of the right to food. We look at the components of food security and consider how the acceptability of geoengineering relates to the right to food via its impacts on these components. Our examination shows that results vary greatly between different forms of geoengineering: while some forms of geoengineering fail to respect the right to food, certain other forms may even become obligatory to protect the right to food. It appears that there is no support for aerosol-based solar radiation management, whereas some carbon dioxide removal methods can help protect or promote the right to food. The ethical challenges related to carbon dioxide removal methods are, we note, similar to those that will also be faced in the course of climate change mitigation.","container-title":"Journal of Agricultural and Environmental Ethics","DOI":"10.1007/s10806-023-09898-7","ISSN":"1573-322X","issue":"1","journalAbbreviation":"J Agric Environ Ethics","language":"en","page":"5","source":"Springer Link","title":"Right to Food and Geoengineering","volume":"36","author":[{"family":"Kortetmäki","given":"Teea"},{"family":"Oksanen","given":"Markku"}],"issued":{"date-parts":[["2023",2,10]]}}}],"schema":"https://github.com/citation-style-language/schema/raw/master/csl-citation.json"} </w:instrText>
      </w:r>
      <w:r w:rsidRPr="008E4EFB">
        <w:rPr>
          <w:rFonts w:ascii="Times New Roman" w:eastAsia="Times New Roman" w:hAnsi="Times New Roman" w:cs="Times New Roman"/>
          <w:kern w:val="2"/>
          <w:sz w:val="24"/>
          <w:szCs w:val="24"/>
        </w:rPr>
        <w:fldChar w:fldCharType="separate"/>
      </w:r>
      <w:r w:rsidR="00B864BC" w:rsidRPr="008E4EFB">
        <w:rPr>
          <w:rFonts w:ascii="Times New Roman" w:hAnsi="Times New Roman" w:cs="Times New Roman"/>
          <w:sz w:val="24"/>
          <w:szCs w:val="24"/>
        </w:rPr>
        <w:t>(Brendan Clark et al., 2023; P. Irvine et al., 2019; P. J. Irvine &amp; Keith, 2020; Kortetmäki &amp; Oksanen, 2023)</w:t>
      </w:r>
      <w:r w:rsidRPr="008E4EFB">
        <w:rPr>
          <w:rFonts w:ascii="Times New Roman" w:eastAsia="Times New Roman" w:hAnsi="Times New Roman" w:cs="Times New Roman"/>
          <w:kern w:val="2"/>
          <w:sz w:val="24"/>
          <w:szCs w:val="24"/>
        </w:rPr>
        <w:fldChar w:fldCharType="end"/>
      </w:r>
      <w:r w:rsidRPr="008E4EFB">
        <w:rPr>
          <w:rFonts w:ascii="Times New Roman" w:eastAsia="Times New Roman" w:hAnsi="Times New Roman" w:cs="Times New Roman"/>
          <w:kern w:val="2"/>
          <w:sz w:val="24"/>
          <w:szCs w:val="24"/>
        </w:rPr>
        <w:t xml:space="preserve">. SAI is one of the only geoengineering options with the technological availability to feasibly deploy globally within a politically relevant timeframe </w:t>
      </w:r>
      <w:r w:rsidRPr="008E4EFB">
        <w:rPr>
          <w:rFonts w:ascii="Times New Roman" w:eastAsia="Times New Roman" w:hAnsi="Times New Roman" w:cs="Times New Roman"/>
          <w:kern w:val="2"/>
          <w:sz w:val="24"/>
          <w:szCs w:val="24"/>
        </w:rPr>
        <w:fldChar w:fldCharType="begin"/>
      </w:r>
      <w:r w:rsidR="00652E13" w:rsidRPr="008E4EFB">
        <w:rPr>
          <w:rFonts w:ascii="Times New Roman" w:eastAsia="Times New Roman" w:hAnsi="Times New Roman" w:cs="Times New Roman"/>
          <w:kern w:val="2"/>
          <w:sz w:val="24"/>
          <w:szCs w:val="24"/>
        </w:rPr>
        <w:instrText xml:space="preserve"> ADDIN ZOTERO_ITEM CSL_CITATION {"citationID":"fNjPxLXD","properties":{"formattedCitation":"(Britta Clark, 2023)","plainCitation":"(Britta Clark, 2023)","noteIndex":0},"citationItems":[{"id":2628,"uris":["http://zotero.org/users/3110659/items/6VAYQAA5"],"itemData":{"id":2628,"type":"article-journal","abstract":"Should high-income countries engage in solar geoengineering research and possible deployment? On the assumption that the speed of the energy transition will be insufficient to abate catastrophic climate impacts, research into solar geoengineering begins to look like a technically and socially feasible route to mitigate such impacts. But on the assumption that a rapid and relatively just energy transition is still within the realm of political possibility, research into solar geoengineering looks more like an ideological tool designed to divert time and resources from less risky climate solutions. At the heart of debates over solar geoengineering, then, is disagreement over what political actors can be expected to do in the future. In this article, I argue that both objectors to and proponents of solar geoengineering research often make background assumptions regarding expected future actions that are either (a) inaccurate or (b) inconsistent. I propose an account of expected future actions that avoids these problems and sketch what the debate over solar geoengineering looks like with these assumptions in place.","container-title":"Journal of Applied Philosophy","DOI":"10.1111/japp.12643","ISSN":"1468-5930","issue":"3","language":"en","license":"© 2023 Society for Applied Philosophy","note":"_eprint: https://onlinelibrary.wiley.com/doi/pdf/10.1111/japp.12643","page":"505-520","source":"Wiley Online Library","title":"How to Argue about Solar Geoengineering","volume":"40","author":[{"family":"Clark","given":"Britta"}],"issued":{"date-parts":[["2023"]]}}}],"schema":"https://github.com/citation-style-language/schema/raw/master/csl-citation.json"} </w:instrText>
      </w:r>
      <w:r w:rsidRPr="008E4EFB">
        <w:rPr>
          <w:rFonts w:ascii="Times New Roman" w:eastAsia="Times New Roman" w:hAnsi="Times New Roman" w:cs="Times New Roman"/>
          <w:kern w:val="2"/>
          <w:sz w:val="24"/>
          <w:szCs w:val="24"/>
        </w:rPr>
        <w:fldChar w:fldCharType="separate"/>
      </w:r>
      <w:r w:rsidR="00B864BC" w:rsidRPr="008E4EFB">
        <w:rPr>
          <w:rFonts w:ascii="Times New Roman" w:hAnsi="Times New Roman" w:cs="Times New Roman"/>
          <w:sz w:val="24"/>
          <w:szCs w:val="24"/>
        </w:rPr>
        <w:t>(Britta Clark, 2023)</w:t>
      </w:r>
      <w:r w:rsidRPr="008E4EFB">
        <w:rPr>
          <w:rFonts w:ascii="Times New Roman" w:eastAsia="Times New Roman" w:hAnsi="Times New Roman" w:cs="Times New Roman"/>
          <w:kern w:val="2"/>
          <w:sz w:val="24"/>
          <w:szCs w:val="24"/>
        </w:rPr>
        <w:fldChar w:fldCharType="end"/>
      </w:r>
      <w:r w:rsidRPr="008E4EFB">
        <w:rPr>
          <w:rFonts w:ascii="Times New Roman" w:eastAsia="Times New Roman" w:hAnsi="Times New Roman" w:cs="Times New Roman"/>
          <w:kern w:val="2"/>
          <w:sz w:val="24"/>
          <w:szCs w:val="24"/>
        </w:rPr>
        <w:t xml:space="preserve">. </w:t>
      </w:r>
      <w:r w:rsidRPr="008E4EFB">
        <w:rPr>
          <w:rFonts w:ascii="Times New Roman" w:hAnsi="Times New Roman" w:cs="Times New Roman"/>
          <w:sz w:val="24"/>
          <w:szCs w:val="24"/>
        </w:rPr>
        <w:t xml:space="preserve">SAI implementation costs are also relatively inexpensive compared to the cost of mitigating temperature warming to less than 1.5 degrees Celsius or the costs of unmitigated climate change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{"citationID":"JmH6PBhM","properties":{"formattedCitation":"(W. Smith &amp; Wagner, 2018)","plainCitation":"(W. Smith &amp; Wagner, 2018)","noteIndex":0},"citationItems":[{"id":2309,"uris":["http://zotero.org/users/3110659/items/HM485U5S"],"itemData":{"id":2309,"type":"article-journal","abstract":"We review the capabilities and costs of various lofting methods intended to deliver sulfates into the lower stratosphere. We lay out a future solar geoengineering deployment scenario of halving the increase in anthropogenic radiative forcing beginning 15 years hence, by deploying material to altitudes as high as </w:instrText>
      </w:r>
      <w:r w:rsidR="00652E13" w:rsidRPr="008E4EFB">
        <w:rPr>
          <w:rFonts w:ascii="Cambria Math" w:hAnsi="Cambria Math" w:cs="Cambria Math"/>
          <w:sz w:val="24"/>
          <w:szCs w:val="24"/>
        </w:rPr>
        <w:instrText>∼</w:instrText>
      </w:r>
      <w:r w:rsidR="00652E13" w:rsidRPr="008E4EFB">
        <w:rPr>
          <w:rFonts w:ascii="Times New Roman" w:hAnsi="Times New Roman" w:cs="Times New Roman"/>
          <w:sz w:val="24"/>
          <w:szCs w:val="24"/>
        </w:rPr>
        <w:instrText xml:space="preserve">20 km. After surveying an exhaustive list of potential deployment techniques, we settle upon an aircraft-based delivery system. Unlike the one prior comprehensive study on the topic (McClellan et al 2012 Environ. Res. Lett. 7 034019), we conclude that no existing aircraft design—even with extensive modifications—can reasonably fulfill this mission. However, we also conclude that developing a new, purpose-built high-altitude tanker with substantial payload capabilities would neither be technologically difficult nor prohibitively expensive. We calculate early-year costs of </w:instrText>
      </w:r>
      <w:r w:rsidR="00652E13" w:rsidRPr="008E4EFB">
        <w:rPr>
          <w:rFonts w:ascii="Cambria Math" w:hAnsi="Cambria Math" w:cs="Cambria Math"/>
          <w:sz w:val="24"/>
          <w:szCs w:val="24"/>
        </w:rPr>
        <w:instrText>∼</w:instrText>
      </w:r>
      <w:r w:rsidR="00652E13" w:rsidRPr="008E4EFB">
        <w:rPr>
          <w:rFonts w:ascii="Times New Roman" w:hAnsi="Times New Roman" w:cs="Times New Roman"/>
          <w:sz w:val="24"/>
          <w:szCs w:val="24"/>
        </w:rPr>
        <w:instrText xml:space="preserve">$1500 ton−1 of material deployed, resulting in average costs of </w:instrText>
      </w:r>
      <w:r w:rsidR="00652E13" w:rsidRPr="008E4EFB">
        <w:rPr>
          <w:rFonts w:ascii="Cambria Math" w:hAnsi="Cambria Math" w:cs="Cambria Math"/>
          <w:sz w:val="24"/>
          <w:szCs w:val="24"/>
        </w:rPr>
        <w:instrText>∼</w:instrText>
      </w:r>
      <w:r w:rsidR="00652E13" w:rsidRPr="008E4EFB">
        <w:rPr>
          <w:rFonts w:ascii="Times New Roman" w:hAnsi="Times New Roman" w:cs="Times New Roman"/>
          <w:sz w:val="24"/>
          <w:szCs w:val="24"/>
        </w:rPr>
        <w:instrText xml:space="preserve">$2.25 billion yr−1 over the first 15 years of deployment. We further calculate the number of flights at </w:instrText>
      </w:r>
      <w:r w:rsidR="00652E13" w:rsidRPr="008E4EFB">
        <w:rPr>
          <w:rFonts w:ascii="Cambria Math" w:hAnsi="Cambria Math" w:cs="Cambria Math"/>
          <w:sz w:val="24"/>
          <w:szCs w:val="24"/>
        </w:rPr>
        <w:instrText>∼</w:instrText>
      </w:r>
      <w:r w:rsidR="00652E13" w:rsidRPr="008E4EFB">
        <w:rPr>
          <w:rFonts w:ascii="Times New Roman" w:hAnsi="Times New Roman" w:cs="Times New Roman"/>
          <w:sz w:val="24"/>
          <w:szCs w:val="24"/>
        </w:rPr>
        <w:instrText xml:space="preserve">4000 in year one, linearly increasing by </w:instrText>
      </w:r>
      <w:r w:rsidR="00652E13" w:rsidRPr="008E4EFB">
        <w:rPr>
          <w:rFonts w:ascii="Cambria Math" w:hAnsi="Cambria Math" w:cs="Cambria Math"/>
          <w:sz w:val="24"/>
          <w:szCs w:val="24"/>
        </w:rPr>
        <w:instrText>∼</w:instrText>
      </w:r>
      <w:r w:rsidR="00652E13" w:rsidRPr="008E4EFB">
        <w:rPr>
          <w:rFonts w:ascii="Times New Roman" w:hAnsi="Times New Roman" w:cs="Times New Roman"/>
          <w:sz w:val="24"/>
          <w:szCs w:val="24"/>
        </w:rPr>
        <w:instrText xml:space="preserve">4000 yr−1. We conclude by arguing that, while cheap, such an aircraft-based program would unlikely be a secret, given the need for thousands of flights annually by airliner-sized aircraft operating from an international array of bases.","container-title":"Environmental Research Letters","DOI":"10.1088/1748-9326/aae98d","ISSN":"1748-9326","issue":"12","journalAbbreviation":"Environ. Res. Lett.","language":"en","note":"publisher: IOP Publishing","page":"124001","source":"Institute of Physics","title":"Stratospheric aerosol injection tactics and costs in the first 15 years of deployment","volume":"13","author":[{"family":"Smith","given":"Wake"},{"family":"Wagner","given":"Gernot"}],"issued":{"date-parts":[["2018",11]]}}}],"schema":"https://github.com/citation-style-language/schema/raw/master/csl-citation.json"}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(W. Smith &amp; Wagner, 2018)</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Decreasing radiative forcing does not address the fundamental issue of the high concentration of greenhouse gases in the atmosphere, but it would allow more time for the world to reduce and stabilize emissions in the very near term. While it should not distract from the work of actually reducing emissions on a global scale or developing carbon removal technology, SAI remains a viable stopgap measure and ought to </w:t>
      </w:r>
      <w:r w:rsidRPr="008E4EFB">
        <w:rPr>
          <w:rFonts w:ascii="Times New Roman" w:hAnsi="Times New Roman" w:cs="Times New Roman"/>
          <w:sz w:val="24"/>
          <w:szCs w:val="24"/>
        </w:rPr>
        <w:lastRenderedPageBreak/>
        <w:t xml:space="preserve">be investigated thoroughly from a modeling perspective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{"citationID":"Hk8zgkBD","properties":{"formattedCitation":"(Long &amp; Shepherd, 2014; Y. Xu et al., 2020)","plainCitation":"(Long &amp; Shepherd, 2014; Y. Xu et al., 2020)","noteIndex":0},"citationItems":[{"id":2004,"uris":["http://zotero.org/users/3110659/items/YGN25XAX"],"itemData":{"id":2004,"type":"chapter","abstract":"Deployment of geoengineering technology should engender serious caution, but geoengineering research would engender a strategic effect on the climate change problem in general. First, the thought that scientists should research geongineering because the world might need it could help society develop an appreciation of the seriousness of the climate change problem. Second, conceptualizing geoengineering through research promotes conceptualizing a sorely needed technical strategy for climate change. Finally, geoengineering research will have a strategic benefit for climate science because the scientific issues that arise for geoengineering bring into focus the very issues that plague climate science in general.","collection-title":"Handbook of Global Environmental Pollution","container-title":"Global Environmental Change","event-place":"Dordrecht","ISBN":"978-94-007-5784-4","language":"en","note":"DOI: 10.1007/978-94-007-5784-4_24","page":"757-770","publisher":"Springer Netherlands","publisher-place":"Dordrecht","source":"Springer Link","title":"The Strategic Value of Geoengineering Research","URL":"https://doi.org/10.1007/978-94-007-5784-4_24","author":[{"family":"Long","given":"Jane C. S."},{"family":"Shepherd","given":"John G."}],"editor":[{"family":"Freedman","given":"Bill"}],"accessed":{"date-parts":[["2022",5,5]]},"issued":{"date-parts":[["2014"]]}}},{"id":2734,"uris":["http://zotero.org/users/3110659/items/Q2R5CPCI"],"itemData":{"id":2734,"type":"article-journal","abstract":"To mitigate the projected global warming in the 21st century, it is well-recognized that society needs to cut CO2 emissions and other short-lived warming agents aggressively. However, to stabilize the climate at a warming level closer to the present day, such as the “well below 2&amp;thinsp;</w:instrText>
      </w:r>
      <w:r w:rsidR="00652E13" w:rsidRPr="008E4EFB">
        <w:rPr>
          <w:rFonts w:ascii="Cambria Math" w:hAnsi="Cambria Math" w:cs="Cambria Math"/>
          <w:sz w:val="24"/>
          <w:szCs w:val="24"/>
        </w:rPr>
        <w:instrText>∘</w:instrText>
      </w:r>
      <w:r w:rsidR="00652E13" w:rsidRPr="008E4EFB">
        <w:rPr>
          <w:rFonts w:ascii="Times New Roman" w:hAnsi="Times New Roman" w:cs="Times New Roman"/>
          <w:sz w:val="24"/>
          <w:szCs w:val="24"/>
        </w:rPr>
        <w:instrText xml:space="preserve">C” aspiration in the Paris Agreement, a net-zero carbon emission by 2050 is still insufficient. The recent IPCC special report calls for a massive scheme to extract CO2 directly from the atmosphere, in addition to decarbonization, to reach negative net emissions at the mid-century mark. Another ambitious proposal is solar-radiation-based geoengineering schemes, including injecting sulfur gas into the stratosphere. Despite being in public debate for years, these two leading geoengineering schemes have not been directly compared under a consistent analytical framework using global climate models.\n\n Here we present the first explicit analysis of the hydroclimate impacts of these two geoengineering approaches using two recently available large-ensemble (&amp;gt;10 members) model experiments conducted by a family of state-of-the-art Earth system models. The CO2-based mitigation simulation is designed to include both emission cuts and carbon capture. The solar-radiation-based mitigation simulation is designed to inject sulfur gas strategically at specified altitudes and latitudes and run a feedback control algorithm to avoid common problems previously identified such as the overcooling of the tropics and large-scale precipitation shifts.\n\n Our analysis focuses on the projected aridity conditions over the Americas in the 21st century in detailed terms of the potential mitigation benefits, the temporal evolution, the spatial distribution (within North and South America), the relative efficiency, and the physical mechanisms. We show that sulfur injection, in contrast to previous notions of leading to excessive terrestrial drying (in terms of precipitation reduction) while offsetting the global mean greenhouse gas (GHG) warming, will instead mitigate the projected drying tendency under RCP8.5. The surface energy balance change induced by sulfur injection, in addition to the well-known response in temperature and precipitation, plays a crucial role in determining the overall terrestrial hydroclimate response. However, when normalized by the same amount of avoided global warming in these simulations, sulfur injection is less effective in curbing the worsening trend of regional land aridity in the Americas under RCP8.5 when compared with carbon capture. Temporally, the climate benefit of sulfur injection will emerge more quickly, even when both schemes are hypothetically started in the same year of 2020. Spatially, both schemes are effective in curbing the drying trend over North America. However, for South America, the sulfur injection scheme is particularly more effective for the sub-Amazon region (southern Brazil), while the carbon capture scheme is more effective for the Amazon region. We conclude that despite the apparent limitations (such as an inability to address ocean acidification) and potential side effects (such as changes to the ozone layer), innovative means of sulfur injection should continue to be explored as a potential low-cost option in the climate solution toolbox, complementing other mitigation approaches such as emission cuts and carbon capture (Cao et al., 2017). Our results demonstrate the urgent need for multi-model comparison studies and detailed regional assessments in other parts of the world.","container-title":"Earth System Dynamics","DOI":"10.5194/esd-11-673-2020","ISSN":"2190-4979","issue":"3","language":"English","note":"publisher: Copernicus GmbH","page":"673-695","source":"Copernicus Online Journals","title":"Climate engineering to mitigate the projected 21st-century terrestrial drying of the Americas: a direct comparison of carbon capture and sulfur injection","title-short":"Climate engineering to mitigate the projected 21st-century terrestrial drying of the Americas","volume":"11","author":[{"family":"Xu","given":"Yangyang"},{"family":"Lin","given":"Lei"},{"family":"Tilmes","given":"Simone"},{"family":"Dagon","given":"Katherine"},{"family":"Xia","given":"Lili"},{"family":"Diao","given":"Chenrui"},{"family":"Cheng","given":"Wei"},{"family":"Wang","given":"Zhili"},{"family":"Simpson","given":"Isla"},{"family":"Burnell","given":"Lorna"}],"issued":{"date-parts":[["2020",7,31]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(Long &amp; Shepherd, 2014; Y. Xu et al., 2020)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p>
    <w:p w14:paraId="025986A7" w14:textId="32A24C1F" w:rsidR="00F15FD6" w:rsidRPr="008E4EFB" w:rsidRDefault="00F15FD6"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There is a growing body of scientific research on global temperature and  precipitation patterns that may be altered by SAI </w:t>
      </w:r>
      <w:r w:rsidRPr="008E4EFB">
        <w:rPr>
          <w:rFonts w:ascii="Times New Roman" w:hAnsi="Times New Roman" w:cs="Times New Roman"/>
          <w:sz w:val="24"/>
          <w:szCs w:val="24"/>
        </w:rPr>
        <w:fldChar w:fldCharType="begin"/>
      </w:r>
      <w:r w:rsidR="00B864BC" w:rsidRPr="008E4EFB">
        <w:rPr>
          <w:rFonts w:ascii="Times New Roman" w:hAnsi="Times New Roman" w:cs="Times New Roman"/>
          <w:sz w:val="24"/>
          <w:szCs w:val="24"/>
        </w:rPr>
        <w:instrText xml:space="preserve"> ADDIN ZOTERO_ITEM CSL_CITATION {"citationID":"A5kcP9wV","properties":{"formattedCitation":"(P. Irvine et al., 2019; P. J. Irvine &amp; Keith, 2020; Walker Lee et al., 2020)","plainCitation":"(P. Irvine et al., 2019; P. J. Irvine &amp; Keith, 2020; Walker Lee et al., 2020)","noteIndex":0},"citationItems":[{"id":3022,"uris":["http://zotero.org/users/3110659/items/PPWBA3W9"],"itemData":{"id":3022,"type":"article-journal","abstract":"Solar geoengineering (SG) has the potential to restore average surface temperatures by increasing planetary albedo1–4, but this could reduce precipitation5–7. Thus, although SG might reduce globally aggregated risks, it may increase climate risks for some regions8–10. Here, using the high-resolution forecast-oriented low ocean resolution (HiFLOR) model—which resolves tropical cyclones and has an improved representation of present-day precipitation extremes11,12—alongside 12 models from the Geoengineering Model Intercomparison Project (GeoMIP), we analyse the fraction of locations that see their local climate change exacerbated or moderated by SG. Rather than restoring temperatures, we assume that SG is applied to halve the warming produced by doubling CO2 (half-SG). In HiFLOR, half-SG offsets most of the CO2-induced increase of simulated tropical cyclone intensity. Moreover, neither temperature, water availability, extreme temperature nor extreme precipitation are exacerbated under half-SG when averaged over any Intergovernmental Panel on Climate Change (IPCC) Special Report on Extremes (SREX) region. Indeed, for both extreme precipitation and water availability, less than 0.4% of the ice-free land surface sees exacerbation. Thus, while concerns about the inequality of solar geoengineering impacts are appropriate, the quantitative extent of inequality may be overstated13.","container-title":"Nature Climate Change","DOI":"10.1038/s41558-019-0398-8","ISSN":"1758-6798","issue":"4","journalAbbreviation":"Nat. Clim. Chang.","language":"en","license":"2019 The Author(s), under exclusive licence to Springer Nature Limited","note":"number: 4\npublisher: Nature Publishing Group","page":"295-299","source":"www.nature.com","title":"Halving warming with idealized solar geoengineering moderates key climate hazards","volume":"9","author":[{"family":"Irvine","given":"Peter"},{"family":"Emanuel","given":"Kerry"},{"family":"He","given":"Jie"},{"family":"Horowitz","given":"Larry W."},{"family":"Vecchi","given":"Gabriel"},{"family":"Keith","given":"David"}],"issued":{"date-parts":[["2019",4]]}}},{"id":3024,"uris":["http://zotero.org/users/3110659/items/Y5AU6I9E"],"itemData":{"id":3024,"type":"article-journal","abstract":"Stratospheric aerosol geoengineering is a proposal to artificially thicken the layer of reflective aerosols in the stratosphere and it is hoped that this may offer a means of reducing average climate changes. However, previous work has shown that it could not perfectly offset the effects of climate change and there is a concern that it may worsen climate impacts in some regions. One approach to evaluating this concern is to test whether the absolute magnitude of climate change at each location is significantly increased (exacerbated) or decreased (moderated) relative to the period just preceding deployment. In prior work it was found that halving warming with an idealized solar constant reduction would substantially reduce climate change overall, exacerbating change in a small fraction of places. Here, we test if this result holds for a more realistic representation of stratospheric aerosol geoengineering using the data from the geoengineering large ensemble (GLENS). Using a linearized scaling of GLENS we find that halving warming with stratospheric aerosols moderates important climate hazards in almost all regions. Only 1.3% of land area sees exacerbation of change in water availability, and regions that are exacerbated see wetting not drying contradicting the common assumption that solar geoengineering leads to drying in general. These results suggest that halving warming with stratospheric aerosol geoengineering could potentially reduce key climate hazards substantially while avoiding some problems associated with fully offsetting warming.","container-title":"Environmental Research Letters","DOI":"10.1088/1748-9326/ab76de","ISSN":"1748-9326","issue":"4","journalAbbreviation":"Environ. Res. Lett.","language":"en","note":"publisher: IOP Publishing","page":"044011","source":"Institute of Physics","title":"Halving warming with stratospheric aerosol geoengineering moderates policy-relevant climate hazards","volume":"15","author":[{"family":"Irvine","given":"Peter J."},{"family":"Keith","given":"David W."}],"issued":{"date-parts":[["2020",3]]}}},{"id":3023,"uris":["http://zotero.org/users/3110659/items/39KR5BSY"],"itemData":{"id":3023,"type":"report","abstract":"Previous climate modeling studies demonstrate the ability of feedback-regulated, stratospheric aerosol geoengineering with injection at multiple independent latitudes to meet multiple simultaneous temperature-based objectives in the presence of anthropogenic climate change. However, the impacts of climate change are not limited to rising temperatures, but also include changes in precipitation, loss of sea ice, and many more; knowing how a given geoengineering strategy will affect each 5 of these climate metrics is vital to understanding the limits and trade-offs of geoengineering. In this study, we ﬁrst introduce a new method of visualizing the design space in which desired climate outcomes are represented by 2-D surfaces on a 3-D graph. Surface orientations represent how different injection choices inﬂuence that objective, and intersecting surfaces represent objectives which can be met simultaneously. Using this representation as a guide, we present simulations of two new strategies for feedback-regulated aerosol injection, using the Community Earth System Model with the Whole Atmosphere Community 10 Climate Model CESM1(WACCM). The ﬁrst simultaneously manages global mean temperature, tropical precipitation centroid, and Arctic sea ice extent, while the second manages global mean precipitation, tropical precipitation centroid, and Arctic sea ice extent. Both simulations control the tropical precipitation centroid to within 5% of the goal, and the latter controls global mean precipitation to within 1% of the goal. Additionally, the ﬁrst simulation over-compensates sea ice, while the second under-compensates sea ice; all of these results are consistent with the expectations of our design space model. In addition 15 to showing that precipitation-based climate metrics can be managed using feedback alongside other goals, our simulations validate the utility of our design space visualization in predicting our climate model behavior under a given geoengineering strategy, and together they help illustrate the fundamental limits and trade-offs of stratospheric aerosol geoengineering.","genre":"preprint","language":"en","note":"DOI: 10.5194/esd-2020-58","publisher":"Management of the Earth system: engineering responses to climate change","source":"DOI.org (Crossref)","title":"Expanding the Design Space of Stratospheric Aerosol Geoengineering to Include Precipitation-Based Objectives and Explore Trade-offs","URL":"https://esd.copernicus.org/preprints/esd-2020-58/esd-2020-58.pdf","author":[{"family":"Lee","given":"Walker"},{"family":"MacMartin","given":"Douglas"},{"family":"Visioni","given":"Daniele"},{"family":"Kravitz","given":"Ben"}],"accessed":{"date-parts":[["2024",1,19]]},"issued":{"date-parts":[["2020",8,11]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(P. Irvine et al., 2019; P. J. Irvine &amp; Keith, 2020; Walker Lee et al., 2020)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similar to the way volcanic aerosols alter radiation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{"citationID":"ZO0TKwLZ","properties":{"formattedCitation":"(Gu et al., 2003)","plainCitation":"(Gu et al., 2003)","noteIndex":0},"citationItems":[{"id":2006,"uris":["http://zotero.org/users/3110659/items/9BH532YI"],"itemData":{"id":2006,"type":"article-journal","container-title":"Science","DOI":"10.1126/science.1078366","issue":"5615","note":"publisher: American Association for the Advancement of Science","page":"2035-2038","source":"science.org (Atypon)","title":"Response of a Deciduous Forest to the Mount Pinatubo Eruption: Enhanced Photosynthesis","title-short":"Response of a Deciduous Forest to the Mount Pinatubo Eruption","volume":"299","author":[{"family":"Gu","given":"Lianhong"},{"family":"Baldocchi","given":"Dennis D."},{"family":"Wofsy","given":"Steve C."},{"family":"Munger","given":"J. William"},{"family":"Michalsky","given":"Joseph J."},{"family":"Urbanski","given":"Shawn P."},{"family":"Boden","given":"Thomas A."}],"issued":{"date-parts":[["2003",3,28]]}}}],"schema":"https://github.com/citation-style-language/schema/raw/master/csl-citation.json"}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(Gu et al., 2003)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but other environmental variables are less well constrained. Sulfate deposition is of particular interest because sulfur dioxide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injected into the stratosphere will quickly produce sulfate aerosols. Atmospheric sulfur deposition is an important part of many biogeochemical cycles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{"citationID":"kBzZVuhq","properties":{"formattedCitation":"(Pye et al., 2020; Tjiputra et al., 2016)","plainCitation":"(Pye et al., 2020; Tjiputra et al., 2016)","noteIndex":0},"citationItems":[{"id":2322,"uris":["http://zotero.org/users/3110659/items/FITTFJAU"],"itemData":{"id":2322,"type":"article-journal","abstract":"Acidity, deﬁned as pH, is a central component of aqueous chemistry. In the atmosphere, the acidity of condensed phases (aerosol particles, cloud water, and fog droplets) governs the phase partitioning of semivolatile gases such as HNO3, NH3, HCl, and organic acids and bases as well as chemical reaction rates. It has implications for the atmospheric lifetime of pollutants, deposition, and human health. Despite its fundamental role in atmospheric processes, only recently has this ﬁeld seen a growth in the number of studies on particle acidity. Even with this growth, many ﬁne-particle pH estimates must be based on thermodynamic model calculations since no operational techniques exist for direct measurements. Current information indicates acidic ﬁne particles are ubiquitous, but observationally constrained pH estimates are limited in spatial and temporal coverage. Clouds and fogs are also generally acidic, but to a lesser degree than particles, and have a range of pH that is quite sensitive to anthropogenic emissions of sulfur and nitrogen oxides, as well as ambient ammonia. Historical measurements indicate that cloud and fog droplet pH has changed in recent decades in response to controls on anthropogenic emissions, while the limited trend data for aerosol particles indicate acidity may be relatively constant due to the semivolatile nature of the key acids and bases and buffering in particles. This paper reviews and synthesizes the current state of knowledge on the acidity of atmospheric condensed phases, speciﬁcally particles and cloud droplets. It includes recommendations for estimating acidity and pH, standard nomenclature, a synthesis of current pH estimates based on observations, and new model calculations on the local and global scale.","container-title":"Atmospheric Chemistry and Physics","DOI":"10.5194/acp-20-4809-2020","ISSN":"1680-7324","issue":"8","journalAbbreviation":"Atmos. Chem. Phys.","language":"en","page":"4809-4888","source":"DOI.org (Crossref)","title":"The acidity of atmospheric particles and clouds","volume":"20","author":[{"family":"Pye","given":"Havala O. T."},{"family":"Nenes","given":"Athanasios"},{"family":"Alexander","given":"Becky"},{"family":"Ault","given":"Andrew P."},{"family":"Barth","given":"Mary C."},{"family":"Clegg","given":"Simon L."},{"family":"Collett Jr.","given":"Jeffrey L."},{"family":"Fahey","given":"Kathleen M."},{"family":"Hennigan","given":"Christopher J."},{"family":"Herrmann","given":"Hartmut"},{"family":"Kanakidou","given":"Maria"},{"family":"Kelly","given":"James T."},{"family":"Ku","given":"I-Ting"},{"family":"McNeill","given":"V. Faye"},{"family":"Riemer","given":"Nicole"},{"family":"Schaefer","given":"Thomas"},{"family":"Shi","given":"Guoliang"},{"family":"Tilgner","given":"Andreas"},{"family":"Walker","given":"John T."},{"family":"Wang","given":"Tao"},{"family":"Weber","given":"Rodney"},{"family":"Xing","given":"Jia"},{"family":"Zaveri","given":"Rahul A."},{"family":"Zuend","given":"Andreas"}],"issued":{"date-parts":[["2020",4,24]]}}},{"id":2333,"uris":["http://zotero.org/users/3110659/items/AIDNV5KU"],"itemData":{"id":2333,"type":"article-journal","abstract":"Using an Earth system model, we simulate stratospheric aerosol injection (SAI) on top of the Representative Concentration Pathways 8.5 future scenario. Our idealized method prescribes aerosol concentration, linearly increasing from 2020 to 2100, and thereafter remaining constant until 2200. In the aggressive scenario, the model projects a cooling trend toward 2100 despite warming that persists in the high latitudes. Following SAI termination in 2100, a rapid global warming of 0.35 K yr−1 is simulated in the subsequent 10 years, and the global mean temperature returns to levels close to the reference state, though roughly 0.5 K cooler. In contrast to earlier findings, we show a weak response in the terrestrial carbon sink during SAI implementation in the 21st century, which we attribute to nitrogen limitation. The SAI increases the land carbon uptake in the temperate forest-, grassland-, and shrub-dominated regions. The resultant lower temperatures lead to a reduction in the heterotrophic respiration rate and increase soil carbon retention. Changes in precipitation patterns are key drivers for variability in vegetation carbon. Upon SAI termination, the level of vegetation carbon storage returns to the reference case, whereas the soil carbon remains high. The ocean absorbs nearly 10% more carbon in the geoengineered simulation than in the reference simulation, leading to a </w:instrText>
      </w:r>
      <w:r w:rsidRPr="008E4EFB">
        <w:rPr>
          <w:rFonts w:ascii="Cambria Math" w:hAnsi="Cambria Math" w:cs="Cambria Math"/>
          <w:sz w:val="24"/>
          <w:szCs w:val="24"/>
        </w:rPr>
        <w:instrText>∼</w:instrText>
      </w:r>
      <w:r w:rsidRPr="008E4EFB">
        <w:rPr>
          <w:rFonts w:ascii="Times New Roman" w:hAnsi="Times New Roman" w:cs="Times New Roman"/>
          <w:sz w:val="24"/>
          <w:szCs w:val="24"/>
        </w:rPr>
        <w:instrText xml:space="preserve">15 ppm lower atmospheric CO2 concentration in 2100. The largest enhancement in uptake occurs in the North Atlantic. In both hemispheres' polar regions, SAI delays the sea ice melting and, consequently, export production remains low. In the deep water of North Atlantic, SAI-induced circulation changes accelerate the ocean acidification rate and broaden the affected area.","container-title":"Journal of Geophysical Research: Biogeosciences","DOI":"10.1002/2015JG003045","ISSN":"2169-8961","issue":"1","language":"en","note":"_eprint: https://onlinelibrary.wiley.com/doi/pdf/10.1002/2015JG003045","page":"2-27","source":"Wiley Online Library","title":"Impact of idealized future stratospheric aerosol injection on the large-scale ocean and land carbon cycles","volume":"121","author":[{"family":"Tjiputra","given":"J. F."},{"family":"Grini","given":"A."},{"family":"Lee","given":"H."}],"issued":{"date-parts":[["2016"]]}}}],"schema":"https://github.com/citation-style-language/schema/raw/master/csl-citation.json"}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(Pye et al., 2020; Tjiputra et al., 2016)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However, when exceeding critical loads, sulfur can have harmful impacts on both human and ecosystem health. SAI takes place in the stratosphere, not the troposphere, but there are interactions between the two and the aerosol particles will settle to the surface within a few years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{"citationID":"Bv7SPiph","properties":{"formattedCitation":"(Visioni et al., 2020)","plainCitation":"(Visioni et al., 2020)","noteIndex":0},"citationItems":[{"id":2318,"uris":["http://zotero.org/users/3110659/items/XIKL2LEG"],"itemData":{"id":2318,"type":"article-journal","abstract":"The problem of reducing the impacts of rising anthropogenic greenhouse gas on warming temperatures has led to the proposal of using stratospheric aerosols to reflect some of the incoming solar radiation back to space. The deliberate injection of sulfur into the stratosphere to form stratospheric sulfate aerosols, emulating volcanoes, will result in sulfate deposition to the surface. We consider here an extreme sulfate geoengineering scenario necessary to maintain temperatures at 2020 levels while greenhouse gas emissions continue to grow unabated. We show that the amount of stratospheric sulfate needed could be globally balanced by the predicted decrease in tropospheric anthropogenic SO2 emissions, but the spatial distribution would move from industrialized regions to pristine areas. We show how these changes would affect ecosystems differently depending on present day observations of soil pH, which we use to infer the potential for acid-induced aluminum toxicity across the planet.","container-title":"Environmental Research Letters","DOI":"10.1088/1748-9326/ab94eb","ISSN":"1748-9326","issue":"9","journalAbbreviation":"Environ. Res. Lett.","language":"en","note":"publisher: IOP Publishing","page":"094063","source":"Institute of Physics","title":"What goes up must come down: impacts of deposition in a sulfate geoengineering scenario","title-short":"What goes up must come down","volume":"15","author":[{"family":"Visioni","given":"Daniele"},{"family":"Slessarev","given":"Eric"},{"family":"MacMartin","given":"Douglas G."},{"family":"Mahowald","given":"Natalie M."},{"family":"Goodale","given":"Christine L."},{"family":"Xia","given":"Lili"}],"issued":{"date-parts":[["2020",8]]}}}],"schema":"https://github.com/citation-style-language/schema/raw/master/csl-citation.json"}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(Visioni et al., 2020)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p>
    <w:p w14:paraId="3F8F58C9" w14:textId="2152899C" w:rsidR="00F15FD6" w:rsidRPr="008E4EFB" w:rsidRDefault="00F15FD6"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One study comparing GEOS-Chem and ULAQ-CCM found that sulfur deposition will increase when sulfate geoengineering is deployed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{"citationID":"H3LJfBRU","properties":{"formattedCitation":"(Visioni et al., 2018)","plainCitation":"(Visioni et al., 2018)","noteIndex":0},"citationItems":[{"id":2043,"uris":["http://zotero.org/users/3110659/items/6ZQ3RFST"],"itemData":{"id":2043,"type":"article-journal","abstract":"Abstract. Sustained injection of sulfur dioxide (SO2) in the tropical lower stratosphere has been proposed as a climate engineering technique for the coming decades. Among several possible environmental side effects, the increase in sulfur deposition deserves additional investigation. In this study we present results from a composition–climate coupled model (University of L'Aquila Composition-Chemistry Model, ULAQ-CCM) and a chemistry-transport model (Goddard Earth Observing System Chemistry-Transport Model, GEOS-Chem), assuming a sustained lower-stratospheric equatorial injection of 8 Tg SO2 yr−1. Total S deposition is found to globally increase by 5.2 % when sulfate geoengineering is deployed, with a clear interhemispheric asymmetry (+3.8 and +10.3 % in the Northern Hemisphere (NH) and the Southern Hemisphere (SH), due to +2.2 and +1.8 Tg S yr−1, respectively). The two models show good consistency, both globally and on a regional scale under background and geoengineering conditions, except for S-deposition changes over Africa and the Arctic. The consistency exists with regard to time-averaged values but also with regard to monthly and interannual deposition changes. The latter is driven essentially by the variability in stratospheric large-scale transport associated with the quasi-biennial oscillation (QBO). Using an externally nudged QBO, it is shown how a zonal wind E shear favors aerosol confinement in the tropical pipe and a significant increase in their effective radius (+13 % with respect to W shear conditions). The net result is an increase in the downward cross-tropopause S flux over the tropics with dominant E shear conditions with respect to W shear periods (+0.61 Tg S yr−1, +42 %, mostly due to enhanced aerosol gravitational settling) and a decrease over the extratropics (−0.86 Tg S yr−1, −35 %, mostly due to decreased large-scale stratosphere–troposphere exchange of geoengineering sulfate). This translates into S-deposition changes that are significantly different under opposite QBO wind shears, with an E–W anomaly of +0.32 in the tropics and −0.67 Tg S yr−1 in the extratropics. Most online QBO schemes predict a significant change in the zonal wind periodicity, up to a blocked E shear condition for large enough injections, so that our results indicate an upper limit for the tropical increase in S deposition of 16.5 % relative to average conditions of unperturbed QBO periodicity and a correspondent extratropical S deposition decrease of 16 %.","container-title":"Atmospheric Chemistry and Physics","DOI":"10.5194/acp-18-2787-2018","ISSN":"1680-7324","issue":"4","journalAbbreviation":"Atmos. Chem. Phys.","language":"en","page":"2787-2808","source":"DOI.org (Crossref)","title":"Sulfur deposition changes under sulfate geoengineering conditions: quasi-biennial oscillation effects on the transport and lifetime of stratospheric aerosols","title-short":"Sulfur deposition changes under sulfate geoengineering conditions","volume":"18","author":[{"family":"Visioni","given":"Daniele"},{"family":"Pitari","given":"Giovanni"},{"family":"Tuccella","given":"Paolo"},{"family":"Curci","given":"Gabriele"}],"issued":{"date-parts":[["2018",2,27]]}}}],"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(Visioni et al., 2018)</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Currently, 125 Tg of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is emitted into the atmosphere annually from anthropogenic sources, although this is trending down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{"citationID":"r91ZEVBR","properties":{"formattedCitation":"(Aas et al., 2019)","plainCitation":"(Aas et al., 2019)","noteIndex":0},"citationItems":[{"id":2314,"uris":["http://zotero.org/users/3110659/items/2T2RGC5W"],"itemData":{"id":2314,"type":"article-journal","abstract":"The profound changes in global SO2 emissions over the last decades have affected atmospheric composition on a regional and global scale with large impact on air quality, atmospheric deposition and the radiative forcing of sulfate aerosols. Reproduction of historical atmospheric pollution levels based on global aerosol models and emission changes is crucial to prove that such models are able to predict future scenarios. Here, we analyze consistency of trends in observations of sulfur components in air and precipitation from major regional networks and estimates from six different global aerosol models from 1990 until 2015. There are large interregional differences in the sulfur trends consistently captured by the models and observations, especially for North America and Europe. Europe had the largest reductions in sulfur emissions in the first part of the period while the highest reduction came later in North America and East Asia. The uncertainties in both the emissions and the representativity of the observations are larger in Asia. However, emissions from East Asia clearly increased from 2000 to 2005 followed by a decrease, while in India a steady increase over the whole period has been observed and modelled. The agreement between a bottom-up approach, which uses emissions and process-based chemical transport models, with independent observations gives an improved confidence in the understanding of the atmospheric sulfur budget.","container-title":"Scientific Reports","DOI":"10.1038/s41598-018-37304-0","ISSN":"2045-2322","issue":"1","journalAbbreviation":"Sci Rep","language":"en","license":"2019 The Author(s)","note":"number: 1\npublisher: Nature Publishing Group","page":"953","source":"www.nature.com","title":"Global and regional trends of atmospheric sulfur","volume":"9","author":[{"family":"Aas","given":"Wenche"},{"family":"Mortier","given":"Augustin"},{"family":"Bowersox","given":"Van"},{"family":"Cherian","given":"Ribu"},{"family":"Faluvegi","given":"Greg"},{"family":"Fagerli","given":"Hilde"},{"family":"Hand","given":"Jenny"},{"family":"Klimont","given":"Zbigniew"},{"family":"Galy-Lacaux","given":"Corinne"},{"family":"Lehmann","given":"Christopher M. B."},{"family":"Myhre","given":"Cathrine Lund"},{"family":"Myhre","given":"Gunnar"},{"family":"Olivié","given":"Dirk"},{"family":"Sato","given":"Keiichi"},{"family":"Quaas","given":"Johannes"},{"family":"Rao","given":"P. S. P."},{"family":"Schulz","given":"Michael"},{"family":"Shindell","given":"Drew"},{"family":"Skeie","given":"Ragnhild B."},{"family":"Stein","given":"Ariel"},{"family":"Takemura","given":"Toshihiko"},{"family":"Tsyro","given":"Svetlana"},{"family":"Vet","given":"Robert"},{"family":"Xu","given":"Xiaobin"}],"issued":{"date-parts":[["2019",1,30]]}}}],"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(Aas et al., 2019)</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To maintain the global temperature at 1.5⁰ C above the historical average with SAI, about 29 Tg of additional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would be required annually by the end of the century, although this amount depends on injection strategy and deployment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{"citationID":"W9KG822I","properties":{"formattedCitation":"(Niemeier &amp; Timmreck, 2015; Visioni et al., 2021)","plainCitation":"(Niemeier &amp; Timmreck, 2015; Visioni et al., 2021)","noteIndex":0},"citationItems":[{"id":2326,"uris":["http://zotero.org/users/3110659/items/H8RZAGBF"],"itemData":{"id":2326,"type":"article-journal","abstract":"&lt;p&gt;&lt;strong class=\"journal-contentHeaderColor\"&gt;Abstract.&lt;/strong&gt; The injection of sulfur dioxide (SO&lt;sub&gt;2&lt;/sub&gt;) into the stratosphere to form an artificial stratospheric aerosol layer is discussed as an option for solar radiation management. The related reduction of radiative forcing depends upon the injected amount of sulfur dioxide, but aerosol model studies indicate a decrease in forcing efficiency with increasing injection rate. None of these studies, however, consider injection rates greater than 20 Tg(S) yr&lt;sup&gt;&amp;minus;1&lt;/sup&gt;. But this would be necessary to counteract the strong anthropogenic forcing expected if \"business as usual\" emission conditions continue throughout this century. To understand the effects of the injection of larger amounts of SO&lt;sub&gt;2&lt;/sub&gt;, we have calculated the effects of SO&lt;sub&gt;2&lt;/sub&gt; injections up to 100 Tg(S) yr&lt;sup&gt;&amp;minus;1&lt;/sup&gt;. We estimate the reliability of our results through consideration of various injection strategies and from comparison with results obtained from other models. Our calculations show that the efficiency of such a geoengineering method, expressed as the ratio between sulfate aerosol forcing and injection rate, decays exponentially. This result implies that the sulfate solar radiation management strategy required to keep temperatures constant at that anticipated for 2020, while maintaining business as usual conditions, would require atmospheric injections of approximately 45 Tg(S) yr&lt;sup&gt;&amp;minus;1&lt;/sup&gt; (±15 % or 7 Tg(S) yr&lt;sup&gt;&amp;minus;1&lt;/sup&gt;) at a height corresponding to 60 hPa. This emission is equivalent to 5 to 7 times the Mt. Pinatubo eruption each year.&lt;/p&gt;","container-title":"Atmospheric Chemistry and Physics","DOI":"10.5194/acp-15-9129-2015","ISSN":"1680-7316","issue":"16","language":"English","note":"publisher: Copernicus GmbH","page":"9129-9141","source":"acp.copernicus.org","title":"What is the limit of climate engineering by stratospheric injection of SO&lt;sub&gt;2&lt;/sub&gt;?","volume":"15","author":[{"family":"Niemeier","given":"U."},{"family":"Timmreck","given":"C."}],"issued":{"date-parts":[["2015",8,18]]}}},{"id":2033,"uris":["http://zotero.org/users/3110659/items/HAPLNXYU"],"itemData":{"id":2033,"type":"article-journal","abstract":"&lt;p&gt;&lt;strong class=\"journal-contentHeaderColor\"&gt;Abstract.&lt;/strong&gt; We present here results from the Geoengineering Model Intercomparison Project (GeoMIP) simulations for the experiments G6sulfur and G6solar for six Earth system models participating in the Climate Model Intercomparison Project (CMIP) Phase 6. The aim of the experiments is to reduce the warming that results from a high-tier emission scenario (Shared Socioeconomic Pathways SSP5-8.5) to that resulting from a medium-tier emission scenario (SSP2-4.5). These simulations aim to analyze the response of climate models to a reduction in incoming surface radiation as a means to reduce global surface temperatures, and they do so either by simulating a stratospheric sulfate aerosol layer or, in a more idealized way, through a uniform reduction in the solar constant in the model. We find that over the final two decades of this century there are considerable inter-model spreads in the needed injection amounts of sulfate (29 &lt;span class=\"inline-formula\"&gt;±&lt;/span&gt; 9 Tg-SO&lt;span class=\"inline-formula\"&gt;&lt;sub&gt;2&lt;/sub&gt;&lt;/span&gt;/yr between 2081 and 2100), in the latitudinal distribution of the aerosol cloud and in the stratospheric temperature changes resulting from the added aerosol layer. Even in the simpler G6solar experiment, there is a spread in the needed solar dimming to achieve the same global temperature target (1.91 &lt;span class=\"inline-formula\"&gt;±&lt;/span&gt; 0.44 %). The analyzed models already show significant differences in the response to the increasing CO&lt;span class=\"inline-formula\"&gt;&lt;sub&gt;2&lt;/sub&gt;&lt;/span&gt; concentrations for global mean temperatures and global mean precipitation (2.05 K &lt;span class=\"inline-formula\"&gt;±&lt;/span&gt; 0.42 K and 2.28 &lt;span class=\"inline-formula\"&gt;±&lt;/span&gt; 0.80 %, respectively, for SSP5-8.5 minus SSP2-4.5 averaged over 2081–2100). With aerosol injection, the differences in how the aerosols spread further change some of the underlying uncertainties, such as the global mean precipitation response (&lt;span class=\"inline-formula\"&gt;−&lt;/span&gt;3.79 &lt;span class=\"inline-formula\"&gt;±&lt;/span&gt; 0.76 % for G6sulfur compared to &lt;span class=\"inline-formula\"&gt;−&lt;/span&gt;2.07 &lt;span class=\"inline-formula\"&gt;±&lt;/span&gt; 0.40 % for G6solar against SSP2-4.5 between 2081 and 2100). These differences in the behavior of the aerosols also result in a larger uncertainty in the regional surface temperature response among models in the case of the G6sulfur simulations, suggesting the need to devise various, more specific experiments to single out and resolve particular sources of uncertainty. The spread in the modeled response suggests that a degree of caution is necessary when using these results for assessing specific impacts of geoengineering in various aspects of the Earth system. However, all models agree that compared to a scenario with unmitigated warming,&lt;span id=\"page10040\"/&gt; stratospheric aerosol geoengineering has the potential to both globally and locally reduce the increase in surface temperatures.&lt;/p&gt;","container-title":"Atmospheric Chemistry and Physics","DOI":"10.5194/acp-21-10039-2021","ISSN":"1680-7316","issue":"13","language":"English","note":"publisher: Copernicus GmbH","page":"10039-10063","source":"acp.copernicus.org","title":"Identifying the sources of uncertainty in climate model simulations of solar radiation modification with the G6sulfur and G6solar Geoengineering Model Intercomparison Project (GeoMIP) simulations","volume":"21","author":[{"family":"Visioni","given":"Daniele"},{"family":"MacMartin","given":"Douglas G."},{"family":"Kravitz","given":"Ben"},{"family":"Boucher","given":"Olivier"},{"family":"Jones","given":"Andy"},{"family":"Lurton","given":"Thibaut"},{"family":"Martine","given":"Michou"},{"family":"Mills","given":"Michael J."},{"family":"Nabat","given":"Pierre"},{"family":"Niemeier","given":"Ulrike"},{"family":"Séférian","given":"Roland"},{"family":"Tilmes","given":"Simone"}],"issued":{"date-parts":[["2021",7,6]]}}}],"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(Niemeier &amp; Timmreck, 2015; Visioni et al., 2021)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The sulfur deposition would also be impacted by unmitigated climate change as increased greenhouse gases in the atmosphere react with the hydrological cycle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{"citationID":"LbXFPZRu","properties":{"formattedCitation":"(Tracy et al., 2022)","plainCitation":"(Tracy et al., 2022)","noteIndex":0},"citationItems":[{"id":2311,"uris":["http://zotero.org/users/3110659/items/YTP42T4V"],"itemData":{"id":2311,"type":"article-journal","abstract":"Solar radiation management (SRM) is a climate engineering strategy to reduce temperature increases due to global climate change. The most well-researched SRM methodology is stratospheric aerosol injection (SAI), which involves increasing the concentration of aerosol particles in the stratosphere to reduce the amount of solar radiation reaching Earth’s surface. The most considered and heavily researched aerosol for SAI is sulfate. SAI has been extensively modeled using various climate scenarios and investigated using data from previous volcanic eruptions, which provide an analog of the climate effects of SAI. Prior research has determined that SAI will not only decrease global temperatures but is likely to have direct impacts on ecosystem and public health. This review seeks to investigate the various ways by which SAI may impact global public health outcomes related to hydrologic cycling, atmospheric chemical cycling, frequency of natural disasters, food system disruptions, and ecological health through the pathways of water, air, soil, and biota. SAI has the potential to decrease negative health outcomes associated with rising temperatures but may have a myriad of impacts on global environmental systems. Anthropogenically altering the global climate, through both the release of greenhouse gases or through climatic engineering, has unknown consequences, many of which will likely impact global health and quality of life. A more holistic approach is necessary to understand the relative benefits and harms in using SAI as compared to the implication of global climate change.","container-title":"Elementa: Science of the Anthropocene","DOI":"10.1525/elementa.2022.00047","ISSN":"2325-1026","issue":"1","journalAbbreviation":"Elementa: Science of the Anthropocene","page":"00047","source":"Silverchair","title":"Stratospheric aerosol injection may impact global systems and human health outcomes","volume":"10","author":[{"family":"Tracy","given":"Samantha M."},{"family":"Moch","given":"Jonathan M."},{"family":"Eastham","given":"Sebastian D."},{"family":"Buonocore","given":"Jonathan J."}],"issued":{"date-parts":[["2022",12,21]]}}}],"schema":"https://github.com/citation-style-language/schema/raw/master/csl-citation.json"}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(Tracy et al.,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It is important to determine where the sulfur </w:t>
      </w:r>
      <w:proofErr w:type="gramStart"/>
      <w:r w:rsidRPr="008E4EFB">
        <w:rPr>
          <w:rFonts w:ascii="Times New Roman" w:hAnsi="Times New Roman" w:cs="Times New Roman"/>
          <w:sz w:val="24"/>
          <w:szCs w:val="24"/>
        </w:rPr>
        <w:t>deposition</w:t>
      </w:r>
      <w:proofErr w:type="gramEnd"/>
      <w:r w:rsidRPr="008E4EFB">
        <w:rPr>
          <w:rFonts w:ascii="Times New Roman" w:hAnsi="Times New Roman" w:cs="Times New Roman"/>
          <w:sz w:val="24"/>
          <w:szCs w:val="24"/>
        </w:rPr>
        <w:t xml:space="preserve"> will end up and over what time frame both with and without SAI. </w:t>
      </w:r>
    </w:p>
    <w:p w14:paraId="794DDFA0" w14:textId="68FCB023" w:rsidR="00F15FD6" w:rsidRPr="008E4EFB" w:rsidRDefault="00F15FD6"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The Climate Model Intercomparison Project Phase 6 (CMIP6) i</w:t>
      </w:r>
      <w:r w:rsidRPr="008E4EFB">
        <w:rPr>
          <w:rFonts w:ascii="Times New Roman" w:eastAsia="Times New Roman" w:hAnsi="Times New Roman" w:cs="Times New Roman"/>
          <w:sz w:val="24"/>
          <w:szCs w:val="24"/>
        </w:rPr>
        <w:t xml:space="preserve">s organized by the World Climate Research Program (WCRP)’s Working Group of Coupled Modeling (WGCM) to coordinate climate model experiments worldwide, using common protocols, climate forcings, and output formats to provide future climate projections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{"citationID":"eSDntafw","properties":{"formattedCitation":"(Eyring et al., 2016)","plainCitation":"(Eyring et al., 2016)","noteIndex":0},"citationItems":[{"id":364,"uris":["http://zotero.org/users/3110659/items/XFYHZCPR"],"itemData":{"id":364,"type":"article-journal","abstract":"&lt;p&gt;&lt;strong class=\"journal-contentHeaderColor\"&gt;Abstract.&lt;/strong&gt; By coordinating the design and distribution of global climate model simulations of the past, current, and future climate, the Coupled Model Intercomparison Project (CMIP) has become one of the foundational elements of climate science. However, the need to address an ever-expanding range of scientific questions arising from more and more research communities has made it necessary to revise the organization of CMIP. After a long and wide community consultation, a new and more federated structure has been put in place. It consists of three major elements: (1) a handful of common experiments, the DECK (Diagnostic, Evaluation and Characterization of Klima) and CMIP historical simulations (1850–near present) that will maintain continuity and help document basic characteristics of models across different phases of CMIP; (2) common standards, coordination, infrastructure, and documentation that will facilitate the distribution of model outputs and the characterization of the model ensemble; and (3) an ensemble of CMIP-Endorsed Model Intercomparison Projects (MIPs) that will be specific to a particular phase of CMIP (now CMIP6) and that will build on the DECK and CMIP historical simulations to address a large range of specific questions and fill the scientific gaps of the previous CMIP phases. The DECK and CMIP historical simulations, together with the use of CMIP data standards, will be the entry cards for models participating in CMIP. Participation in CMIP6-Endorsed MIPs by individual modelling groups will be at their own discretion and will depend on their scientific interests and priorities. With the Grand Science Challenges of the World Climate Research Programme (WCRP) as its scientific backdrop, CMIP6 will address three broad questions: &lt;br&gt;&lt;br&gt; &amp;ndash; How does the Earth system respond to forcing?&lt;br&gt;&lt;br&gt; &amp;ndash; What are the origins and consequences of systematic model biases? &lt;br&gt;&lt;br&gt; &amp;ndash; How can we assess future climate changes given internal climate variability, predictability, and uncertainties in scenarios?&lt;br&gt;&lt;br&gt; This CMIP6 overview paper presents the background and rationale for the new structure of CMIP, provides a detailed description of the DECK and CMIP6 historical simulations, and includes a brief introduction to the 21 CMIP6-Endorsed MIPs.&lt;/p&gt;&lt;/p&gt;","container-title":"Geoscientific Model Development","DOI":"10.5194/gmd-9-1937-2016","ISSN":"1991-959X","issue":"5","language":"English","note":"publisher: Copernicus GmbH","page":"1937-1958","source":"gmd.copernicus.org","title":"Overview of the Coupled Model Intercomparison Project Phase 6 (CMIP6) experimental design and organization","volume":"9","author":[{"family":"Eyring","given":"Veronika"},{"family":"Bony","given":"Sandrine"},{"family":"Meehl","given":"Gerald A."},{"family":"Senior","given":"Catherine A."},{"family":"Stevens","given":"Bjorn"},{"family":"Stouffer","given":"Ronald J."},{"family":"Taylor","given":"Karl E."}],"issued":{"date-parts":[["2016",5,26]]}}}],"schema":"https://github.com/citation-style-language/schema/raw/master/csl-citation.json"}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(Eyring et al., 2016)</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The newest iterations of the CMIP models are based on a possible climate outcome from a Representative Concentration Pathway (RCP) between 1.9 and 8.5 W/m</w:t>
      </w:r>
      <w:r w:rsidRPr="008E4EFB">
        <w:rPr>
          <w:rFonts w:ascii="Times New Roman" w:eastAsia="Times New Roman" w:hAnsi="Times New Roman" w:cs="Times New Roman"/>
          <w:sz w:val="24"/>
          <w:szCs w:val="24"/>
          <w:vertAlign w:val="superscript"/>
        </w:rPr>
        <w:t>2</w:t>
      </w:r>
      <w:r w:rsidRPr="008E4EFB">
        <w:rPr>
          <w:rFonts w:ascii="Times New Roman" w:eastAsia="Times New Roman" w:hAnsi="Times New Roman" w:cs="Times New Roman"/>
          <w:sz w:val="24"/>
          <w:szCs w:val="24"/>
        </w:rPr>
        <w:t xml:space="preserve"> of radiative forcing matched with a Shared Socioeconomic Pathway (SSP 1-5)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{"citationID":"6ZXdGaZZ","properties":{"formattedCitation":"(O\\uc0\\u8217{}Neill et al., 2016)","plainCitation":"(O’Neill et al., 2016)","noteIndex":0},"citationItems":[{"id":2179,"uris":["http://zotero.org/users/3110659/items/D43BXAHS"],"itemData":{"id":2179,"type":"article-journal","abstract":"Abstract. Projections of future climate change play a fundamental role in improving understanding of the climate system as well as characterizing societal risks and response options. The Scenario Model Intercomparison Project (ScenarioMIP) is the primary activity within Phase 6 of the Coupled Model Intercomparison Project (CMIP6) that will provide multi-model climate projections based on alternative scenarios of future emissions and land use changes produced with integrated assessment models. In this paper, we describe ScenarioMIP's objectives, experimental design, and its relation to other activities within CMIP6. The ScenarioMIP design is one component of a larger scenario process that aims to facilitate a wide range of integrated studies across the climate science, integrated assessment modeling, and impacts, adaptation, and vulnerability communities, and will form an important part of the evidence base in the forthcoming Intergovernmental Panel on Climate Change (IPCC) assessments. At the same time, it will provide the basis for investigating a number of targeted science and policy questions that are especially relevant to scenario-based analysis, including the role of specific forcings such as land use and aerosols, the effect of a peak and decline in forcing, the consequences of scenarios that limit warming to below 2 °C, the relative contributions to uncertainty from scenarios, climate models, and internal variability, and long-term climate system outcomes beyond the 21st century. To serve this wide range of scientific communities and address these questions, a design has been identified consisting of eight alternative 21st century scenarios plus one large initial condition ensemble and a set of long-term extensions, divided into two tiers defined by relative priority. Some of these scenarios will also provide a basis for variants planned to be run in other CMIP6-Endorsed MIPs to investigate questions related to specific forcings. Harmonized, spatially explicit emissions and land use scenarios generated with integrated assessment models will be provided to participating climate modeling groups by late 2016, with the climate model simulations run within the 2017–2018 time frame, and output from the climate model projections made available and analyses performed over the 2018–2020 period.","container-title":"Geoscientific Model Development","DOI":"10.5194/gmd-9-3461-2016","ISSN":"1991-9603","issue":"9","journalAbbreviation":"Geosci. Model Dev.","language":"en","page":"3461-3482","source":"DOI.org (Crossref)","title":"The Scenario Model Intercomparison Project (ScenarioMIP) for CMIP6","volume":"9","author":[{"family":"O'Neill","given":"Brian C."},{"family":"Tebaldi","given":"Claudia"},{"family":"Vuuren","given":"Detlef P.","non-dropping-particle":"van"},{"family":"Eyring","given":"Veronika"},{"family":"Friedlingstein","given":"Pierre"},{"family":"Hurtt","given":"George"},{"family":"Knutti","given":"Reto"},{"family":"Kriegler","given":"Elmar"},{"family":"Lamarque","given":"Jean-Francois"},{"family":"Lowe","given":"Jason"},{"family":"Meehl","given":"Gerald A."},{"family":"Moss","given":"Richard"},{"family":"Riahi","given":"Keywan"},{"family":"Sanderson","given":"Benjamin M."}],"issued":{"date-parts":[["2016",9,28]]}}}],"schema":"https://github.com/citation-style-language/schema/raw/master/csl-citation.json"}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(O’Neill et al., 2016)</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The SSPs describe the potential social development that might in the future occur based on factors like population size, education, energy demand, and other non-climate factors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{"citationID":"r4bZ4De7","properties":{"formattedCitation":"(Riahi et al., 2017)","plainCitation":"(Riahi et al., 2017)","noteIndex":0},"citationItems":[{"id":3042,"uris":["http://zotero.org/users/3110659/items/ZRWLFJMV"],"itemData":{"id":3042,"type":"article-journal","abstract":"This paper presents the overview of the Shared Socioeconomic Pathways (SSPs) and their energy, land use, and emissions implications. The SSPs are part of a new scenario framework, established by the climate change research community in order to facilitate the integrated analysis of future climate impacts, vulnerabilities, adaptation, and mitigation. The pathways were developed over the last years as a joint community effort and describe plausible major global developments that together would lead in the future to different challenges for mitigation and adaptation to climate change. The SSPs are based on five narratives describing alternative socio-economic developments, including sustainable development, regional rivalry, inequality, fossil-fueled development, and middle-of-the-road development. The long-term demographic and economic projections of the SSPs depict a wide uncertainty range consistent with the scenario literature. A multi-model approach was used for the elaboration of the energy, land-use and the emissions trajectories of SSP-based scenarios. The baseline scenarios lead to global energy consumption of 400–1200 EJ in 2100, and feature vastly different land-use dynamics, ranging from a possible reduction in cropland area up to a massive expansion by more than 700 million hectares by 2100. The associated annual CO2 emissions of the baseline scenarios range from about 25 GtCO2 to more than 120 GtCO2 per year by 2100. With respect to mitigation, we find that associated costs strongly depend on three factors: (1) the policy assumptions, (2) the socio-economic narrative, and (3) the stringency of the target. The carbon price for reaching the target of 2.6W/m2 that is consistent with a temperature change limit of 2°C, differs in our analysis thus by about a factor of three across the SSP marker scenarios. Moreover, many models could not reach this target from the SSPs with high mitigation challenges. While the SSPs were designed to represent different mitigation and adaptation challenges, the resulting narratives and quantifications span a wide range of different futures broadly representative of the current literature. This allows their subsequent use and development in new assessments and research projects. Critical next steps for the community scenario process will, among others, involve regional and sectoral extensions, further elaboration of the adaptation and impacts dimension, as well as employing the SSP scenarios with the new generation of earth system models as part of the 6th climate model intercomparison project (CMIP6).","container-title":"Global Environmental Change","DOI":"10.1016/j.gloenvcha.2016.05.009","ISSN":"0959-3780","journalAbbreviation":"Global Environmental Change","page":"153-168","source":"ScienceDirect","title":"The Shared Socioeconomic Pathways and their energy, land use, and greenhouse gas emissions implications: An overview","title-short":"The Shared Socioeconomic Pathways and their energy, land use, and greenhouse gas emissions implications","volume":"42","author":[{"family":"Riahi","given":"Keywan"},{"family":"Vuuren","given":"Detlef P.","non-dropping-particle":"van"},{"family":"Kriegler","given":"Elmar"},{"family":"Edmonds","given":"Jae"},{"family":"O’Neill","given":"Brian C."},{"family":"Fujimori","given":"Shinichiro"},{"family":"Bauer","given":"Nico"},{"family":"Calvin","given":"Katherine"},{"family":"Dellink","given":"Rob"},{"family":"Fricko","given":"Oliver"},{"family":"Lutz","given":"Wolfgang"},{"family":"Popp","given":"Alexander"},{"family":"Cuaresma","given":"Jesus Crespo"},{"family":"Kc","given":"Samir"},{"family":"Leimbach","given":"Marian"},{"family":"Jiang","given":"Leiwen"},{"family":"Kram","given":"Tom"},{"family":"Rao","given":"Shilpa"},{"family":"Emmerling","given":"Johannes"},{"family":"Ebi","given":"Kristie"},{"family":"Hasegawa","given":"Tomoko"},{"family":"Havlik","given":"Petr"},{"family":"Humpenöder","given":"Florian"},{"family":"Da Silva","given":"Lara Aleluia"},{"family":"Smith","given":"Steve"},{"family":"Stehfest","given":"Elke"},{"family":"Bosetti","given":"Valentina"},{"family":"Eom","given":"Jiyong"},{"family":"Gernaat","given":"David"},{"family":"Masui","given":"Toshihiko"},{"family":"Rogelj","given":"Joeri"},{"family":"Strefler","given":"Jessica"},{"family":"Drouet","given":"Laurent"},{"family":"Krey","given":"Volker"},{"family":"Luderer","given":"Gunnar"},{"family":"Harmsen","given":"Mathijs"},{"family":"Takahashi","given":"Kiyoshi"},{"family":"Baumstark","given":"Lavinia"},{"family":"Doelman","given":"Jonathan C."},{"family":"Kainuma","given":"Mikiko"},{"family":"Klimont","given":"Zbigniew"},{"family":"Marangoni","given":"Giacomo"},{"family":"Lotze-Campen","given":"Hermann"},{"family":"Obersteiner","given":"Michael"},{"family":"Tabeau","given":"Andrzej"},{"family":"Tavoni","given":"Massimo"}],"issued":{"date-parts":[["2017",1,1]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(Riahi et al., 2017)</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w:t>
      </w:r>
      <w:r w:rsidRPr="008E4EFB">
        <w:rPr>
          <w:rFonts w:ascii="Times New Roman" w:hAnsi="Times New Roman" w:cs="Times New Roman"/>
          <w:sz w:val="24"/>
          <w:szCs w:val="24"/>
        </w:rPr>
        <w:t xml:space="preserve">The Geoengineering Model </w:t>
      </w:r>
      <w:r w:rsidRPr="008E4EFB">
        <w:rPr>
          <w:rFonts w:ascii="Times New Roman" w:hAnsi="Times New Roman" w:cs="Times New Roman"/>
          <w:sz w:val="24"/>
          <w:szCs w:val="24"/>
        </w:rPr>
        <w:lastRenderedPageBreak/>
        <w:t>Intercomparison Project (GeoMIP</w:t>
      </w:r>
      <w:r w:rsidR="000971A2" w:rsidRPr="008E4EFB">
        <w:rPr>
          <w:rFonts w:ascii="Times New Roman" w:hAnsi="Times New Roman" w:cs="Times New Roman"/>
          <w:sz w:val="24"/>
          <w:szCs w:val="24"/>
        </w:rPr>
        <w:t xml:space="preserve">, </w:t>
      </w:r>
      <w:r w:rsidR="000971A2" w:rsidRPr="000F3C0B">
        <w:rPr>
          <w:rFonts w:ascii="Times New Roman" w:hAnsi="Times New Roman" w:cs="Times New Roman"/>
          <w:b/>
          <w:bCs/>
          <w:sz w:val="24"/>
          <w:szCs w:val="24"/>
        </w:rPr>
        <w:t>Figure S</w:t>
      </w:r>
      <w:r w:rsidR="00F11A53">
        <w:rPr>
          <w:rFonts w:ascii="Times New Roman" w:hAnsi="Times New Roman" w:cs="Times New Roman"/>
          <w:b/>
          <w:bCs/>
          <w:sz w:val="24"/>
          <w:szCs w:val="24"/>
        </w:rPr>
        <w:t>4</w:t>
      </w:r>
      <w:r w:rsidR="00627FBF" w:rsidRPr="000F3C0B">
        <w:rPr>
          <w:rFonts w:ascii="Times New Roman" w:hAnsi="Times New Roman" w:cs="Times New Roman"/>
          <w:b/>
          <w:bCs/>
          <w:sz w:val="24"/>
          <w:szCs w:val="24"/>
        </w:rPr>
        <w:t>.1</w:t>
      </w:r>
      <w:r w:rsidRPr="008E4EFB">
        <w:rPr>
          <w:rFonts w:ascii="Times New Roman" w:hAnsi="Times New Roman" w:cs="Times New Roman"/>
          <w:sz w:val="24"/>
          <w:szCs w:val="24"/>
        </w:rPr>
        <w:t xml:space="preserve">) is a suite of climate model experiment designs built on CMIP6 simulations to address geoengineering as a response to climate change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{"citationID":"2uQx2ZBG","properties":{"formattedCitation":"(B. Kravitz et al., 2015; Ben Kravitz et al., 2011)","plainCitation":"(B. Kravitz et al., 2015; Ben Kravitz et al., 2011)","noteIndex":0},"citationItems":[{"id":2039,"uris":["http://zotero.org/users/3110659/items/HZPDWE8W"],"itemData":{"id":2039,"type":"article-journal","abstract":"&lt;p&gt;&lt;strong class=\"journal-contentHeaderColor\"&gt;Abstract.&lt;/strong&gt; We present a suite of new climate model experiment designs for the Geoengineering Model Intercomparison Project (GeoMIP). This set of experiments, named GeoMIP6 (to be consistent with the Coupled Model Intercomparison Project Phase 6), builds on the previous GeoMIP project simulations, and has been expanded to address several further important topics, including key uncertainties in extreme events, the use of geoengineering as part of a portfolio of responses to climate change, and the relatively new idea of cirrus cloud thinning to allow more longwave radiation to escape to space. We discuss experiment designs, as well as the rationale for those designs, showing preliminary results from individual models when available. We also introduce a new feature, called the GeoMIP Testbed, which provides a platform for simulations that will be performed with a few models and subsequently assessed to determine whether the proposed experiment designs will be adopted as core (Tier 1) GeoMIP experiments. This is meant to encourage various stakeholders to propose new targeted experiments that address their key open science questions, with the goal of making GeoMIP more relevant to a broader set of communities.&lt;/p&gt;","container-title":"Geoscientific Model Development","DOI":"10.5194/gmd-8-3379-2015","ISSN":"1991-959X","issue":"10","language":"English","note":"publisher: Copernicus GmbH","page":"3379-3392","source":"gmd.copernicus.org","title":"The Geoengineering Model Intercomparison Project Phase 6 (GeoMIP6): simulation design and preliminary results","title-short":"The Geoengineering Model Intercomparison Project Phase 6 (GeoMIP6)","volume":"8","author":[{"family":"Kravitz","given":"B."},{"family":"Robock","given":"A."},{"family":"Tilmes","given":"S."},{"family":"Boucher","given":"O."},{"family":"English","given":"J. M."},{"family":"Irvine","given":"P. J."},{"family":"Jones","given":"A."},{"family":"Lawrence","given":"M. G."},{"family":"MacCracken","given":"M."},{"family":"Muri","given":"H."},{"family":"Moore","given":"J. C."},{"family":"Niemeier","given":"U."},{"family":"Phipps","given":"S. J."},{"family":"Sillmann","given":"J."},{"family":"Storelvmo","given":"T."},{"family":"Wang","given":"H."},{"family":"Watanabe","given":"S."}],"issued":{"date-parts":[["2015",10,27]]}}},{"id":2631,"uris":["http://zotero.org/users/3110659/items/7778AV3I"],"itemData":{"id":2631,"type":"article-journal","abstract":"To evaluate the effects of stratospheric geoengineering with sulphate aerosols, we propose standard forcing scenarios to be applied to multiple climate models to compare their results and determine the robustness of their responses. Thus far, different modeling groups have used different forcing scenarios for both global warming and geoengineering, complicating the comparison of results. We recommend four experiments to explore the extent to which geoengineering might offset climate change projected in some of the Climate Model Intercomparison Project 5 experiments. These experiments focus on stratospheric aerosols, but future experiments under this framework may focus on different means of geoengineering. Copyright © 2011 Royal Meteorological Society and Crown copyright","container-title":"Atmospheric Science Letters","DOI":"10.1002/asl.316","ISSN":"1530-261X","issue":"2","language":"en","license":"Copyright © 2011 Royal Meteorological Society and Crown copyright","note":"_eprint: https://onlinelibrary.wiley.com/doi/pdf/10.1002/asl.316","page":"162-167","source":"Wiley Online Library","title":"The Geoengineering Model Intercomparison Project (GeoMIP)","volume":"12","author":[{"family":"Kravitz","given":"Ben"},{"family":"Robock","given":"Alan"},{"family":"Boucher","given":"Olivier"},{"family":"Schmidt","given":"Hauke"},{"family":"Taylor","given":"Karl E."},{"family":"Stenchikov","given":"Georgiy"},{"family":"Schulz","given":"Michael"}],"issued":{"date-parts":[["2011"]]}}}],"schema":"https://github.com/citation-style-language/schema/raw/master/csl-citation.json"}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(B. Kravitz et al., 2015; Ben Kravitz et al., 2011)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The G6sulfur scenario </w:t>
      </w:r>
      <w:r w:rsidRPr="008E4EFB">
        <w:rPr>
          <w:rFonts w:ascii="Times New Roman" w:hAnsi="Times New Roman" w:cs="Times New Roman"/>
          <w:sz w:val="24"/>
          <w:szCs w:val="24"/>
        </w:rPr>
        <w:t xml:space="preserve">includes stratospheric sulfate aerosol injection to reduce net forcing from SSP5-8.5 to SSP2-4.5. </w:t>
      </w:r>
      <w:r w:rsidRPr="008E4EFB">
        <w:rPr>
          <w:rFonts w:ascii="Times New Roman" w:eastAsia="Times New Roman" w:hAnsi="Times New Roman" w:cs="Times New Roman"/>
          <w:sz w:val="24"/>
          <w:szCs w:val="24"/>
        </w:rPr>
        <w:t>SSP5 combined with RCP8.5 is often referred to as the “worst-case” climate scenario for our world, with 8.5 W/m</w:t>
      </w:r>
      <w:r w:rsidRPr="008E4EFB">
        <w:rPr>
          <w:rFonts w:ascii="Times New Roman" w:eastAsia="Times New Roman" w:hAnsi="Times New Roman" w:cs="Times New Roman"/>
          <w:sz w:val="24"/>
          <w:szCs w:val="24"/>
          <w:vertAlign w:val="superscript"/>
        </w:rPr>
        <w:t>2</w:t>
      </w:r>
      <w:r w:rsidRPr="008E4EFB">
        <w:rPr>
          <w:rFonts w:ascii="Times New Roman" w:eastAsia="Times New Roman" w:hAnsi="Times New Roman" w:cs="Times New Roman"/>
          <w:sz w:val="24"/>
          <w:szCs w:val="24"/>
        </w:rPr>
        <w:t xml:space="preserve"> of radiative forcing and socioeconomic conditions characterized by a reliance on fossil fuels for development.</w:t>
      </w:r>
      <w:r w:rsidRPr="008E4EFB">
        <w:rPr>
          <w:rFonts w:ascii="Times New Roman" w:hAnsi="Times New Roman" w:cs="Times New Roman"/>
          <w:sz w:val="24"/>
          <w:szCs w:val="24"/>
        </w:rPr>
        <w:t xml:space="preserve"> SSP2-4.5 is a </w:t>
      </w:r>
      <w:proofErr w:type="gramStart"/>
      <w:r w:rsidRPr="008E4EFB">
        <w:rPr>
          <w:rFonts w:ascii="Times New Roman" w:hAnsi="Times New Roman" w:cs="Times New Roman"/>
          <w:sz w:val="24"/>
          <w:szCs w:val="24"/>
        </w:rPr>
        <w:t>moderate case</w:t>
      </w:r>
      <w:proofErr w:type="gramEnd"/>
      <w:r w:rsidRPr="008E4EFB">
        <w:rPr>
          <w:rFonts w:ascii="Times New Roman" w:hAnsi="Times New Roman" w:cs="Times New Roman"/>
          <w:sz w:val="24"/>
          <w:szCs w:val="24"/>
        </w:rPr>
        <w:t xml:space="preserve"> climate scenario with 4.5 W/m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radiative forcing and a middle-of-the-road approach without extreme social, economic, technological, or land use changes from historical patterns. We use the outputs of the three earth system models available from the CMIP6 archive for G6sulfur, SSP2-4.5, and SSP5-8.5 to investigate the long-term impacts of SAI on sulfur deposition. </w:t>
      </w:r>
    </w:p>
    <w:p w14:paraId="1242EC4C" w14:textId="46FCC6B1" w:rsidR="008B4175" w:rsidRPr="008E4EFB" w:rsidRDefault="00F15FD6" w:rsidP="00DC4266">
      <w:pPr>
        <w:pStyle w:val="Style3"/>
        <w:numPr>
          <w:ilvl w:val="1"/>
          <w:numId w:val="29"/>
        </w:numPr>
        <w:spacing w:before="0" w:line="360" w:lineRule="auto"/>
        <w:rPr>
          <w:rFonts w:cs="Times New Roman"/>
          <w:szCs w:val="24"/>
        </w:rPr>
      </w:pPr>
      <w:bookmarkStart w:id="48" w:name="_Toc179917980"/>
      <w:r w:rsidRPr="008E4EFB">
        <w:rPr>
          <w:rFonts w:cs="Times New Roman"/>
          <w:szCs w:val="24"/>
        </w:rPr>
        <w:t>Methods and Data</w:t>
      </w:r>
      <w:bookmarkEnd w:id="48"/>
    </w:p>
    <w:p w14:paraId="666E1E56" w14:textId="0834165E" w:rsidR="00A65C1B" w:rsidRPr="008E4EFB" w:rsidRDefault="00894F5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This study utilized the G6sulfur model outputs from the CMIP6 archive (available at </w:t>
      </w:r>
      <w:hyperlink r:id="rId37" w:history="1">
        <w:r w:rsidRPr="008E4EFB">
          <w:rPr>
            <w:rStyle w:val="Hyperlink"/>
            <w:rFonts w:ascii="Times New Roman" w:hAnsi="Times New Roman" w:cs="Times New Roman"/>
            <w:color w:val="auto"/>
            <w:sz w:val="24"/>
            <w:szCs w:val="24"/>
          </w:rPr>
          <w:t>https://esgf-node.llnl.gov/projects/cmip6</w:t>
        </w:r>
      </w:hyperlink>
      <w:r w:rsidRPr="008E4EFB">
        <w:rPr>
          <w:rFonts w:ascii="Times New Roman" w:hAnsi="Times New Roman" w:cs="Times New Roman"/>
          <w:sz w:val="24"/>
          <w:szCs w:val="24"/>
        </w:rPr>
        <w:t xml:space="preserve">) to analyze sulfur deposition changes due to SAI under climate change. Since G6sulfur is designed to reduce net radiative forcing from SSP5-8.5 to SSP2-4.5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{"citationID":"KJ9NtaIu","properties":{"formattedCitation":"(Visioni et al., 2021)","plainCitation":"(Visioni et al., 2021)","noteIndex":0},"citationItems":[{"id":2033,"uris":["http://zotero.org/users/3110659/items/HAPLNXYU"],"itemData":{"id":2033,"type":"article-journal","abstract":"&lt;p&gt;&lt;strong class=\"journal-contentHeaderColor\"&gt;Abstract.&lt;/strong&gt; We present here results from the Geoengineering Model Intercomparison Project (GeoMIP) simulations for the experiments G6sulfur and G6solar for six Earth system models participating in the Climate Model Intercomparison Project (CMIP) Phase 6. The aim of the experiments is to reduce the warming that results from a high-tier emission scenario (Shared Socioeconomic Pathways SSP5-8.5) to that resulting from a medium-tier emission scenario (SSP2-4.5). These simulations aim to analyze the response of climate models to a reduction in incoming surface radiation as a means to reduce global surface temperatures, and they do so either by simulating a stratospheric sulfate aerosol layer or, in a more idealized way, through a uniform reduction in the solar constant in the model. We find that over the final two decades of this century there are considerable inter-model spreads in the needed injection amounts of sulfate (29 &lt;span class=\"inline-formula\"&gt;±&lt;/span&gt; 9 Tg-SO&lt;span class=\"inline-formula\"&gt;&lt;sub&gt;2&lt;/sub&gt;&lt;/span&gt;/yr between 2081 and 2100), in the latitudinal distribution of the aerosol cloud and in the stratospheric temperature changes resulting from the added aerosol layer. Even in the simpler G6solar experiment, there is a spread in the needed solar dimming to achieve the same global temperature target (1.91 &lt;span class=\"inline-formula\"&gt;±&lt;/span&gt; 0.44 %). The analyzed models already show significant differences in the response to the increasing CO&lt;span class=\"inline-formula\"&gt;&lt;sub&gt;2&lt;/sub&gt;&lt;/span&gt; concentrations for global mean temperatures and global mean precipitation (2.05 K &lt;span class=\"inline-formula\"&gt;±&lt;/span&gt; 0.42 K and 2.28 &lt;span class=\"inline-formula\"&gt;±&lt;/span&gt; 0.80 %, respectively, for SSP5-8.5 minus SSP2-4.5 averaged over 2081–2100). With aerosol injection, the differences in how the aerosols spread further change some of the underlying uncertainties, such as the global mean precipitation response (&lt;span class=\"inline-formula\"&gt;−&lt;/span&gt;3.79 &lt;span class=\"inline-formula\"&gt;±&lt;/span&gt; 0.76 % for G6sulfur compared to &lt;span class=\"inline-formula\"&gt;−&lt;/span&gt;2.07 &lt;span class=\"inline-formula\"&gt;±&lt;/span&gt; 0.40 % for G6solar against SSP2-4.5 between 2081 and 2100). These differences in the behavior of the aerosols also result in a larger uncertainty in the regional surface temperature response among models in the case of the G6sulfur simulations, suggesting the need to devise various, more specific experiments to single out and resolve particular sources of uncertainty. The spread in the modeled response suggests that a degree of caution is necessary when using these results for assessing specific impacts of geoengineering in various aspects of the Earth system. However, all models agree that compared to a scenario with unmitigated warming,&lt;span id=\"page10040\"/&gt; stratospheric aerosol geoengineering has the potential to both globally and locally reduce the increase in surface temperatures.&lt;/p&gt;","container-title":"Atmospheric Chemistry and Physics","DOI":"10.5194/acp-21-10039-2021","ISSN":"1680-7316","issue":"13","language":"English","note":"publisher: Copernicus GmbH","page":"10039-10063","source":"acp.copernicus.org","title":"Identifying the sources of uncertainty in climate model simulations of solar radiation modification with the G6sulfur and G6solar Geoengineering Model Intercomparison Project (GeoMIP) simulations","volume":"21","author":[{"family":"Visioni","given":"Daniele"},{"family":"MacMartin","given":"Douglas G."},{"family":"Kravitz","given":"Ben"},{"family":"Boucher","given":"Olivier"},{"family":"Jones","given":"Andy"},{"family":"Lurton","given":"Thibaut"},{"family":"Martine","given":"Michou"},{"family":"Mills","given":"Michael J."},{"family":"Nabat","given":"Pierre"},{"family":"Niemeier","given":"Ulrike"},{"family":"Séférian","given":"Roland"},{"family":"Tilmes","given":"Simone"}],"issued":{"date-parts":[["2021",7,6]]}}}],"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(Visioni et al., 2021)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we also retrieved model outputs from SSP5-8.5 and SSP2-4.5 for comparisons. Across the CMIP6 archive, only three models provide sulfur deposition-relevant variables—wet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dry SO</w:t>
      </w:r>
      <w:r w:rsidRPr="008E4EFB">
        <w:rPr>
          <w:rFonts w:ascii="Times New Roman" w:hAnsi="Times New Roman" w:cs="Times New Roman"/>
          <w:sz w:val="24"/>
          <w:szCs w:val="24"/>
          <w:vertAlign w:val="subscript"/>
        </w:rPr>
        <w:t xml:space="preserve">2, </w:t>
      </w:r>
      <w:r w:rsidRPr="008E4EFB">
        <w:rPr>
          <w:rFonts w:ascii="Times New Roman" w:hAnsi="Times New Roman" w:cs="Times New Roman"/>
          <w:sz w:val="24"/>
          <w:szCs w:val="24"/>
        </w:rPr>
        <w:t>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dry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and precipitation flux—under the G6sulfur scenario (</w:t>
      </w:r>
      <w:r w:rsidRPr="007F0D68">
        <w:rPr>
          <w:rFonts w:ascii="Times New Roman" w:hAnsi="Times New Roman" w:cs="Times New Roman"/>
          <w:b/>
          <w:bCs/>
          <w:sz w:val="24"/>
          <w:szCs w:val="24"/>
        </w:rPr>
        <w:t xml:space="preserve">Table </w:t>
      </w:r>
      <w:r w:rsidR="000F3C0B">
        <w:rPr>
          <w:rFonts w:ascii="Times New Roman" w:hAnsi="Times New Roman" w:cs="Times New Roman"/>
          <w:b/>
          <w:bCs/>
          <w:sz w:val="24"/>
          <w:szCs w:val="24"/>
        </w:rPr>
        <w:t>4</w:t>
      </w:r>
      <w:r w:rsidRPr="007F0D68">
        <w:rPr>
          <w:rFonts w:ascii="Times New Roman" w:hAnsi="Times New Roman" w:cs="Times New Roman"/>
          <w:b/>
          <w:bCs/>
          <w:sz w:val="24"/>
          <w:szCs w:val="24"/>
        </w:rPr>
        <w:t>.1</w:t>
      </w:r>
      <w:r w:rsidRPr="008E4EFB">
        <w:rPr>
          <w:rFonts w:ascii="Times New Roman" w:hAnsi="Times New Roman" w:cs="Times New Roman"/>
          <w:sz w:val="24"/>
          <w:szCs w:val="24"/>
        </w:rPr>
        <w:t xml:space="preserve">). Hence, we retrieved the </w:t>
      </w:r>
      <w:proofErr w:type="gramStart"/>
      <w:r w:rsidRPr="008E4EFB">
        <w:rPr>
          <w:rFonts w:ascii="Times New Roman" w:hAnsi="Times New Roman" w:cs="Times New Roman"/>
          <w:sz w:val="24"/>
          <w:szCs w:val="24"/>
        </w:rPr>
        <w:t>outputs</w:t>
      </w:r>
      <w:proofErr w:type="gramEnd"/>
      <w:r w:rsidRPr="008E4EFB">
        <w:rPr>
          <w:rFonts w:ascii="Times New Roman" w:hAnsi="Times New Roman" w:cs="Times New Roman"/>
          <w:sz w:val="24"/>
          <w:szCs w:val="24"/>
        </w:rPr>
        <w:t xml:space="preserve"> from these three models under SSP5-8.5 and SSP2-4.5 for fair comparisons. Historical outputs during 1950–2014 were also retrieved for the same models to compare with the three future scenarios. None of the models explicitly incorporate bi-directional flux for sulfur. All three models include interactive stratospheric chemistry </w:t>
      </w:r>
      <w:r w:rsidR="00A65C1B" w:rsidRPr="008E4EFB">
        <w:rPr>
          <w:rFonts w:ascii="Times New Roman" w:hAnsi="Times New Roman" w:cs="Times New Roman"/>
          <w:sz w:val="24"/>
          <w:szCs w:val="24"/>
        </w:rPr>
        <w:t xml:space="preserve">but only UKESM1-0-LL and CESM2-WACCM include interactive aerosol microphysical schemes while CNRM-ESM2-1 uses prescribed ozone fields </w:t>
      </w:r>
      <w:r w:rsidR="00A65C1B"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{"citationID":"k0xlrnXm","properties":{"formattedCitation":"(S\\uc0\\u233{}f\\uc0\\u233{}rian et al., 2019; Simone Tilmes et al., 2022)","plainCitation":"(Séférian et al., 2019; Simone Tilmes et al., 2022)","noteIndex":0},"citationItems":[{"id":2024,"uris":["http://zotero.org/users/3110659/items/MEGVUX72"],"itemData":{"id":2024,"type":"article-journal","abstract":"This study introduces CNRM-ESM2-1, the Earth system (ES) model of second generation developed by CNRM-CERFACS for the sixth phase of the Coupled Model Intercomparison Project (CMIP6). CNRM-ESM2-1 offers a higher model complexity than the Atmosphere-Ocean General Circulation Model CNRM-CM6-1 by adding interactive ES components such as carbon cycle, aerosols, and atmospheric chemistry. As both models share the same code, physical parameterizations, and grid resolution, they offer a fully traceable framework to investigate how far the represented ES processes impact the model performance over present-day, response to external forcing and future climate projections. Using a large variety of CMIP6 experiments, we show that represented ES processes impact more prominently the model response to external forcing than the model performance over present-day. Both models display comparable performance at replicating modern observations although the mean climate of CNRM-ESM2-1 is slightly warmer than that of CNRM-CM6-1. This difference arises from land cover-aerosol interactions where the use of different soil vegetation distributions between both models impacts the rate of dust emissions. This interaction results in a smaller aerosol burden in CNRM-ESM2-1 than in CNRM-CM6-1, leading to a different surface radiative budget and climate. Greater differences are found when comparing the model response to external forcing and future climate projections. Represented ES processes damp future warming by up to 10% in CNRM-ESM2-1 with respect to CNRM-CM6-1. The representation of land vegetation and the CO2-water-stomatal feedback between both models explain about 60% of this difference. The remainder is driven by other ES feedbacks such as the natural aerosol feedback.","container-title":"Journal of Advances in Modeling Earth Systems","DOI":"10.1029/2019MS001791","ISSN":"1942-2466","issue":"12","language":"en","note":"_eprint: https://onlinelibrary.wiley.com/doi/pdf/10.1029/2019MS001791","page":"4182-4227","source":"Wiley Online Library","title":"Evaluation of CNRM Earth System Model, CNRM-ESM2-1: Role of Earth System Processes in Present-Day and Future Climate","title-short":"Evaluation of CNRM Earth System Model, CNRM-ESM2-1","volume":"11","author":[{"family":"Séférian","given":"Roland"},{"family":"Nabat","given":"Pierre"},{"family":"Michou","given":"Martine"},{"family":"Saint-Martin","given":"David"},{"family":"Voldoire","given":"Aurore"},{"family":"Colin","given":"Jeanne"},{"family":"Decharme","given":"Bertrand"},{"family":"Delire","given":"Christine"},{"family":"Berthet","given":"Sarah"},{"family":"Chevallier","given":"Matthieu"},{"family":"Sénési","given":"Stephane"},{"family":"Franchisteguy","given":"Laurent"},{"family":"Vial","given":"Jessica"},{"family":"Mallet","given":"Marc"},{"family":"Joetzjer","given":"Emilie"},{"family":"Geoffroy","given":"Olivier"},{"family":"Guérémy","given":"Jean-François"},{"family":"Moine","given":"Marie-Pierre"},{"family":"Msadek","given":"Rym"},{"family":"Ribes","given":"Aurélien"},{"family":"Rocher","given":"Matthias"},{"family":"Roehrig","given":"Romain"},{"family":"Salas-y-Mélia","given":"David"},{"family":"Sanchez","given":"Emilia"},{"family":"Terray","given":"Laurent"},{"family":"Valcke","given":"Sophie"},{"family":"Waldman","given":"Robin"},{"family":"Aumont","given":"Olivier"},{"family":"Bopp","given":"Laurent"},{"family":"Deshayes","given":"Julie"},{"family":"Éthé","given":"Christian"},{"family":"Madec","given":"Gurvan"}],"issued":{"date-parts":[["2019"]]}}},{"id":2613,"uris":["http://zotero.org/users/3110659/items/3YEPQDPM"],"itemData":{"id":2613,"type":"article-journal","abstract":"This study assesses the impacts of stratospheric aerosol intervention (SAI) and solar dimming on stratospheric ozone based on the G6 Geoengineering Model Intercomparison Project (GeoMIP) experiments, called G6sulfur and G6solar. For G6sulfur, an enhanced stratospheric sulfate aerosol burden reflects some of the incoming solar radiation back into space to cool the surface climate, while for G6solar, the reduction in the global solar constant in the model achieves the same goal. Both experiments use the high emissions scenario of SSP5-8.5 as the baseline experiment and define surface temperature from the medium emission scenario of SSP2-4.5 as the target. In total, six Earth system models (ESMs) performed these experiments, and three out of the six models include interactive stratospheric chemistry. The increase in absorbing sulfate aerosols in the stratosphere results in a heating of the lower tropical stratospheric temperatures by between 5 to 13 K for the six different ESMs, leading to changes in stratospheric transport, water vapor, and other related changes. The increase in the aerosol burden also increases aerosol surface area density, which is important for heterogeneous chemical reactions. The resulting changes in the springtime Antarctic ozone between the G6sulfur and SSP5-8.5, based on the three models with interactive chemistry, include an initial reduction in total column ozone (TCO) of 10 DU (ranging between 0–30 DU for the three models) and up to 20 DU (between 10–40 DU) by the end of the century. The relatively small reduction in TCO for the multi-model mean in the first 2 decades results from variations in the required sulfur injections in the models and differences in the complexity of the chemistry schemes. In contrast, in the Northern Hemisphere (NH) high latitudes, no significant changes can be identified due to the large natural variability in the models, with little change in TCO by the end of the century. However, all three models with interactive chemistry consistently simulate an increase in TCO in the NH mid-latitudes up to 20 DU, compared to SSP5-8.5, in addition to the 20 DU increase resulting from increasing greenhouse gases between SSP2-4.5 and SSP5-8.5. In contrast to G6sulfur, G6solar does not significantly change stratospheric temperatures compared to the baseline simulation. Solar dimming results in little change in TCO compared to SSP5-8.5. Only in the tropics does G6solar result in an increase of TCO of up to 8 DU, compared to SSP2-4.5, which may counteract the projected reduction in SSP5-8.5. This work identifies differences in the response of SAI and solar dimming on ozone for three ESMs with interactive chemistry, which are partly due to the differences and shortcomings in the complexity of aerosol microphysics, chemistry, and the description of ozone photolysis. It also identifies that solar dimming, if viewed as an analog to SAI using a predominantly scattering aerosol, would succeed in reducing tropospheric and surface temperatures, but any stratospheric changes due to the high forcing greenhouse gas scenario, including the potential harmful increase in TCO beyond historical values, would prevail.","container-title":"Atmospheric Chemistry and Physics","DOI":"10.5194/acp-22-4557-2022","ISSN":"1680-7316","issue":"7","language":"English","note":"publisher: Copernicus GmbH","page":"4557-4579","source":"Copernicus Online Journals","title":"Stratospheric ozone response to sulfate aerosol and solar dimming climate interventions based on the G6 Geoengineering Model Intercomparison Project (GeoMIP) simulations","volume":"22","author":[{"family":"Tilmes","given":"Simone"},{"family":"Visioni","given":"Daniele"},{"family":"Jones","given":"Andy"},{"family":"Haywood","given":"James"},{"family":"Séférian","given":"Roland"},{"family":"Nabat","given":"Pierre"},{"family":"Boucher","given":"Olivier"},{"family":"Bednarz","given":"Ewa Monica"},{"family":"Niemeier","given":"Ulrike"}],"issued":{"date-parts":[["2022",4,8]]}}}],"schema":"https://github.com/citation-style-language/schema/raw/master/csl-citation.json"} </w:instrText>
      </w:r>
      <w:r w:rsidR="00A65C1B"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(Séférian et al., 2019; Simone Tilmes et al., 2022)</w:t>
      </w:r>
      <w:r w:rsidR="00A65C1B" w:rsidRPr="008E4EFB">
        <w:rPr>
          <w:rFonts w:ascii="Times New Roman" w:hAnsi="Times New Roman" w:cs="Times New Roman"/>
          <w:sz w:val="24"/>
          <w:szCs w:val="24"/>
        </w:rPr>
        <w:fldChar w:fldCharType="end"/>
      </w:r>
      <w:r w:rsidR="00A65C1B" w:rsidRPr="008E4EFB">
        <w:rPr>
          <w:rFonts w:ascii="Times New Roman" w:hAnsi="Times New Roman" w:cs="Times New Roman"/>
          <w:sz w:val="24"/>
          <w:szCs w:val="24"/>
        </w:rPr>
        <w:t>. UKESM1-0-LL and CESM2-WACCM include interactive aerosol microphysical models and inject SO</w:t>
      </w:r>
      <w:r w:rsidR="00A65C1B" w:rsidRPr="008E4EFB">
        <w:rPr>
          <w:rFonts w:ascii="Times New Roman" w:hAnsi="Times New Roman" w:cs="Times New Roman"/>
          <w:sz w:val="24"/>
          <w:szCs w:val="24"/>
          <w:vertAlign w:val="subscript"/>
        </w:rPr>
        <w:t>2</w:t>
      </w:r>
      <w:r w:rsidR="00A65C1B" w:rsidRPr="008E4EFB">
        <w:rPr>
          <w:rFonts w:ascii="Times New Roman" w:hAnsi="Times New Roman" w:cs="Times New Roman"/>
          <w:sz w:val="24"/>
          <w:szCs w:val="24"/>
        </w:rPr>
        <w:t xml:space="preserve"> at specific latitudes and CNRM-ESM2-1 uses an input dataset from the GeoMIP G4 Specified Stratospheric Aerosols (G4SSA) experiment to prescribe the aerosol distribution and optical properties such that the target temperature is reached </w:t>
      </w:r>
      <w:r w:rsidR="00A65C1B"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{"citationID":"satqbVF3","properties":{"formattedCitation":"(S. Tilmes et al., 2015)","plainCitation":"(S. Tilmes et al., 2015)","noteIndex":0},"citationItems":[{"id":3652,"uris":["http://zotero.org/users/3110659/items/RPQIWDW4"],"itemData":{"id":3652,"type":"article-journal","abstract":"A new Geoengineering Model Intercomparison Project (GeoMIP) experiment \"G4 specified stratospheric aerosols\" (short name: G4SSA) is proposed to investigate the impact of stratospheric aerosol geoengineering on atmosphere, chemistry, dynamics, climate, and the environment. In contrast to the earlier G4 GeoMIP experiment, which requires an emission of sulfur dioxide (SO2) into the model, a prescribed aerosol forcing file is provided to the community, to be consistently applied to future model experiments between 2020 and 2100. This stratospheric aerosol distribution, with a total burden of about 2 Tg S has been derived using the ECHAM5-HAM microphysical model, based on a continuous annual tropical emission of 8 Tg SO2 yr−1. A ramp-up of geoengineering in 2020 and a ramp-down in 2070 over a period of 2 years are included in the distribution, while a background aerosol burden should be used for the last 3 decades of the experiment. The performance of this experiment using climate and chemistry models in a multi-model comparison framework will allow us to better understand the impact of geoengineering and its abrupt termination after 50 years in a changing environment. The zonal and monthly mean stratospheric aerosol input data set is available at https://www2.acd.ucar.edu/gcm/geomip-g4-specified-stratospheric-aerosol-data-set.","container-title":"Geoscientific Model Development","DOI":"10.5194/gmd-8-43-2015","ISSN":"1991-959X","issue":"1","language":"English","note":"publisher: Copernicus GmbH","page":"43-49","source":"Copernicus Online Journals","title":"A new Geoengineering Model Intercomparison Project (GeoMIP) experiment designed for climate and chemistry models","volume":"8","author":[{"family":"Tilmes","given":"S."},{"family":"Mills","given":"M. J."},{"family":"Niemeier","given":"U."},{"family":"Schmidt","given":"H."},{"family":"Robock","given":"A."},{"family":"Kravitz","given":"B."},{"family":"Lamarque","given":"J.-F."},{"family":"Pitari","given":"G."},{"family":"English","given":"J. M."}],"issued":{"date-parts":[["2015",1,15]]}}}],"schema":"https://github.com/citation-style-language/schema/raw/master/csl-citation.json"} </w:instrText>
      </w:r>
      <w:r w:rsidR="00A65C1B"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(S. Tilmes et al., 2015)</w:t>
      </w:r>
      <w:r w:rsidR="00A65C1B" w:rsidRPr="008E4EFB">
        <w:rPr>
          <w:rFonts w:ascii="Times New Roman" w:hAnsi="Times New Roman" w:cs="Times New Roman"/>
          <w:sz w:val="24"/>
          <w:szCs w:val="24"/>
        </w:rPr>
        <w:fldChar w:fldCharType="end"/>
      </w:r>
      <w:r w:rsidR="00A65C1B" w:rsidRPr="008E4EFB">
        <w:rPr>
          <w:rFonts w:ascii="Times New Roman" w:hAnsi="Times New Roman" w:cs="Times New Roman"/>
          <w:sz w:val="24"/>
          <w:szCs w:val="24"/>
        </w:rPr>
        <w:t xml:space="preserve">. Despite this, we include CNRM-ESM2 deposition variables for comparison with the other two models. </w:t>
      </w:r>
    </w:p>
    <w:p w14:paraId="73AF475F" w14:textId="77777777" w:rsidR="00A65C1B" w:rsidRPr="008E4EFB" w:rsidRDefault="00A65C1B" w:rsidP="00ED686E">
      <w:pPr>
        <w:spacing w:line="240" w:lineRule="auto"/>
        <w:rPr>
          <w:rFonts w:ascii="Times New Roman" w:hAnsi="Times New Roman" w:cs="Times New Roman"/>
          <w:sz w:val="24"/>
          <w:szCs w:val="24"/>
        </w:rPr>
      </w:pPr>
    </w:p>
    <w:p w14:paraId="7933D215" w14:textId="23DFA7ED" w:rsidR="0098791F" w:rsidRPr="008E4EFB" w:rsidRDefault="00C82F2D" w:rsidP="00ED686E">
      <w:pPr>
        <w:spacing w:line="240" w:lineRule="auto"/>
        <w:rPr>
          <w:rFonts w:ascii="Times New Roman" w:hAnsi="Times New Roman" w:cs="Times New Roman"/>
          <w:i/>
          <w:iCs/>
          <w:sz w:val="24"/>
          <w:szCs w:val="24"/>
        </w:rPr>
      </w:pPr>
      <w:bookmarkStart w:id="49" w:name="_Toc184062958"/>
      <w:r w:rsidRPr="008E4EFB">
        <w:rPr>
          <w:rFonts w:ascii="Times New Roman" w:hAnsi="Times New Roman" w:cs="Times New Roman"/>
          <w:sz w:val="24"/>
          <w:szCs w:val="24"/>
        </w:rPr>
        <w:lastRenderedPageBreak/>
        <w:t xml:space="preserve">Table </w:t>
      </w:r>
      <w:r w:rsidR="00843C51" w:rsidRPr="008E4EFB">
        <w:rPr>
          <w:rFonts w:ascii="Times New Roman" w:hAnsi="Times New Roman" w:cs="Times New Roman"/>
          <w:sz w:val="24"/>
          <w:szCs w:val="24"/>
        </w:rPr>
        <w:t>4</w:t>
      </w:r>
      <w:r w:rsidR="00216FF7">
        <w:rPr>
          <w:rFonts w:ascii="Times New Roman" w:hAnsi="Times New Roman" w:cs="Times New Roman"/>
          <w:sz w:val="24"/>
          <w:szCs w:val="24"/>
        </w:rPr>
        <w:t>.</w:t>
      </w:r>
      <w:r w:rsidR="00216FF7">
        <w:rPr>
          <w:rFonts w:ascii="Times New Roman" w:hAnsi="Times New Roman" w:cs="Times New Roman"/>
          <w:sz w:val="24"/>
          <w:szCs w:val="24"/>
        </w:rPr>
        <w:fldChar w:fldCharType="begin"/>
      </w:r>
      <w:r w:rsidR="00216FF7">
        <w:rPr>
          <w:rFonts w:ascii="Times New Roman" w:hAnsi="Times New Roman" w:cs="Times New Roman"/>
          <w:sz w:val="24"/>
          <w:szCs w:val="24"/>
        </w:rPr>
        <w:instrText xml:space="preserve"> SEQ Table \* ARABIC \s 1 </w:instrText>
      </w:r>
      <w:r w:rsidR="00216FF7">
        <w:rPr>
          <w:rFonts w:ascii="Times New Roman" w:hAnsi="Times New Roman" w:cs="Times New Roman"/>
          <w:sz w:val="24"/>
          <w:szCs w:val="24"/>
        </w:rPr>
        <w:fldChar w:fldCharType="separate"/>
      </w:r>
      <w:r w:rsidR="00216FF7">
        <w:rPr>
          <w:rFonts w:ascii="Times New Roman" w:hAnsi="Times New Roman" w:cs="Times New Roman"/>
          <w:noProof/>
          <w:sz w:val="24"/>
          <w:szCs w:val="24"/>
        </w:rPr>
        <w:t>1</w:t>
      </w:r>
      <w:r w:rsidR="00216FF7">
        <w:rPr>
          <w:rFonts w:ascii="Times New Roman" w:hAnsi="Times New Roman" w:cs="Times New Roman"/>
          <w:sz w:val="24"/>
          <w:szCs w:val="24"/>
        </w:rPr>
        <w:fldChar w:fldCharType="end"/>
      </w:r>
      <w:r w:rsidRPr="008E4EFB">
        <w:rPr>
          <w:rFonts w:ascii="Times New Roman" w:hAnsi="Times New Roman" w:cs="Times New Roman"/>
          <w:sz w:val="24"/>
          <w:szCs w:val="24"/>
        </w:rPr>
        <w:t xml:space="preserve"> Summary of selected CMIP6 model outputs in this work.</w:t>
      </w:r>
      <w:bookmarkEnd w:id="49"/>
    </w:p>
    <w:tbl>
      <w:tblPr>
        <w:tblStyle w:val="PlainTable5"/>
        <w:tblW w:w="9270" w:type="dxa"/>
        <w:tblLayout w:type="fixed"/>
        <w:tblLook w:val="04A0" w:firstRow="1" w:lastRow="0" w:firstColumn="1" w:lastColumn="0" w:noHBand="0" w:noVBand="1"/>
      </w:tblPr>
      <w:tblGrid>
        <w:gridCol w:w="2070"/>
        <w:gridCol w:w="1710"/>
        <w:gridCol w:w="450"/>
        <w:gridCol w:w="990"/>
        <w:gridCol w:w="1350"/>
        <w:gridCol w:w="1350"/>
        <w:gridCol w:w="1350"/>
      </w:tblGrid>
      <w:tr w:rsidR="002D1742" w:rsidRPr="008E4EFB" w14:paraId="0FEB4FEE" w14:textId="77777777" w:rsidTr="008B417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70" w:type="dxa"/>
            <w:tcBorders>
              <w:bottom w:val="single" w:sz="4" w:space="0" w:color="auto"/>
            </w:tcBorders>
          </w:tcPr>
          <w:p w14:paraId="540F55AE" w14:textId="77777777" w:rsidR="0098791F" w:rsidRPr="008E4EFB" w:rsidRDefault="0098791F" w:rsidP="00ED686E">
            <w:pPr>
              <w:ind w:left="360"/>
              <w:jc w:val="center"/>
              <w:rPr>
                <w:rFonts w:ascii="Times New Roman" w:hAnsi="Times New Roman" w:cs="Times New Roman"/>
                <w:sz w:val="24"/>
                <w:szCs w:val="24"/>
              </w:rPr>
            </w:pPr>
            <w:r w:rsidRPr="008E4EFB">
              <w:rPr>
                <w:rFonts w:ascii="Times New Roman" w:hAnsi="Times New Roman" w:cs="Times New Roman"/>
                <w:sz w:val="24"/>
                <w:szCs w:val="24"/>
              </w:rPr>
              <w:t>Earth System Models</w:t>
            </w:r>
          </w:p>
        </w:tc>
        <w:tc>
          <w:tcPr>
            <w:tcW w:w="2160" w:type="dxa"/>
            <w:gridSpan w:val="2"/>
            <w:tcBorders>
              <w:bottom w:val="single" w:sz="4" w:space="0" w:color="auto"/>
            </w:tcBorders>
          </w:tcPr>
          <w:p w14:paraId="6B56DD55" w14:textId="77777777" w:rsidR="0098791F" w:rsidRPr="008E4EFB" w:rsidRDefault="0098791F" w:rsidP="00ED686E">
            <w:pPr>
              <w:ind w:left="3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Horizontal Grid Resolution</w:t>
            </w:r>
          </w:p>
        </w:tc>
        <w:tc>
          <w:tcPr>
            <w:tcW w:w="5040" w:type="dxa"/>
            <w:gridSpan w:val="4"/>
            <w:tcBorders>
              <w:bottom w:val="single" w:sz="4" w:space="0" w:color="auto"/>
            </w:tcBorders>
          </w:tcPr>
          <w:p w14:paraId="7E760002" w14:textId="77777777" w:rsidR="0098791F" w:rsidRPr="008E4EFB" w:rsidRDefault="0098791F" w:rsidP="00ED686E">
            <w:pPr>
              <w:ind w:left="3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Climate Scenario</w:t>
            </w:r>
          </w:p>
        </w:tc>
      </w:tr>
      <w:tr w:rsidR="002D1742" w:rsidRPr="008E4EFB" w14:paraId="0F82B429" w14:textId="77777777" w:rsidTr="008B41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tcBorders>
          </w:tcPr>
          <w:p w14:paraId="51661309" w14:textId="77777777" w:rsidR="0098791F" w:rsidRPr="008E4EFB" w:rsidRDefault="0098791F" w:rsidP="00ED686E">
            <w:pPr>
              <w:ind w:left="360"/>
              <w:rPr>
                <w:rFonts w:ascii="Times New Roman" w:hAnsi="Times New Roman" w:cs="Times New Roman"/>
                <w:sz w:val="24"/>
                <w:szCs w:val="24"/>
              </w:rPr>
            </w:pPr>
          </w:p>
        </w:tc>
        <w:tc>
          <w:tcPr>
            <w:tcW w:w="1710" w:type="dxa"/>
            <w:tcBorders>
              <w:top w:val="single" w:sz="4" w:space="0" w:color="auto"/>
              <w:bottom w:val="single" w:sz="4" w:space="0" w:color="auto"/>
            </w:tcBorders>
            <w:shd w:val="clear" w:color="auto" w:fill="auto"/>
          </w:tcPr>
          <w:p w14:paraId="53F5153D" w14:textId="77777777" w:rsidR="0098791F" w:rsidRPr="008E4EFB" w:rsidRDefault="0098791F" w:rsidP="00ED686E">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40" w:type="dxa"/>
            <w:gridSpan w:val="2"/>
            <w:tcBorders>
              <w:top w:val="single" w:sz="4" w:space="0" w:color="auto"/>
              <w:bottom w:val="single" w:sz="4" w:space="0" w:color="auto"/>
            </w:tcBorders>
            <w:shd w:val="clear" w:color="auto" w:fill="auto"/>
          </w:tcPr>
          <w:p w14:paraId="7C3C9E3F" w14:textId="77777777" w:rsidR="0098791F" w:rsidRPr="008E4EFB" w:rsidRDefault="0098791F" w:rsidP="00ED686E">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Historical</w:t>
            </w:r>
          </w:p>
        </w:tc>
        <w:tc>
          <w:tcPr>
            <w:tcW w:w="1350" w:type="dxa"/>
            <w:tcBorders>
              <w:top w:val="single" w:sz="4" w:space="0" w:color="auto"/>
              <w:bottom w:val="single" w:sz="4" w:space="0" w:color="auto"/>
            </w:tcBorders>
            <w:shd w:val="clear" w:color="auto" w:fill="auto"/>
          </w:tcPr>
          <w:p w14:paraId="3C8FD5F7" w14:textId="77777777" w:rsidR="0098791F" w:rsidRPr="008E4EFB" w:rsidRDefault="0098791F" w:rsidP="00ED686E">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SSP2-4.5</w:t>
            </w:r>
          </w:p>
        </w:tc>
        <w:tc>
          <w:tcPr>
            <w:tcW w:w="1350" w:type="dxa"/>
            <w:tcBorders>
              <w:top w:val="single" w:sz="4" w:space="0" w:color="auto"/>
              <w:bottom w:val="single" w:sz="4" w:space="0" w:color="auto"/>
            </w:tcBorders>
            <w:shd w:val="clear" w:color="auto" w:fill="auto"/>
          </w:tcPr>
          <w:p w14:paraId="751040F7" w14:textId="77777777" w:rsidR="0098791F" w:rsidRPr="008E4EFB" w:rsidRDefault="0098791F" w:rsidP="00ED686E">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SSP5-8.5</w:t>
            </w:r>
          </w:p>
        </w:tc>
        <w:tc>
          <w:tcPr>
            <w:tcW w:w="1350" w:type="dxa"/>
            <w:tcBorders>
              <w:top w:val="single" w:sz="4" w:space="0" w:color="auto"/>
              <w:bottom w:val="single" w:sz="4" w:space="0" w:color="auto"/>
            </w:tcBorders>
            <w:shd w:val="clear" w:color="auto" w:fill="auto"/>
          </w:tcPr>
          <w:p w14:paraId="0B993493" w14:textId="77777777" w:rsidR="0098791F" w:rsidRPr="008E4EFB" w:rsidRDefault="0098791F" w:rsidP="00ED686E">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G6sulfur</w:t>
            </w:r>
          </w:p>
        </w:tc>
      </w:tr>
      <w:tr w:rsidR="002D1742" w:rsidRPr="008E4EFB" w14:paraId="2D927B07" w14:textId="77777777" w:rsidTr="008B4175">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tcBorders>
            <w:shd w:val="clear" w:color="auto" w:fill="E7E6E6" w:themeFill="background2"/>
          </w:tcPr>
          <w:p w14:paraId="24464AAF" w14:textId="77777777" w:rsidR="0098791F" w:rsidRPr="008E4EFB" w:rsidRDefault="0098791F" w:rsidP="00ED686E">
            <w:pPr>
              <w:ind w:left="360"/>
              <w:jc w:val="center"/>
              <w:rPr>
                <w:rFonts w:ascii="Times New Roman" w:hAnsi="Times New Roman" w:cs="Times New Roman"/>
                <w:sz w:val="24"/>
                <w:szCs w:val="24"/>
              </w:rPr>
            </w:pPr>
            <w:r w:rsidRPr="008E4EFB">
              <w:rPr>
                <w:rFonts w:ascii="Times New Roman" w:hAnsi="Times New Roman" w:cs="Times New Roman"/>
                <w:sz w:val="24"/>
                <w:szCs w:val="24"/>
              </w:rPr>
              <w:t>CESM2-WACCM</w:t>
            </w:r>
          </w:p>
        </w:tc>
        <w:tc>
          <w:tcPr>
            <w:tcW w:w="1710" w:type="dxa"/>
            <w:tcBorders>
              <w:top w:val="single" w:sz="4" w:space="0" w:color="auto"/>
            </w:tcBorders>
            <w:shd w:val="clear" w:color="auto" w:fill="E7E6E6" w:themeFill="background2"/>
          </w:tcPr>
          <w:p w14:paraId="37ABE17C"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192x288</w:t>
            </w:r>
          </w:p>
        </w:tc>
        <w:tc>
          <w:tcPr>
            <w:tcW w:w="1440" w:type="dxa"/>
            <w:gridSpan w:val="2"/>
            <w:tcBorders>
              <w:top w:val="single" w:sz="4" w:space="0" w:color="auto"/>
            </w:tcBorders>
            <w:shd w:val="clear" w:color="auto" w:fill="E7E6E6" w:themeFill="background2"/>
          </w:tcPr>
          <w:p w14:paraId="57F61794"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r1p1i1f1</w:t>
            </w:r>
          </w:p>
        </w:tc>
        <w:tc>
          <w:tcPr>
            <w:tcW w:w="1350" w:type="dxa"/>
            <w:tcBorders>
              <w:top w:val="single" w:sz="4" w:space="0" w:color="auto"/>
            </w:tcBorders>
            <w:shd w:val="clear" w:color="auto" w:fill="E7E6E6" w:themeFill="background2"/>
          </w:tcPr>
          <w:p w14:paraId="16F37830"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r1p1i1f1</w:t>
            </w:r>
          </w:p>
        </w:tc>
        <w:tc>
          <w:tcPr>
            <w:tcW w:w="1350" w:type="dxa"/>
            <w:tcBorders>
              <w:top w:val="single" w:sz="4" w:space="0" w:color="auto"/>
            </w:tcBorders>
            <w:shd w:val="clear" w:color="auto" w:fill="E7E6E6" w:themeFill="background2"/>
          </w:tcPr>
          <w:p w14:paraId="155680BD"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r1p1i1f1</w:t>
            </w:r>
          </w:p>
        </w:tc>
        <w:tc>
          <w:tcPr>
            <w:tcW w:w="1350" w:type="dxa"/>
            <w:tcBorders>
              <w:top w:val="single" w:sz="4" w:space="0" w:color="auto"/>
            </w:tcBorders>
            <w:shd w:val="clear" w:color="auto" w:fill="E7E6E6" w:themeFill="background2"/>
          </w:tcPr>
          <w:p w14:paraId="32958816"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r1p1i1f2</w:t>
            </w:r>
          </w:p>
        </w:tc>
      </w:tr>
      <w:tr w:rsidR="002D1742" w:rsidRPr="008E4EFB" w14:paraId="3FDBFF2E" w14:textId="77777777" w:rsidTr="008B41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0" w:type="dxa"/>
          </w:tcPr>
          <w:p w14:paraId="67867682" w14:textId="77777777" w:rsidR="0098791F" w:rsidRPr="008E4EFB" w:rsidRDefault="0098791F" w:rsidP="00ED686E">
            <w:pPr>
              <w:ind w:left="360"/>
              <w:jc w:val="center"/>
              <w:rPr>
                <w:rFonts w:ascii="Times New Roman" w:hAnsi="Times New Roman" w:cs="Times New Roman"/>
                <w:sz w:val="24"/>
                <w:szCs w:val="24"/>
              </w:rPr>
            </w:pPr>
            <w:r w:rsidRPr="008E4EFB">
              <w:rPr>
                <w:rFonts w:ascii="Times New Roman" w:hAnsi="Times New Roman" w:cs="Times New Roman"/>
                <w:sz w:val="24"/>
                <w:szCs w:val="24"/>
              </w:rPr>
              <w:t>CNRM-ESM2-1</w:t>
            </w:r>
          </w:p>
        </w:tc>
        <w:tc>
          <w:tcPr>
            <w:tcW w:w="1710" w:type="dxa"/>
            <w:shd w:val="clear" w:color="auto" w:fill="FFFFFF" w:themeFill="background1"/>
          </w:tcPr>
          <w:p w14:paraId="2C7D578F" w14:textId="77777777" w:rsidR="0098791F" w:rsidRPr="008E4EFB" w:rsidRDefault="0098791F" w:rsidP="00ED686E">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128x256</w:t>
            </w:r>
          </w:p>
        </w:tc>
        <w:tc>
          <w:tcPr>
            <w:tcW w:w="1440" w:type="dxa"/>
            <w:gridSpan w:val="2"/>
            <w:shd w:val="clear" w:color="auto" w:fill="FFFFFF" w:themeFill="background1"/>
          </w:tcPr>
          <w:p w14:paraId="5F94C5DD" w14:textId="77777777" w:rsidR="0098791F" w:rsidRPr="008E4EFB" w:rsidRDefault="0098791F" w:rsidP="00ED686E">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r1p1i1f2</w:t>
            </w:r>
          </w:p>
        </w:tc>
        <w:tc>
          <w:tcPr>
            <w:tcW w:w="1350" w:type="dxa"/>
            <w:shd w:val="clear" w:color="auto" w:fill="FFFFFF" w:themeFill="background1"/>
          </w:tcPr>
          <w:p w14:paraId="6977A2F9" w14:textId="77777777" w:rsidR="0098791F" w:rsidRPr="008E4EFB" w:rsidRDefault="0098791F" w:rsidP="00ED686E">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r1p1i1f2</w:t>
            </w:r>
          </w:p>
        </w:tc>
        <w:tc>
          <w:tcPr>
            <w:tcW w:w="1350" w:type="dxa"/>
            <w:shd w:val="clear" w:color="auto" w:fill="FFFFFF" w:themeFill="background1"/>
          </w:tcPr>
          <w:p w14:paraId="2DB415AE" w14:textId="77777777" w:rsidR="0098791F" w:rsidRPr="008E4EFB" w:rsidRDefault="0098791F" w:rsidP="00ED686E">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r1p1i1f2</w:t>
            </w:r>
          </w:p>
        </w:tc>
        <w:tc>
          <w:tcPr>
            <w:tcW w:w="1350" w:type="dxa"/>
            <w:shd w:val="clear" w:color="auto" w:fill="FFFFFF" w:themeFill="background1"/>
          </w:tcPr>
          <w:p w14:paraId="70B08B46" w14:textId="77777777" w:rsidR="0098791F" w:rsidRPr="008E4EFB" w:rsidRDefault="0098791F" w:rsidP="00ED686E">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r1p1i1f2</w:t>
            </w:r>
          </w:p>
        </w:tc>
      </w:tr>
      <w:tr w:rsidR="002D1742" w:rsidRPr="008E4EFB" w14:paraId="301B9C3C" w14:textId="77777777" w:rsidTr="008B4175">
        <w:tc>
          <w:tcPr>
            <w:cnfStyle w:val="001000000000" w:firstRow="0" w:lastRow="0" w:firstColumn="1" w:lastColumn="0" w:oddVBand="0" w:evenVBand="0" w:oddHBand="0" w:evenHBand="0" w:firstRowFirstColumn="0" w:firstRowLastColumn="0" w:lastRowFirstColumn="0" w:lastRowLastColumn="0"/>
            <w:tcW w:w="2070" w:type="dxa"/>
            <w:shd w:val="clear" w:color="auto" w:fill="E7E6E6" w:themeFill="background2"/>
          </w:tcPr>
          <w:p w14:paraId="75D96033" w14:textId="77777777" w:rsidR="0098791F" w:rsidRPr="008E4EFB" w:rsidRDefault="0098791F" w:rsidP="00ED686E">
            <w:pPr>
              <w:ind w:left="360"/>
              <w:jc w:val="center"/>
              <w:rPr>
                <w:rFonts w:ascii="Times New Roman" w:hAnsi="Times New Roman" w:cs="Times New Roman"/>
                <w:sz w:val="24"/>
                <w:szCs w:val="24"/>
              </w:rPr>
            </w:pPr>
            <w:r w:rsidRPr="008E4EFB">
              <w:rPr>
                <w:rFonts w:ascii="Times New Roman" w:hAnsi="Times New Roman" w:cs="Times New Roman"/>
                <w:sz w:val="24"/>
                <w:szCs w:val="24"/>
              </w:rPr>
              <w:t>UKESM1-0-LL</w:t>
            </w:r>
          </w:p>
        </w:tc>
        <w:tc>
          <w:tcPr>
            <w:tcW w:w="1710" w:type="dxa"/>
            <w:shd w:val="clear" w:color="auto" w:fill="E7E6E6" w:themeFill="background2"/>
          </w:tcPr>
          <w:p w14:paraId="2F4C7239"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144x192</w:t>
            </w:r>
          </w:p>
        </w:tc>
        <w:tc>
          <w:tcPr>
            <w:tcW w:w="1440" w:type="dxa"/>
            <w:gridSpan w:val="2"/>
            <w:shd w:val="clear" w:color="auto" w:fill="E7E6E6" w:themeFill="background2"/>
          </w:tcPr>
          <w:p w14:paraId="22C6CB8D"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r1p1i1f2</w:t>
            </w:r>
          </w:p>
        </w:tc>
        <w:tc>
          <w:tcPr>
            <w:tcW w:w="1350" w:type="dxa"/>
            <w:shd w:val="clear" w:color="auto" w:fill="E7E6E6" w:themeFill="background2"/>
          </w:tcPr>
          <w:p w14:paraId="3F7BA7B4"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r1p1i1f2</w:t>
            </w:r>
          </w:p>
        </w:tc>
        <w:tc>
          <w:tcPr>
            <w:tcW w:w="1350" w:type="dxa"/>
            <w:shd w:val="clear" w:color="auto" w:fill="E7E6E6" w:themeFill="background2"/>
          </w:tcPr>
          <w:p w14:paraId="05DD892C"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r1p1i1f2</w:t>
            </w:r>
          </w:p>
        </w:tc>
        <w:tc>
          <w:tcPr>
            <w:tcW w:w="1350" w:type="dxa"/>
            <w:shd w:val="clear" w:color="auto" w:fill="E7E6E6" w:themeFill="background2"/>
          </w:tcPr>
          <w:p w14:paraId="1EE41C3A" w14:textId="77777777" w:rsidR="0098791F" w:rsidRPr="008E4EFB" w:rsidRDefault="0098791F" w:rsidP="00ED686E">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4EFB">
              <w:rPr>
                <w:rFonts w:ascii="Times New Roman" w:hAnsi="Times New Roman" w:cs="Times New Roman"/>
                <w:sz w:val="24"/>
                <w:szCs w:val="24"/>
              </w:rPr>
              <w:t>r1p1i1f2</w:t>
            </w:r>
          </w:p>
        </w:tc>
      </w:tr>
    </w:tbl>
    <w:p w14:paraId="2E45885C" w14:textId="77777777" w:rsidR="0098791F" w:rsidRPr="008E4EFB" w:rsidRDefault="0098791F" w:rsidP="00ED686E">
      <w:pPr>
        <w:spacing w:line="240" w:lineRule="auto"/>
        <w:ind w:left="360"/>
        <w:rPr>
          <w:rFonts w:ascii="Times New Roman" w:hAnsi="Times New Roman" w:cs="Times New Roman"/>
          <w:sz w:val="24"/>
          <w:szCs w:val="24"/>
        </w:rPr>
      </w:pPr>
    </w:p>
    <w:p w14:paraId="5D2AF18B" w14:textId="77777777" w:rsidR="00574360" w:rsidRDefault="00574360" w:rsidP="00DC4266">
      <w:pPr>
        <w:spacing w:after="0" w:line="360" w:lineRule="auto"/>
        <w:rPr>
          <w:rFonts w:ascii="Times New Roman" w:hAnsi="Times New Roman" w:cs="Times New Roman"/>
          <w:sz w:val="24"/>
          <w:szCs w:val="24"/>
        </w:rPr>
      </w:pPr>
    </w:p>
    <w:p w14:paraId="21944F7C" w14:textId="1EB86C22" w:rsidR="00574360" w:rsidRPr="000F3C0B" w:rsidRDefault="0098791F" w:rsidP="000F3C0B">
      <w:pPr>
        <w:spacing w:after="0" w:line="360" w:lineRule="auto"/>
        <w:rPr>
          <w:rFonts w:ascii="Times New Roman" w:hAnsi="Times New Roman" w:cs="Times New Roman"/>
          <w:sz w:val="24"/>
          <w:szCs w:val="24"/>
        </w:rPr>
      </w:pPr>
      <w:r w:rsidRPr="000F3C0B">
        <w:rPr>
          <w:rFonts w:ascii="Times New Roman" w:hAnsi="Times New Roman" w:cs="Times New Roman"/>
          <w:sz w:val="24"/>
          <w:szCs w:val="24"/>
        </w:rPr>
        <w:t xml:space="preserve">The 13 ecoregions were defined by clustering climate, soil, and topography types and fitting the categories to the International Geosphere-Biosphere Programme (IGBP) ecoregion definitions </w:t>
      </w:r>
      <w:r w:rsidRPr="000F3C0B">
        <w:rPr>
          <w:rFonts w:ascii="Times New Roman" w:hAnsi="Times New Roman" w:cs="Times New Roman"/>
          <w:sz w:val="24"/>
          <w:szCs w:val="24"/>
        </w:rPr>
        <w:fldChar w:fldCharType="begin"/>
      </w:r>
      <w:r w:rsidR="00652E13" w:rsidRPr="000F3C0B">
        <w:rPr>
          <w:rFonts w:ascii="Times New Roman" w:hAnsi="Times New Roman" w:cs="Times New Roman"/>
          <w:sz w:val="24"/>
          <w:szCs w:val="24"/>
        </w:rPr>
        <w:instrText xml:space="preserve"> ADDIN ZOTERO_ITEM CSL_CITATION {"citationID":"4wRjaAc2","properties":{"formattedCitation":"(Hargrove et al., 2006; Hargrove &amp; Hoffman, 2004; Townshend, 1992)","plainCitation":"(Hargrove et al., 2006; Hargrove &amp; Hoffman, 2004; Townshend, 1992)","noteIndex":0},"citationItems":[{"id":2170,"uris":["http://zotero.org/users/3110659/items/R5V7EAAT"],"itemData":{"id":2170,"type":"article-journal","abstract":"We present Mapcurves, a quantitative goodness-of-fit (GOF) method that unambiguously shows the degree of spatial concordance between two or more categorical maps. Mapcurves graphically and quantitatively evaluate the degree of fit among any number of maps and quantify a GOF for each polygon, as well as the entire map. The Mapcurve method indicates a perfect fit even if all polygons in one map are comprised of unique sets of the polygons in another map, if the coincidence among map categories is absolute. It is not necessary to interpret (or even know) legend descriptors for the categories in the maps to be compared, since the degree of fit in the spatial overlay alone forms the basis for the comparison. This feature makes Mapcurves ideal for comparing maps derived from remotely sensed images. A translation table is provided for the categories in each map as an output. Since the comparison is category-based rather than cell-based, the GOF is resolution-independent. Mapcurves can be applied either to entire map categories or to individual raster patches or vector polygons. Mapcurves also have applications for quantifying the spatial uncertainty of particular map features.","container-title":"Journal of Geographical Systems","DOI":"10.1007/s10109-006-0025-x","ISSN":"1435-5949","issue":"2","journalAbbreviation":"J Geograph Syst","language":"en","page":"187","source":"Springer Link","title":"Mapcurves: a quantitative method for comparing categorical maps","title-short":"Mapcurves","volume":"8","author":[{"family":"Hargrove","given":"William W."},{"family":"Hoffman","given":"Forrest M."},{"family":"Hessburg","given":"Paul F."}],"issued":{"date-parts":[["2006",5,12]]}}},{"id":2168,"uris":["http://zotero.org/users/3110659/items/N7F5RGRE"],"itemData":{"id":2168,"type":"article-journal","abstract":"Multivariate clustering based on fine spatial resolution maps of elevation, temperature, precipitation, soil characteristics, and solar inputs has been used at several specified levels of division to produce a spectrum of quantitative ecoregion maps for the conterminous United States. The coarse ecoregion divisions accurately capture intuitively-understood regional environmental differences, whereas the finer divisions highlight local condition gradients, ecotones, and clines. Such statistically generated ecoregions can be produced based on user-selected continuous variables, allowing customized regions to be delineated for any specific problem. By creating an objective ecoregion classification, the ecoregion concept is removed from the limitations of human subjectivity, making possible a new array of ecologically useful derivative products. A red–green–blue visualization based on principal components analysis of ecoregion centroids indicates with color the relative combination of environmental conditions found within each ecoregion. Multiple geographic areas can be classified into a single common set of quantitative ecoregions to provide a basis for comparison, or maps of a single area through time can be classified to portray climatic or environmental changes geographically in terms of current conditions. Quantified representativeness can characterize borders between ecoregions as gradual, sharp, or of changing character along their length. Similarity of any ecoregion to all other ecoregions can be quantified and displayed as a “representativeness” map. The representativeness of an existing spatial array of sample locations or study sites can be mapped relative to a set of quantitative ecoregions, suggesting locations for additional samples or sites. In addition, the shape of Hutchinsonian niches in environment space can be defined if a multivariate range map of species occurrence is available.","container-title":"Environmental Management","DOI":"10.1007/s00267-003-1084-0","ISSN":"1432-1009","issue":"1","journalAbbreviation":"Environmental Management","language":"en","page":"S39-S60","source":"Springer Link","title":"Potential of Multivariate Quantitative Methods for Delineation and Visualization of Ecoregions","volume":"34","author":[{"family":"Hargrove","given":"William W."},{"family":"Hoffman","given":"Forrest M."}],"issued":{"date-parts":[["2004",4,1]]}}},{"id":2167,"uris":["http://zotero.org/users/3110659/items/6JJ2IQSR"],"itemData":{"id":2167,"type":"article-journal","abstract":"AGRICULTURAL SCIENCE AND TECHNOLOGY INFORMATION","container-title":"Global Change Report (Sweden)","ISSN":"0284-8015","language":"English","note":"publisher: IGBP Secretariat","source":"agris.fao.org","title":"Improved global data for land applications. A proposal for a new high resolution data set. Report of the Land Cover Working Group of IGBP-DIS","URL":"https://scholar.google.com/scholar_lookup?title=Improved+global+data+for+land+applications.+A+proposal+for+a+new+high+resolution+data+set.+Report+of+the+Land+Cover+Working+Group+of+IGBP-DIS&amp;author=Townshend%2C+J.R.G.+%28ed.%29&amp;publication_year=1992","author":[{"family":"Townshend","given":"J. R. G."}],"accessed":{"date-parts":[["2022",7,27]]},"issued":{"date-parts":[["1992"]]}}}],"schema":"https://github.com/citation-style-language/schema/raw/master/csl-citation.json"} </w:instrText>
      </w:r>
      <w:r w:rsidRPr="000F3C0B">
        <w:rPr>
          <w:rFonts w:ascii="Times New Roman" w:hAnsi="Times New Roman" w:cs="Times New Roman"/>
          <w:sz w:val="24"/>
          <w:szCs w:val="24"/>
        </w:rPr>
        <w:fldChar w:fldCharType="separate"/>
      </w:r>
      <w:r w:rsidR="00B864BC" w:rsidRPr="000F3C0B">
        <w:rPr>
          <w:rFonts w:ascii="Times New Roman" w:hAnsi="Times New Roman" w:cs="Times New Roman"/>
          <w:sz w:val="24"/>
          <w:szCs w:val="24"/>
        </w:rPr>
        <w:t>(Hargrove et al., 2006; Hargrove &amp; Hoffman, 2004; Townshend, 1992)</w:t>
      </w:r>
      <w:r w:rsidRPr="000F3C0B">
        <w:rPr>
          <w:rFonts w:ascii="Times New Roman" w:hAnsi="Times New Roman" w:cs="Times New Roman"/>
          <w:sz w:val="24"/>
          <w:szCs w:val="24"/>
        </w:rPr>
        <w:fldChar w:fldCharType="end"/>
      </w:r>
      <w:r w:rsidRPr="000F3C0B">
        <w:rPr>
          <w:rFonts w:ascii="Times New Roman" w:hAnsi="Times New Roman" w:cs="Times New Roman"/>
          <w:sz w:val="24"/>
          <w:szCs w:val="24"/>
        </w:rPr>
        <w:t xml:space="preserve">, following Yang et al. </w:t>
      </w:r>
      <w:r w:rsidRPr="000F3C0B">
        <w:rPr>
          <w:rFonts w:ascii="Times New Roman" w:hAnsi="Times New Roman" w:cs="Times New Roman"/>
          <w:sz w:val="24"/>
          <w:szCs w:val="24"/>
        </w:rPr>
        <w:fldChar w:fldCharType="begin"/>
      </w:r>
      <w:r w:rsidRPr="000F3C0B">
        <w:rPr>
          <w:rFonts w:ascii="Times New Roman" w:hAnsi="Times New Roman" w:cs="Times New Roman"/>
          <w:sz w:val="24"/>
          <w:szCs w:val="24"/>
        </w:rPr>
        <w:instrText xml:space="preserve"> ADDIN ZOTERO_ITEM CSL_CITATION {"citationID":"QX5IvZrC","properties":{"formattedCitation":"(Yang et al., 2020)","plainCitation":"(Yang et al., 2020)","dontUpdate":true,"noteIndex":0},"citationItems":[{"id":2165,"uris":["http://zotero.org/users/3110659/items/JIQNDBS2"],"itemData":{"id":2165,"type":"article-journal","abstract":"Geoengineering by injecting sulfur dioxide (SO2) into the lower stratosphere has been suggested to reduce anthropogenically induced warming. While impacts of such geoengineering on climate have been investigated in recent decades, few modeling studies have considered biogeochemical feedbacks resulting from such intervention. This study comprehensively characterizes responses and feedbacks of terrestrial ecosystems, from an ensemble of coupled high-resolution Earth system model climate change simulations, under the highest standard greenhouse gas scenario with an extreme geoengineering mitigation strategy. Under this strategy, temperature increases beyond 2020 levels due to elevated anthropogenic carbon dioxide (CO2) were completely offset by the SO2 injection. Carbon cycle feedbacks can alter the trajectory of atmospheric CO2 levels by storing or releasing additional carbon on land and in the ocean, thus moderating or amplifying climate change. We assess terrestrial biogeochemical feedbacks to climate in response to geoengineering, using model output from the Stratospheric Aerosol Geoengineering Large Ensemble (GLENS) project. Results indicate terrestrial ecosystems become a stronger carbon sink globally because of lower ecosystem respiration and diminished disturbance effects under geoengineering. An additional 79 Pg C would be stored on land by the end of the twenty-first century, yielding as much as a 4% reduction in atmospheric CO2 mole fraction without marine biogeochemical feedbacks, compared to the high greenhouse gas scenario without geoengineering.","container-title":"Environmental Research Letters","DOI":"10.1088/1748-9326/abacf7","ISSN":"1748-9326","issue":"10","journalAbbreviation":"Environ. Res. Lett.","language":"en","note":"publisher: IOP Publishing","page":"104043","source":"Institute of Physics","title":"Assessing terrestrial biogeochemical feedbacks in a strategically geoengineered climate","volume":"15","author":[{"family":"Yang","given":"Cheng-En"},{"family":"Hoffman","given":"Forrest M."},{"family":"Ricciuto","given":"Daniel M."},{"family":"Tilmes","given":"Simone"},{"family":"Xia","given":"Lili"},{"family":"MacMartin","given":"Douglas G."},{"family":"Kravitz","given":"Ben"},{"family":"Richter","given":"Jadwiga H."},{"family":"Mills","given":"Michael"},{"family":"Fu","given":"Joshua S."}],"issued":{"date-parts":[["2020",9]]}}}],"schema":"https://github.com/citation-style-language/schema/raw/master/csl-citation.json"} </w:instrText>
      </w:r>
      <w:r w:rsidRPr="000F3C0B">
        <w:rPr>
          <w:rFonts w:ascii="Times New Roman" w:hAnsi="Times New Roman" w:cs="Times New Roman"/>
          <w:sz w:val="24"/>
          <w:szCs w:val="24"/>
        </w:rPr>
        <w:fldChar w:fldCharType="separate"/>
      </w:r>
      <w:r w:rsidRPr="000F3C0B">
        <w:rPr>
          <w:rFonts w:ascii="Times New Roman" w:hAnsi="Times New Roman" w:cs="Times New Roman"/>
          <w:sz w:val="24"/>
          <w:szCs w:val="24"/>
        </w:rPr>
        <w:t>(2020)</w:t>
      </w:r>
      <w:r w:rsidRPr="000F3C0B">
        <w:rPr>
          <w:rFonts w:ascii="Times New Roman" w:hAnsi="Times New Roman" w:cs="Times New Roman"/>
          <w:sz w:val="24"/>
          <w:szCs w:val="24"/>
        </w:rPr>
        <w:fldChar w:fldCharType="end"/>
      </w:r>
      <w:r w:rsidRPr="000F3C0B">
        <w:rPr>
          <w:rFonts w:ascii="Times New Roman" w:hAnsi="Times New Roman" w:cs="Times New Roman"/>
          <w:sz w:val="24"/>
          <w:szCs w:val="24"/>
        </w:rPr>
        <w:t xml:space="preserve">. All analysis was done with R </w:t>
      </w:r>
      <w:r w:rsidRPr="000F3C0B">
        <w:rPr>
          <w:rFonts w:ascii="Times New Roman" w:hAnsi="Times New Roman" w:cs="Times New Roman"/>
          <w:sz w:val="24"/>
          <w:szCs w:val="24"/>
        </w:rPr>
        <w:fldChar w:fldCharType="begin"/>
      </w:r>
      <w:r w:rsidRPr="000F3C0B">
        <w:rPr>
          <w:rFonts w:ascii="Times New Roman" w:hAnsi="Times New Roman" w:cs="Times New Roman"/>
          <w:sz w:val="24"/>
          <w:szCs w:val="24"/>
        </w:rPr>
        <w:instrText xml:space="preserve"> ADDIN ZOTERO_ITEM CSL_CITATION {"citationID":"CFu5pGhD","properties":{"formattedCitation":"(R Core Team 2022)","plainCitation":"(R Core Team 2022)","dontUpdate":true,"noteIndex":0},"citationItems":[{"id":1131,"uris":["http://zotero.org/users/3110659/items/MCWFYDLN"],"itemData":{"id":1131,"type":"software","publisher":"R Foundation for Statistical Computing","title":"R: A Language and Environment for Statistical Computing","URL":"http://R-project.org/","version":"3.6.0","author":[{"family":"R Core Team","given":""}],"accessed":{"date-parts":[["2019",9,23]]},"issued":{"date-parts":[["2022"]]}}}],"schema":"https://github.com/citation-style-language/schema/raw/master/csl-citation.json"} </w:instrText>
      </w:r>
      <w:r w:rsidRPr="000F3C0B">
        <w:rPr>
          <w:rFonts w:ascii="Times New Roman" w:hAnsi="Times New Roman" w:cs="Times New Roman"/>
          <w:sz w:val="24"/>
          <w:szCs w:val="24"/>
        </w:rPr>
        <w:fldChar w:fldCharType="separate"/>
      </w:r>
      <w:r w:rsidRPr="000F3C0B">
        <w:rPr>
          <w:rFonts w:ascii="Times New Roman" w:hAnsi="Times New Roman" w:cs="Times New Roman"/>
          <w:sz w:val="24"/>
          <w:szCs w:val="24"/>
        </w:rPr>
        <w:t>(R Core Team 2022; available at https://www.r-project.org/)</w:t>
      </w:r>
      <w:r w:rsidRPr="000F3C0B">
        <w:rPr>
          <w:rFonts w:ascii="Times New Roman" w:hAnsi="Times New Roman" w:cs="Times New Roman"/>
          <w:sz w:val="24"/>
          <w:szCs w:val="24"/>
        </w:rPr>
        <w:fldChar w:fldCharType="end"/>
      </w:r>
      <w:r w:rsidRPr="000F3C0B">
        <w:rPr>
          <w:rFonts w:ascii="Times New Roman" w:hAnsi="Times New Roman" w:cs="Times New Roman"/>
          <w:sz w:val="24"/>
          <w:szCs w:val="24"/>
        </w:rPr>
        <w:t xml:space="preserve"> </w:t>
      </w:r>
      <w:r w:rsidRPr="000F3C0B">
        <w:rPr>
          <w:rFonts w:ascii="Times New Roman" w:hAnsi="Times New Roman" w:cs="Times New Roman"/>
          <w:sz w:val="24"/>
          <w:szCs w:val="24"/>
          <w:lang w:eastAsia="zh-TW"/>
        </w:rPr>
        <w:t xml:space="preserve">and Climate Data Operators (CDO, </w:t>
      </w:r>
      <w:r w:rsidRPr="000F3C0B">
        <w:rPr>
          <w:rFonts w:ascii="Times New Roman" w:hAnsi="Times New Roman" w:cs="Times New Roman"/>
          <w:sz w:val="24"/>
          <w:szCs w:val="24"/>
        </w:rPr>
        <w:fldChar w:fldCharType="begin"/>
      </w:r>
      <w:r w:rsidRPr="000F3C0B">
        <w:rPr>
          <w:rFonts w:ascii="Times New Roman" w:hAnsi="Times New Roman" w:cs="Times New Roman"/>
          <w:sz w:val="24"/>
          <w:szCs w:val="24"/>
          <w:lang w:eastAsia="zh-TW"/>
        </w:rPr>
        <w:instrText xml:space="preserve"> ADDIN ZOTERO_ITEM CSL_CITATION {"citationID":"gm2dF2wf","properties":{"formattedCitation":"(Schulzweida, 2021)","plainCitation":"(Schulzweida, 2021)","dontUpdate":true,"noteIndex":0},"citationItems":[{"id":2163,"uris":["http://zotero.org/users/3110659/items/SU2EEJPZ"],"itemData":{"id":2163,"type":"article-journal","abstract":"The Climate Data Operator (CDO) software is a collection of operators for standard processing of climate and forecast model data. The operators include simple statistical and arithmetic functions, data selection, subsampling tools, and spatial interpolation.","DOI":"10.5281/zenodo.5614769","language":"eng","note":"publisher: Zenodo","source":"Zenodo","title":"CDO User Guide","URL":"https://zenodo.org/record/5614769","author":[{"family":"Schulzweida","given":"Uwe"}],"accessed":{"date-parts":[["2022",7,27]]},"issued":{"date-parts":[["2021",10]]}}}],"schema":"https://github.com/citation-style-language/schema/raw/master/csl-citation.json"} </w:instrText>
      </w:r>
      <w:r w:rsidRPr="000F3C0B">
        <w:rPr>
          <w:rFonts w:ascii="Times New Roman" w:hAnsi="Times New Roman" w:cs="Times New Roman"/>
          <w:sz w:val="24"/>
          <w:szCs w:val="24"/>
        </w:rPr>
        <w:fldChar w:fldCharType="separate"/>
      </w:r>
      <w:r w:rsidRPr="000F3C0B">
        <w:rPr>
          <w:rFonts w:ascii="Times New Roman" w:hAnsi="Times New Roman" w:cs="Times New Roman"/>
          <w:sz w:val="24"/>
          <w:szCs w:val="24"/>
          <w:lang w:eastAsia="zh-TW"/>
        </w:rPr>
        <w:t>Schulzweida, 2021; a</w:t>
      </w:r>
      <w:r w:rsidRPr="000F3C0B">
        <w:rPr>
          <w:rFonts w:ascii="Times New Roman" w:hAnsi="Times New Roman" w:cs="Times New Roman"/>
          <w:sz w:val="24"/>
          <w:szCs w:val="24"/>
        </w:rPr>
        <w:t>vailable at https://code.mpimet.mpg.de/projects/cdo</w:t>
      </w:r>
      <w:r w:rsidRPr="000F3C0B">
        <w:rPr>
          <w:rFonts w:ascii="Times New Roman" w:hAnsi="Times New Roman" w:cs="Times New Roman"/>
          <w:sz w:val="24"/>
          <w:szCs w:val="24"/>
          <w:lang w:eastAsia="zh-TW"/>
        </w:rPr>
        <w:t>)</w:t>
      </w:r>
      <w:r w:rsidRPr="000F3C0B">
        <w:rPr>
          <w:rFonts w:ascii="Times New Roman" w:hAnsi="Times New Roman" w:cs="Times New Roman"/>
          <w:sz w:val="24"/>
          <w:szCs w:val="24"/>
        </w:rPr>
        <w:fldChar w:fldCharType="end"/>
      </w:r>
      <w:r w:rsidRPr="000F3C0B">
        <w:rPr>
          <w:rFonts w:ascii="Times New Roman" w:hAnsi="Times New Roman" w:cs="Times New Roman"/>
          <w:sz w:val="24"/>
          <w:szCs w:val="24"/>
        </w:rPr>
        <w:t>.</w:t>
      </w:r>
    </w:p>
    <w:p w14:paraId="10F40EF5" w14:textId="1174D473" w:rsidR="008B4175" w:rsidRPr="000F3C0B" w:rsidRDefault="008B4175" w:rsidP="000F3C0B">
      <w:pPr>
        <w:pStyle w:val="Style3"/>
        <w:numPr>
          <w:ilvl w:val="1"/>
          <w:numId w:val="29"/>
        </w:numPr>
        <w:spacing w:before="0" w:line="360" w:lineRule="auto"/>
        <w:rPr>
          <w:rFonts w:cs="Times New Roman"/>
          <w:szCs w:val="24"/>
        </w:rPr>
      </w:pPr>
      <w:bookmarkStart w:id="50" w:name="_Toc179917981"/>
      <w:r w:rsidRPr="000F3C0B">
        <w:rPr>
          <w:rFonts w:cs="Times New Roman"/>
          <w:szCs w:val="24"/>
        </w:rPr>
        <w:t>Results</w:t>
      </w:r>
      <w:bookmarkEnd w:id="50"/>
    </w:p>
    <w:p w14:paraId="0E805C06" w14:textId="3F78458C" w:rsidR="0098791F" w:rsidRDefault="0098791F" w:rsidP="000F3C0B">
      <w:pPr>
        <w:spacing w:after="0" w:line="360" w:lineRule="auto"/>
        <w:rPr>
          <w:rFonts w:ascii="Times New Roman" w:hAnsi="Times New Roman" w:cs="Times New Roman"/>
          <w:sz w:val="24"/>
          <w:szCs w:val="24"/>
        </w:rPr>
      </w:pPr>
      <w:r w:rsidRPr="000F3C0B">
        <w:rPr>
          <w:rFonts w:ascii="Times New Roman" w:hAnsi="Times New Roman" w:cs="Times New Roman"/>
          <w:sz w:val="24"/>
          <w:szCs w:val="24"/>
          <w:lang w:eastAsia="zh-TW"/>
        </w:rPr>
        <w:t xml:space="preserve">Historically, sulfur deposition peaked on a global scale in the 1980s </w:t>
      </w:r>
      <w:r w:rsidRPr="000F3C0B">
        <w:rPr>
          <w:rFonts w:ascii="Times New Roman" w:hAnsi="Times New Roman" w:cs="Times New Roman"/>
          <w:sz w:val="24"/>
          <w:szCs w:val="24"/>
        </w:rPr>
        <w:fldChar w:fldCharType="begin"/>
      </w:r>
      <w:r w:rsidR="00652E13" w:rsidRPr="000F3C0B">
        <w:rPr>
          <w:rFonts w:ascii="Times New Roman" w:hAnsi="Times New Roman" w:cs="Times New Roman"/>
          <w:sz w:val="24"/>
          <w:szCs w:val="24"/>
          <w:lang w:eastAsia="zh-TW"/>
        </w:rPr>
        <w:instrText xml:space="preserve"> ADDIN ZOTERO_ITEM CSL_CITATION {"citationID":"6KTLUXhk","properties":{"formattedCitation":"(S. J. Smith et al., 2004)","plainCitation":"(S. J. Smith et al., 2004)","noteIndex":0},"citationItems":[{"id":2610,"uris":["http://zotero.org/users/3110659/items/LPPVEI7U"],"itemData":{"id":2610,"type":"report","abstract":"A global, self-consistent estimate of sulfur dioxide emissions over the last one and a half centuries was constructed by using a combination of bottom-up and best available inventory methods including all anthropogenic sources. We find that global sulfur dioxide emissions peaked about 1980 and have generally declined since this time. Emissions were extrapolated to a 1° × 1° grid for the time period 1850 – 2000 at annual resolution with two emission height levels and by season. Emissions were somewhat higher in the recent past in this new work as compared with other comprehensive estimates. This difference is largely due to our use of emissions factors that vary with time to account for sulfur removals from fossil fuels and industrial smelting processes.","language":"en","note":"DOI: 10.2172/15020102","number":"PNNL-14537, 15020102","page":"PNNL-14537, 15020102","source":"DOI.org (Crossref)","title":"Historical Sulfur Dioxide Emissions 1850-2000: Methods and Results","title-short":"Historical Sulfur Dioxide Emissions 1850-2000","URL":"http://www.osti.gov/servlets/purl/15020102-hnrUiC/","author":[{"family":"Smith","given":"Steven J."},{"family":"Andres","given":"Robert"},{"family":"Conception","given":"Elvira"},{"family":"Lurz","given":"Joshua"}],"accessed":{"date-parts":[["2023",7,3]]},"issued":{"date-parts":[["2004",1,25]]}}}],"schema":"https://github.com/citation-style-language/schema/raw/master/csl-citation.json"} </w:instrText>
      </w:r>
      <w:r w:rsidRPr="000F3C0B">
        <w:rPr>
          <w:rFonts w:ascii="Times New Roman" w:hAnsi="Times New Roman" w:cs="Times New Roman"/>
          <w:sz w:val="24"/>
          <w:szCs w:val="24"/>
        </w:rPr>
        <w:fldChar w:fldCharType="separate"/>
      </w:r>
      <w:r w:rsidR="00B864BC" w:rsidRPr="000F3C0B">
        <w:rPr>
          <w:rFonts w:ascii="Times New Roman" w:hAnsi="Times New Roman" w:cs="Times New Roman"/>
          <w:sz w:val="24"/>
          <w:szCs w:val="24"/>
        </w:rPr>
        <w:t>(S. J. Smith et al., 2004)</w:t>
      </w:r>
      <w:r w:rsidRPr="000F3C0B">
        <w:rPr>
          <w:rFonts w:ascii="Times New Roman" w:hAnsi="Times New Roman" w:cs="Times New Roman"/>
          <w:sz w:val="24"/>
          <w:szCs w:val="24"/>
        </w:rPr>
        <w:fldChar w:fldCharType="end"/>
      </w:r>
      <w:r w:rsidRPr="000F3C0B">
        <w:rPr>
          <w:rFonts w:ascii="Times New Roman" w:hAnsi="Times New Roman" w:cs="Times New Roman"/>
          <w:sz w:val="24"/>
          <w:szCs w:val="24"/>
        </w:rPr>
        <w:t>. This peak can be seen in all three ESMs in Figure S</w:t>
      </w:r>
      <w:r w:rsidR="00F11A53">
        <w:rPr>
          <w:rFonts w:ascii="Times New Roman" w:hAnsi="Times New Roman" w:cs="Times New Roman"/>
          <w:sz w:val="24"/>
          <w:szCs w:val="24"/>
        </w:rPr>
        <w:t>4</w:t>
      </w:r>
      <w:r w:rsidR="008A678F" w:rsidRPr="000F3C0B">
        <w:rPr>
          <w:rFonts w:ascii="Times New Roman" w:hAnsi="Times New Roman" w:cs="Times New Roman"/>
          <w:sz w:val="24"/>
          <w:szCs w:val="24"/>
        </w:rPr>
        <w:t>.2</w:t>
      </w:r>
      <w:r w:rsidRPr="000F3C0B">
        <w:rPr>
          <w:rFonts w:ascii="Times New Roman" w:hAnsi="Times New Roman" w:cs="Times New Roman"/>
          <w:sz w:val="24"/>
          <w:szCs w:val="24"/>
        </w:rPr>
        <w:t xml:space="preserve">, which shows historical dry deposition and future estimated dry deposition for each ESM in </w:t>
      </w:r>
      <w:r w:rsidRPr="000F3C0B">
        <w:rPr>
          <w:rFonts w:ascii="Times New Roman" w:hAnsi="Times New Roman" w:cs="Times New Roman"/>
          <w:b/>
          <w:bCs/>
          <w:sz w:val="24"/>
          <w:szCs w:val="24"/>
        </w:rPr>
        <w:t xml:space="preserve">Table </w:t>
      </w:r>
      <w:r w:rsidR="00F11A53">
        <w:rPr>
          <w:rFonts w:ascii="Times New Roman" w:hAnsi="Times New Roman" w:cs="Times New Roman"/>
          <w:b/>
          <w:bCs/>
          <w:sz w:val="24"/>
          <w:szCs w:val="24"/>
        </w:rPr>
        <w:t>4</w:t>
      </w:r>
      <w:r w:rsidRPr="000F3C0B">
        <w:rPr>
          <w:rFonts w:ascii="Times New Roman" w:hAnsi="Times New Roman" w:cs="Times New Roman"/>
          <w:b/>
          <w:bCs/>
          <w:sz w:val="24"/>
          <w:szCs w:val="24"/>
        </w:rPr>
        <w:t>.</w:t>
      </w:r>
      <w:r w:rsidR="005A173B" w:rsidRPr="000F3C0B">
        <w:rPr>
          <w:rFonts w:ascii="Times New Roman" w:hAnsi="Times New Roman" w:cs="Times New Roman"/>
          <w:b/>
          <w:bCs/>
          <w:sz w:val="24"/>
          <w:szCs w:val="24"/>
        </w:rPr>
        <w:t>1.</w:t>
      </w:r>
      <w:r w:rsidRPr="000F3C0B">
        <w:rPr>
          <w:rFonts w:ascii="Times New Roman" w:hAnsi="Times New Roman" w:cs="Times New Roman"/>
          <w:sz w:val="24"/>
          <w:szCs w:val="24"/>
        </w:rPr>
        <w:t xml:space="preserve"> Dry S</w:t>
      </w:r>
      <w:r w:rsidRPr="000F3C0B">
        <w:rPr>
          <w:rFonts w:ascii="Times New Roman" w:hAnsi="Times New Roman" w:cs="Times New Roman"/>
          <w:sz w:val="24"/>
          <w:szCs w:val="24"/>
          <w:vertAlign w:val="subscript"/>
        </w:rPr>
        <w:t xml:space="preserve"> </w:t>
      </w:r>
      <w:r w:rsidRPr="000F3C0B">
        <w:rPr>
          <w:rFonts w:ascii="Times New Roman" w:hAnsi="Times New Roman" w:cs="Times New Roman"/>
          <w:sz w:val="24"/>
          <w:szCs w:val="24"/>
        </w:rPr>
        <w:t xml:space="preserve">is projected to decline consistently from a peak of 4.33 </w:t>
      </w:r>
      <m:oMath>
        <m:r>
          <w:rPr>
            <w:rFonts w:ascii="Cambria Math" w:hAnsi="Cambria Math" w:cs="Times New Roman"/>
            <w:sz w:val="24"/>
            <w:szCs w:val="24"/>
          </w:rPr>
          <m:t>×</m:t>
        </m:r>
      </m:oMath>
      <w:r w:rsidRPr="000F3C0B">
        <w:rPr>
          <w:rFonts w:ascii="Times New Roman" w:hAnsi="Times New Roman" w:cs="Times New Roman"/>
          <w:sz w:val="24"/>
          <w:szCs w:val="24"/>
        </w:rPr>
        <w:t xml:space="preserve"> 10</w:t>
      </w:r>
      <w:r w:rsidRPr="000F3C0B">
        <w:rPr>
          <w:rFonts w:ascii="Times New Roman" w:hAnsi="Times New Roman" w:cs="Times New Roman"/>
          <w:sz w:val="24"/>
          <w:szCs w:val="24"/>
          <w:vertAlign w:val="superscript"/>
        </w:rPr>
        <w:t>-12</w:t>
      </w:r>
      <w:r w:rsidRPr="000F3C0B">
        <w:rPr>
          <w:rFonts w:ascii="Times New Roman" w:hAnsi="Times New Roman" w:cs="Times New Roman"/>
          <w:sz w:val="24"/>
          <w:szCs w:val="24"/>
        </w:rPr>
        <w:t>±1.39 kg/m</w:t>
      </w:r>
      <w:r w:rsidRPr="000F3C0B">
        <w:rPr>
          <w:rFonts w:ascii="Times New Roman" w:hAnsi="Times New Roman" w:cs="Times New Roman"/>
          <w:sz w:val="24"/>
          <w:szCs w:val="24"/>
          <w:vertAlign w:val="superscript"/>
        </w:rPr>
        <w:t>2</w:t>
      </w:r>
      <w:r w:rsidRPr="000F3C0B">
        <w:rPr>
          <w:rFonts w:ascii="Times New Roman" w:hAnsi="Times New Roman" w:cs="Times New Roman"/>
          <w:sz w:val="24"/>
          <w:szCs w:val="24"/>
        </w:rPr>
        <w:t xml:space="preserve">s through 2100 to 1.71±0.51 </w:t>
      </w:r>
      <m:oMath>
        <m:r>
          <w:rPr>
            <w:rFonts w:ascii="Cambria Math" w:hAnsi="Cambria Math" w:cs="Times New Roman"/>
            <w:sz w:val="24"/>
            <w:szCs w:val="24"/>
          </w:rPr>
          <m:t>×</m:t>
        </m:r>
      </m:oMath>
      <w:r w:rsidRPr="000F3C0B">
        <w:rPr>
          <w:rFonts w:ascii="Times New Roman" w:hAnsi="Times New Roman" w:cs="Times New Roman"/>
          <w:sz w:val="24"/>
          <w:szCs w:val="24"/>
        </w:rPr>
        <w:t xml:space="preserve"> 10</w:t>
      </w:r>
      <w:r w:rsidRPr="000F3C0B">
        <w:rPr>
          <w:rFonts w:ascii="Times New Roman" w:hAnsi="Times New Roman" w:cs="Times New Roman"/>
          <w:sz w:val="24"/>
          <w:szCs w:val="24"/>
          <w:vertAlign w:val="superscript"/>
        </w:rPr>
        <w:t>-12</w:t>
      </w:r>
      <w:r w:rsidRPr="000F3C0B">
        <w:rPr>
          <w:rFonts w:ascii="Times New Roman" w:hAnsi="Times New Roman" w:cs="Times New Roman"/>
          <w:sz w:val="24"/>
          <w:szCs w:val="24"/>
        </w:rPr>
        <w:t xml:space="preserve"> kg/m</w:t>
      </w:r>
      <w:r w:rsidRPr="000F3C0B">
        <w:rPr>
          <w:rFonts w:ascii="Times New Roman" w:hAnsi="Times New Roman" w:cs="Times New Roman"/>
          <w:sz w:val="24"/>
          <w:szCs w:val="24"/>
          <w:vertAlign w:val="superscript"/>
        </w:rPr>
        <w:t>2</w:t>
      </w:r>
      <w:r w:rsidRPr="000F3C0B">
        <w:rPr>
          <w:rFonts w:ascii="Times New Roman" w:hAnsi="Times New Roman" w:cs="Times New Roman"/>
          <w:sz w:val="24"/>
          <w:szCs w:val="24"/>
        </w:rPr>
        <w:t xml:space="preserve">s for all three G6sulfur models and to 1.41±0.28 </w:t>
      </w:r>
      <m:oMath>
        <m:r>
          <w:rPr>
            <w:rFonts w:ascii="Cambria Math" w:hAnsi="Cambria Math" w:cs="Times New Roman"/>
            <w:sz w:val="24"/>
            <w:szCs w:val="24"/>
          </w:rPr>
          <m:t>×</m:t>
        </m:r>
      </m:oMath>
      <w:r w:rsidRPr="000F3C0B">
        <w:rPr>
          <w:rFonts w:ascii="Times New Roman" w:hAnsi="Times New Roman" w:cs="Times New Roman"/>
          <w:sz w:val="24"/>
          <w:szCs w:val="24"/>
        </w:rPr>
        <w:t xml:space="preserve"> 10</w:t>
      </w:r>
      <w:r w:rsidRPr="000F3C0B">
        <w:rPr>
          <w:rFonts w:ascii="Times New Roman" w:hAnsi="Times New Roman" w:cs="Times New Roman"/>
          <w:sz w:val="24"/>
          <w:szCs w:val="24"/>
          <w:vertAlign w:val="superscript"/>
        </w:rPr>
        <w:t>-12</w:t>
      </w:r>
      <w:r w:rsidRPr="000F3C0B">
        <w:rPr>
          <w:rFonts w:ascii="Times New Roman" w:hAnsi="Times New Roman" w:cs="Times New Roman"/>
          <w:sz w:val="24"/>
          <w:szCs w:val="24"/>
        </w:rPr>
        <w:t xml:space="preserve"> kg/m</w:t>
      </w:r>
      <w:r w:rsidRPr="000F3C0B">
        <w:rPr>
          <w:rFonts w:ascii="Times New Roman" w:hAnsi="Times New Roman" w:cs="Times New Roman"/>
          <w:sz w:val="24"/>
          <w:szCs w:val="24"/>
          <w:vertAlign w:val="superscript"/>
        </w:rPr>
        <w:t>2</w:t>
      </w:r>
      <w:r w:rsidRPr="000F3C0B">
        <w:rPr>
          <w:rFonts w:ascii="Times New Roman" w:hAnsi="Times New Roman" w:cs="Times New Roman"/>
          <w:sz w:val="24"/>
          <w:szCs w:val="24"/>
        </w:rPr>
        <w:t xml:space="preserve">s under SSP2-4.5 and 1.47±0.32 </w:t>
      </w:r>
      <m:oMath>
        <m:r>
          <w:rPr>
            <w:rFonts w:ascii="Cambria Math" w:hAnsi="Cambria Math" w:cs="Times New Roman"/>
            <w:sz w:val="24"/>
            <w:szCs w:val="24"/>
          </w:rPr>
          <m:t>×</m:t>
        </m:r>
      </m:oMath>
      <w:r w:rsidRPr="000F3C0B">
        <w:rPr>
          <w:rFonts w:ascii="Times New Roman" w:hAnsi="Times New Roman" w:cs="Times New Roman"/>
          <w:sz w:val="24"/>
          <w:szCs w:val="24"/>
        </w:rPr>
        <w:t xml:space="preserve"> 10</w:t>
      </w:r>
      <w:r w:rsidRPr="000F3C0B">
        <w:rPr>
          <w:rFonts w:ascii="Times New Roman" w:hAnsi="Times New Roman" w:cs="Times New Roman"/>
          <w:sz w:val="24"/>
          <w:szCs w:val="24"/>
          <w:vertAlign w:val="superscript"/>
        </w:rPr>
        <w:t>-12</w:t>
      </w:r>
      <w:r w:rsidRPr="000F3C0B">
        <w:rPr>
          <w:rFonts w:ascii="Times New Roman" w:hAnsi="Times New Roman" w:cs="Times New Roman"/>
          <w:sz w:val="24"/>
          <w:szCs w:val="24"/>
        </w:rPr>
        <w:t xml:space="preserve"> kg/m</w:t>
      </w:r>
      <w:r w:rsidRPr="000F3C0B">
        <w:rPr>
          <w:rFonts w:ascii="Times New Roman" w:hAnsi="Times New Roman" w:cs="Times New Roman"/>
          <w:sz w:val="24"/>
          <w:szCs w:val="24"/>
          <w:vertAlign w:val="superscript"/>
        </w:rPr>
        <w:t>2</w:t>
      </w:r>
      <w:r w:rsidRPr="000F3C0B">
        <w:rPr>
          <w:rFonts w:ascii="Times New Roman" w:hAnsi="Times New Roman" w:cs="Times New Roman"/>
          <w:sz w:val="24"/>
          <w:szCs w:val="24"/>
        </w:rPr>
        <w:t>s under SSP5-8.5 projections (</w:t>
      </w:r>
      <w:r w:rsidRPr="000F3C0B">
        <w:rPr>
          <w:rFonts w:ascii="Times New Roman" w:hAnsi="Times New Roman" w:cs="Times New Roman"/>
          <w:b/>
          <w:bCs/>
          <w:sz w:val="24"/>
          <w:szCs w:val="24"/>
        </w:rPr>
        <w:t xml:space="preserve">Figure </w:t>
      </w:r>
      <w:r w:rsidR="000F3C0B">
        <w:rPr>
          <w:rFonts w:ascii="Times New Roman" w:hAnsi="Times New Roman" w:cs="Times New Roman"/>
          <w:b/>
          <w:bCs/>
          <w:sz w:val="24"/>
          <w:szCs w:val="24"/>
        </w:rPr>
        <w:t>4</w:t>
      </w:r>
      <w:r w:rsidR="005A173B" w:rsidRPr="000F3C0B">
        <w:rPr>
          <w:rFonts w:ascii="Times New Roman" w:hAnsi="Times New Roman" w:cs="Times New Roman"/>
          <w:b/>
          <w:bCs/>
          <w:sz w:val="24"/>
          <w:szCs w:val="24"/>
        </w:rPr>
        <w:t>.1</w:t>
      </w:r>
      <w:r w:rsidRPr="000F3C0B">
        <w:rPr>
          <w:rFonts w:ascii="Times New Roman" w:hAnsi="Times New Roman" w:cs="Times New Roman"/>
          <w:sz w:val="24"/>
          <w:szCs w:val="24"/>
        </w:rPr>
        <w:t xml:space="preserve">) because of declining anthropogenic emissions </w:t>
      </w:r>
      <w:r w:rsidRPr="000F3C0B">
        <w:rPr>
          <w:rFonts w:ascii="Times New Roman" w:hAnsi="Times New Roman" w:cs="Times New Roman"/>
          <w:sz w:val="24"/>
          <w:szCs w:val="24"/>
        </w:rPr>
        <w:fldChar w:fldCharType="begin"/>
      </w:r>
      <w:r w:rsidR="00652E13" w:rsidRPr="000F3C0B">
        <w:rPr>
          <w:rFonts w:ascii="Times New Roman" w:hAnsi="Times New Roman" w:cs="Times New Roman"/>
          <w:sz w:val="24"/>
          <w:szCs w:val="24"/>
        </w:rPr>
        <w:instrText xml:space="preserve"> ADDIN ZOTERO_ITEM CSL_CITATION {"citationID":"q0xUbE0F","properties":{"formattedCitation":"(I. Cheng et al., 2022; K. Zhou et al., 2021)","plainCitation":"(I. Cheng et al., 2022; K. Zhou et al., 2021)","noteIndex":0},"citationItems":[{"id":2639,"uris":["http://zotero.org/users/3110659/items/M8T93FHB"],"itemData":{"id":2639,"type":"article-journal","abstract":"Daily air concentrations of inorganic nitrogen (N) species, including gaseous HNO3 and particulate-bound (p)NH4+ and pNO3-, and sulfur (S) species, including SO2 and pSO42-, and precipitation concentrations of NO3-, NH4+, and SO42-, have been routinely monitored by the Canadian Air and Precipitation Monitoring Network (CAPMoN) since 1983. Data at 15 rural sites from 2000–2018 were used to estimate dry and wet N and S deposition fluxes, which were then used to explore their spatiotemporal trends and assess ecosystem damage through a retrospective analysis of critical loads (CLs) exceedances. Total (dry + wet) N deposition ranged from 1.7–9.5 kgNha-1yr-1 among the 15 sites, though dry deposition of NH3 and some oxidized N species were not included due to lack of monitoring data. Based on additional N measurements in 2010 at one of the sites, annual total N deposition may be underestimated by up to 32 %. Total N deposition was dominated by wet NO3- and wet NH4+ deposition, which together comprised 71 %–95 %. Contributions to dry N deposition were 40 %–74 % by HNO3, 11 %–40 % by pNH4+, and 5 %–25 % by pNO3-. Total S deposition ranged from 1.3–8.5 kgSha-1yr-1 and was dominated by wet deposition of SO42- and dry deposition of SO2. Relative percentages of wet and dry S deposition were 45 %–89 % and 11 %–55 %, respectively. Acidic ion fluxes were greatest in southeastern Canada and were comparable among the west coast, prairie, remote, and eastern Canadian sites. Oxidized N (dry HNO3, dry pNO3-, wet NO3-) deposition was greater than that of reduced N (dry pNH4+, wet NH4+) in the early 2000s. In 2014–2018, reduced N deposition surpassed that of oxidized N in southeastern Canada. Total N and S deposition decreased significantly at a rate of −0.03 to −0.25 kgNha-1yr-1 (−1.1 % yr−1 to −3.3 % yr−1) and −0.08 to −0.66 kgSha-1yr-1 (−3.5 % yr−1 to −6.6 % yr−1), respectively, among the sites. The weak declining trend in total N deposition at the west coast site was consistent with the slower decline in NOx emissions in western Canada. Reductions in total N deposition were driven by its oxidized form as trends in reduced N were non-significant. As a result, reduced N contributions to total N deposition increased on average from 42 % in 2000–2004 to 53 % in 2014–2018. Anthropogenic NOx and SO2 emissions reductions in both eastern Canada and eastern US were highly effective in reducing total oxidized N and total S deposition, respectively, in eastern Canada. Acidic deposition exceeded terrestrial CL at 5 of the 14 sites and aquatic CL at 2 of the 5 sites in the early 2000s. However, exceedances have been trending downwards and acidic deposition fluxes were mostly near or below CL after 2012 for the subset of sites assessed, which support recovery from historical acidification. Further assessments of CL exceedances are required in other Canadian regions susceptible to acidification and affected by elevated or increasing N and S emissions.","container-title":"Atmospheric Chemistry and Physics","DOI":"10.5194/acp-22-14631-2022","ISSN":"1680-7316","issue":"22","language":"English","note":"publisher: Copernicus GmbH","page":"14631-14656","source":"Copernicus Online Journals","title":"Long-term declines in atmospheric nitrogen and sulfur deposition reduce critical loads exceedances at multiple Canadian rural sites, 2000–2018","volume":"22","author":[{"family":"Cheng","given":"Irene"},{"family":"Zhang","given":"Leiming"},{"family":"He","given":"Zhuanshi"},{"family":"Cathcart","given":"Hazel"},{"family":"Houle","given":"Daniel"},{"family":"Cole","given":"Amanda"},{"family":"Feng","given":"Jian"},{"family":"O'Brien","given":"Jason"},{"family":"Macdonald","given":"Anne Marie"},{"family":"Aherne","given":"Julian"},{"family":"Brook","given":"Jeffrey"}],"issued":{"date-parts":[["2022",11,18]]}}},{"id":2636,"uris":["http://zotero.org/users/3110659/items/VXQLT7C2"],"itemData":{"id":2636,"type":"article-journal","abstract":"The nitrogen and sulfur deposition results in damages on ecosystems, while the lack of direct observation on dry deposition limits our understanding of the total deposition. This study aimed to improve the methodology and estimates of NO2 and SO2 dry deposition in China and to explore the efficacy of China's recent emission control measures on dry deposition at the national and regional scales. We combined the random forest algorithm and the GEOS-Chem chemical transport model to predict the dry deposition fluxes of NO2 and SO2 and their inter-annual variabilities during 2013–2018 in mainland China. The annual NO2 dry deposition ranged between 2.1 and 3.1 kg N ha−1 yr−1, with an annual reduction rate of 0.21 kg N ha−1 yr−1 over this period. The areas with large deposition were located in the east, while the biggest reduction existed in the relatively clean Tibet Plateau region. The annual SO2 dry deposition ranged between 7.5 and 18.4 kg S ha−1 yr−1, with the annual reduction rate at 2.4 kg S ha−1 yr−1. Both the magnitude and relative reduction in the north were generally larger than the south. Regarding the four typical economically developed regions, the NO2 deposition declined slower than the national average, while SO2 generally declined faster than or equivalently to the national average, except for Pearl River Delta. The reduced emissions attributed to the national action on air pollution control were identified as an important reason for the declining deposition. However, the increased traffic and industrial capacity in the east weakened its benefit on NO2.","container-title":"Atmospheric Environment","DOI":"10.1016/j.atmosenv.2021.118655","ISSN":"1352-2310","journalAbbreviation":"Atmospheric Environment","language":"en","page":"118655","source":"ScienceDirect","title":"Declining dry deposition of NO2 and SO2 with diverse spatiotemporal patterns in China from 2013 to 2018","volume":"262","author":[{"family":"Zhou","given":"Kaiyue"},{"family":"Zhao","given":"Yu"},{"family":"Zhang","given":"Lin"},{"family":"Xi","given":"Mengxiao"}],"issued":{"date-parts":[["2021",10,1]]}}}],"schema":"https://github.com/citation-style-language/schema/raw/master/csl-citation.json"} </w:instrText>
      </w:r>
      <w:r w:rsidRPr="000F3C0B">
        <w:rPr>
          <w:rFonts w:ascii="Times New Roman" w:hAnsi="Times New Roman" w:cs="Times New Roman"/>
          <w:sz w:val="24"/>
          <w:szCs w:val="24"/>
        </w:rPr>
        <w:fldChar w:fldCharType="separate"/>
      </w:r>
      <w:r w:rsidR="00B864BC" w:rsidRPr="000F3C0B">
        <w:rPr>
          <w:rFonts w:ascii="Times New Roman" w:hAnsi="Times New Roman" w:cs="Times New Roman"/>
          <w:sz w:val="24"/>
          <w:szCs w:val="24"/>
        </w:rPr>
        <w:t>(I. Cheng et al., 2022; K. Zhou et al., 2021)</w:t>
      </w:r>
      <w:r w:rsidRPr="000F3C0B">
        <w:rPr>
          <w:rFonts w:ascii="Times New Roman" w:hAnsi="Times New Roman" w:cs="Times New Roman"/>
          <w:sz w:val="24"/>
          <w:szCs w:val="24"/>
        </w:rPr>
        <w:fldChar w:fldCharType="end"/>
      </w:r>
      <w:r w:rsidRPr="000F3C0B">
        <w:rPr>
          <w:rFonts w:ascii="Times New Roman" w:hAnsi="Times New Roman" w:cs="Times New Roman"/>
          <w:sz w:val="24"/>
          <w:szCs w:val="24"/>
        </w:rPr>
        <w:t xml:space="preserve">. </w:t>
      </w:r>
    </w:p>
    <w:p w14:paraId="070CB54B" w14:textId="77777777" w:rsidR="000F3C0B" w:rsidRPr="008E4EFB" w:rsidRDefault="000F3C0B" w:rsidP="000F3C0B">
      <w:pPr>
        <w:pStyle w:val="Style3"/>
        <w:numPr>
          <w:ilvl w:val="1"/>
          <w:numId w:val="29"/>
        </w:numPr>
        <w:spacing w:before="0" w:line="360" w:lineRule="auto"/>
        <w:rPr>
          <w:rFonts w:cs="Times New Roman"/>
          <w:szCs w:val="24"/>
        </w:rPr>
      </w:pPr>
      <w:bookmarkStart w:id="51" w:name="_Toc179917982"/>
      <w:r w:rsidRPr="008E4EFB">
        <w:rPr>
          <w:rFonts w:cs="Times New Roman"/>
          <w:szCs w:val="24"/>
        </w:rPr>
        <w:t>Model Discrepancies</w:t>
      </w:r>
      <w:bookmarkEnd w:id="51"/>
    </w:p>
    <w:p w14:paraId="05D63DC7" w14:textId="4F6D7053" w:rsidR="000F3C0B" w:rsidRPr="000F3C0B" w:rsidRDefault="000F3C0B" w:rsidP="000F3C0B">
      <w:pPr>
        <w:spacing w:after="0" w:line="360" w:lineRule="auto"/>
        <w:rPr>
          <w:rFonts w:ascii="Times New Roman" w:hAnsi="Times New Roman" w:cs="Times New Roman"/>
          <w:sz w:val="24"/>
          <w:szCs w:val="24"/>
        </w:rPr>
      </w:pPr>
      <w:r w:rsidRPr="000F3C0B">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0F3C0B">
        <w:rPr>
          <w:rFonts w:ascii="Times New Roman" w:hAnsi="Times New Roman" w:cs="Times New Roman"/>
          <w:b/>
          <w:bCs/>
          <w:sz w:val="24"/>
          <w:szCs w:val="24"/>
        </w:rPr>
        <w:t>.2</w:t>
      </w:r>
      <w:r w:rsidRPr="008E4EFB">
        <w:rPr>
          <w:rFonts w:ascii="Times New Roman" w:hAnsi="Times New Roman" w:cs="Times New Roman"/>
          <w:sz w:val="24"/>
          <w:szCs w:val="24"/>
        </w:rPr>
        <w:t xml:space="preserve"> shows the wet deposition trends by model under G6sulfur. The three models agree well enough on dry deposition trends to ensemble them together into a multi-model mean (</w:t>
      </w:r>
      <w:r w:rsidRPr="00427197">
        <w:rPr>
          <w:rFonts w:ascii="Times New Roman" w:hAnsi="Times New Roman" w:cs="Times New Roman"/>
          <w:b/>
          <w:bCs/>
          <w:sz w:val="24"/>
          <w:szCs w:val="24"/>
        </w:rPr>
        <w:t>Figure</w:t>
      </w:r>
      <w:r w:rsidRPr="008E4EFB">
        <w:rPr>
          <w:rFonts w:ascii="Times New Roman" w:hAnsi="Times New Roman" w:cs="Times New Roman"/>
          <w:sz w:val="24"/>
          <w:szCs w:val="24"/>
        </w:rPr>
        <w:t xml:space="preserve"> </w:t>
      </w:r>
      <w:r>
        <w:rPr>
          <w:rFonts w:ascii="Times New Roman" w:hAnsi="Times New Roman" w:cs="Times New Roman"/>
          <w:b/>
          <w:bCs/>
          <w:sz w:val="24"/>
          <w:szCs w:val="24"/>
        </w:rPr>
        <w:t>4</w:t>
      </w:r>
      <w:r w:rsidRPr="00427197">
        <w:rPr>
          <w:rFonts w:ascii="Times New Roman" w:hAnsi="Times New Roman" w:cs="Times New Roman"/>
          <w:b/>
          <w:bCs/>
          <w:sz w:val="24"/>
          <w:szCs w:val="24"/>
        </w:rPr>
        <w:t>.1</w:t>
      </w:r>
      <w:r w:rsidRPr="008E4EFB">
        <w:rPr>
          <w:rFonts w:ascii="Times New Roman" w:hAnsi="Times New Roman" w:cs="Times New Roman"/>
          <w:sz w:val="24"/>
          <w:szCs w:val="24"/>
        </w:rPr>
        <w:t>), but the models do not agree on wet deposition trends. UKEMS1-0-LL projects relatively consistent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around </w:t>
      </w:r>
      <m:oMath>
        <m:r>
          <w:rPr>
            <w:rFonts w:ascii="Cambria Math" w:hAnsi="Cambria Math" w:cs="Times New Roman"/>
            <w:sz w:val="24"/>
            <w:szCs w:val="24"/>
          </w:rPr>
          <m:t xml:space="preserve">×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lower than the historical peak of the1980s (7.55±0.06</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Wet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deposition is projected to consistently decrease from 1.23±0.17</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to 9.36±0.11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-13</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by 2100 (</w:t>
      </w:r>
      <w:r w:rsidRPr="00427197">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427197">
        <w:rPr>
          <w:rFonts w:ascii="Times New Roman" w:hAnsi="Times New Roman" w:cs="Times New Roman"/>
          <w:b/>
          <w:bCs/>
          <w:sz w:val="24"/>
          <w:szCs w:val="24"/>
        </w:rPr>
        <w:t>.2A</w:t>
      </w:r>
      <w:r w:rsidRPr="008E4EFB">
        <w:rPr>
          <w:rFonts w:ascii="Times New Roman" w:hAnsi="Times New Roman" w:cs="Times New Roman"/>
          <w:sz w:val="24"/>
          <w:szCs w:val="24"/>
        </w:rPr>
        <w:t>). However, under</w:t>
      </w:r>
    </w:p>
    <w:p w14:paraId="25BABA62" w14:textId="5EF9062A" w:rsidR="00F71F86" w:rsidRPr="008E4EFB" w:rsidRDefault="00CF4184" w:rsidP="00ED686E">
      <w:pPr>
        <w:spacing w:line="240" w:lineRule="auto"/>
        <w:jc w:val="center"/>
        <w:rPr>
          <w:rFonts w:ascii="Times New Roman" w:hAnsi="Times New Roman" w:cs="Times New Roman"/>
          <w:i/>
          <w:iCs/>
          <w:sz w:val="24"/>
          <w:szCs w:val="24"/>
        </w:rPr>
      </w:pPr>
      <w:r w:rsidRPr="008E4EFB">
        <w:rPr>
          <w:rFonts w:ascii="Times New Roman" w:hAnsi="Times New Roman" w:cs="Times New Roman"/>
          <w:noProof/>
          <w:sz w:val="24"/>
          <w:szCs w:val="24"/>
        </w:rPr>
        <w:lastRenderedPageBreak/>
        <w:drawing>
          <wp:inline distT="0" distB="0" distL="0" distR="0" wp14:anchorId="126E6B87" wp14:editId="311FD90F">
            <wp:extent cx="5176045" cy="3990975"/>
            <wp:effectExtent l="0" t="0" r="5715" b="0"/>
            <wp:docPr id="733465886"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465886" name="Picture 1" descr="A graph of different colored lines&#10;&#10;Description automatically generated"/>
                    <pic:cNvPicPr/>
                  </pic:nvPicPr>
                  <pic:blipFill>
                    <a:blip r:embed="rId38"/>
                    <a:stretch>
                      <a:fillRect/>
                    </a:stretch>
                  </pic:blipFill>
                  <pic:spPr>
                    <a:xfrm>
                      <a:off x="0" y="0"/>
                      <a:ext cx="5185562" cy="3998313"/>
                    </a:xfrm>
                    <a:prstGeom prst="rect">
                      <a:avLst/>
                    </a:prstGeom>
                  </pic:spPr>
                </pic:pic>
              </a:graphicData>
            </a:graphic>
          </wp:inline>
        </w:drawing>
      </w:r>
    </w:p>
    <w:p w14:paraId="625B82F8" w14:textId="1703D8CE" w:rsidR="003E584A" w:rsidRPr="008E4EFB" w:rsidRDefault="006059D3" w:rsidP="00ED686E">
      <w:pPr>
        <w:pStyle w:val="Caption"/>
        <w:rPr>
          <w:rFonts w:ascii="Times New Roman" w:hAnsi="Times New Roman" w:cs="Times New Roman"/>
          <w:i w:val="0"/>
          <w:iCs w:val="0"/>
          <w:noProof/>
          <w:color w:val="auto"/>
          <w:sz w:val="24"/>
          <w:szCs w:val="24"/>
        </w:rPr>
      </w:pPr>
      <w:bookmarkStart w:id="52" w:name="_Toc179917564"/>
      <w:bookmarkStart w:id="53" w:name="_Toc179918044"/>
      <w:bookmarkStart w:id="54" w:name="_Toc184062905"/>
      <w:r w:rsidRPr="008E4EFB">
        <w:rPr>
          <w:rFonts w:ascii="Times New Roman" w:hAnsi="Times New Roman" w:cs="Times New Roman"/>
          <w:i w:val="0"/>
          <w:iCs w:val="0"/>
          <w:color w:val="auto"/>
          <w:sz w:val="24"/>
          <w:szCs w:val="24"/>
        </w:rPr>
        <w:t xml:space="preserve">Figure </w:t>
      </w:r>
      <w:r w:rsidR="00843C51" w:rsidRPr="008E4EFB">
        <w:rPr>
          <w:rFonts w:ascii="Times New Roman" w:hAnsi="Times New Roman" w:cs="Times New Roman"/>
          <w:i w:val="0"/>
          <w:iCs w:val="0"/>
          <w:color w:val="auto"/>
          <w:sz w:val="24"/>
          <w:szCs w:val="24"/>
        </w:rPr>
        <w:t>4</w:t>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1</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Global dry S (both SO2 and </w:t>
      </w:r>
      <w:r w:rsidR="009A3509" w:rsidRPr="008E4EFB">
        <w:rPr>
          <w:rFonts w:ascii="Times New Roman" w:hAnsi="Times New Roman" w:cs="Times New Roman"/>
          <w:i w:val="0"/>
          <w:iCs w:val="0"/>
          <w:color w:val="auto"/>
          <w:sz w:val="24"/>
          <w:szCs w:val="24"/>
        </w:rPr>
        <w:t>SO</w:t>
      </w:r>
      <w:r w:rsidR="009A3509" w:rsidRPr="008E4EFB">
        <w:rPr>
          <w:rFonts w:ascii="Times New Roman" w:hAnsi="Times New Roman" w:cs="Times New Roman"/>
          <w:i w:val="0"/>
          <w:iCs w:val="0"/>
          <w:color w:val="auto"/>
          <w:sz w:val="24"/>
          <w:szCs w:val="24"/>
          <w:vertAlign w:val="subscript"/>
        </w:rPr>
        <w:t>4</w:t>
      </w:r>
      <w:r w:rsidR="009A3509" w:rsidRPr="008E4EFB">
        <w:rPr>
          <w:rFonts w:ascii="Times New Roman" w:hAnsi="Times New Roman" w:cs="Times New Roman"/>
          <w:i w:val="0"/>
          <w:iCs w:val="0"/>
          <w:color w:val="auto"/>
          <w:sz w:val="24"/>
          <w:szCs w:val="24"/>
          <w:vertAlign w:val="superscript"/>
        </w:rPr>
        <w:t>2-</w:t>
      </w:r>
      <w:r w:rsidRPr="008E4EFB">
        <w:rPr>
          <w:rFonts w:ascii="Times New Roman" w:hAnsi="Times New Roman" w:cs="Times New Roman"/>
          <w:i w:val="0"/>
          <w:iCs w:val="0"/>
          <w:color w:val="auto"/>
          <w:sz w:val="24"/>
          <w:szCs w:val="24"/>
        </w:rPr>
        <w:t>) deposition flux from historical estimates and three future climate scenario projections, SSP2-4.5, SSP5-8.5, and G6sulfur.</w:t>
      </w:r>
      <w:r w:rsidR="003E584A" w:rsidRPr="008E4EFB">
        <w:rPr>
          <w:rFonts w:ascii="Times New Roman" w:hAnsi="Times New Roman" w:cs="Times New Roman"/>
          <w:i w:val="0"/>
          <w:iCs w:val="0"/>
          <w:color w:val="auto"/>
          <w:sz w:val="24"/>
          <w:szCs w:val="24"/>
        </w:rPr>
        <w:t>The solid lines represent the ensemble mean and the shaded region is the spread across models. The differences between models can be seen in Figure S</w:t>
      </w:r>
      <w:r w:rsidR="00F11A53">
        <w:rPr>
          <w:rFonts w:ascii="Times New Roman" w:hAnsi="Times New Roman" w:cs="Times New Roman"/>
          <w:i w:val="0"/>
          <w:iCs w:val="0"/>
          <w:color w:val="auto"/>
          <w:sz w:val="24"/>
          <w:szCs w:val="24"/>
        </w:rPr>
        <w:t>4</w:t>
      </w:r>
      <w:r w:rsidR="003E584A" w:rsidRPr="008E4EFB">
        <w:rPr>
          <w:rFonts w:ascii="Times New Roman" w:hAnsi="Times New Roman" w:cs="Times New Roman"/>
          <w:i w:val="0"/>
          <w:iCs w:val="0"/>
          <w:color w:val="auto"/>
          <w:sz w:val="24"/>
          <w:szCs w:val="24"/>
        </w:rPr>
        <w:t>.2.</w:t>
      </w:r>
      <w:bookmarkEnd w:id="52"/>
      <w:bookmarkEnd w:id="53"/>
      <w:bookmarkEnd w:id="54"/>
    </w:p>
    <w:p w14:paraId="6829BEF1" w14:textId="77777777" w:rsidR="000F3C0B" w:rsidRDefault="000F3C0B" w:rsidP="00DC4266">
      <w:pPr>
        <w:spacing w:after="0" w:line="360" w:lineRule="auto"/>
        <w:rPr>
          <w:rFonts w:ascii="Times New Roman" w:hAnsi="Times New Roman" w:cs="Times New Roman"/>
          <w:sz w:val="24"/>
          <w:szCs w:val="24"/>
        </w:rPr>
      </w:pPr>
    </w:p>
    <w:p w14:paraId="22641466" w14:textId="77777777" w:rsidR="000F3C0B" w:rsidRDefault="000F3C0B" w:rsidP="00DC4266">
      <w:pPr>
        <w:spacing w:after="0" w:line="360" w:lineRule="auto"/>
        <w:rPr>
          <w:rFonts w:ascii="Times New Roman" w:hAnsi="Times New Roman" w:cs="Times New Roman"/>
          <w:sz w:val="24"/>
          <w:szCs w:val="24"/>
        </w:rPr>
      </w:pPr>
    </w:p>
    <w:p w14:paraId="6EDFA6FA" w14:textId="77777777" w:rsidR="000F3C0B" w:rsidRDefault="000F3C0B" w:rsidP="00DC4266">
      <w:pPr>
        <w:spacing w:after="0" w:line="360" w:lineRule="auto"/>
        <w:rPr>
          <w:rFonts w:ascii="Times New Roman" w:hAnsi="Times New Roman" w:cs="Times New Roman"/>
          <w:sz w:val="24"/>
          <w:szCs w:val="24"/>
        </w:rPr>
      </w:pPr>
    </w:p>
    <w:p w14:paraId="7B857358" w14:textId="77777777" w:rsidR="000F3C0B" w:rsidRDefault="000F3C0B" w:rsidP="00DC4266">
      <w:pPr>
        <w:spacing w:after="0" w:line="360" w:lineRule="auto"/>
        <w:rPr>
          <w:rFonts w:ascii="Times New Roman" w:hAnsi="Times New Roman" w:cs="Times New Roman"/>
          <w:sz w:val="24"/>
          <w:szCs w:val="24"/>
        </w:rPr>
      </w:pPr>
    </w:p>
    <w:p w14:paraId="21F86C41" w14:textId="77777777" w:rsidR="000F3C0B" w:rsidRDefault="000F3C0B" w:rsidP="00DC4266">
      <w:pPr>
        <w:spacing w:after="0" w:line="360" w:lineRule="auto"/>
        <w:rPr>
          <w:rFonts w:ascii="Times New Roman" w:hAnsi="Times New Roman" w:cs="Times New Roman"/>
          <w:sz w:val="24"/>
          <w:szCs w:val="24"/>
        </w:rPr>
      </w:pPr>
    </w:p>
    <w:p w14:paraId="6F6FB565" w14:textId="77777777" w:rsidR="000F3C0B" w:rsidRDefault="000F3C0B" w:rsidP="00DC4266">
      <w:pPr>
        <w:spacing w:after="0" w:line="360" w:lineRule="auto"/>
        <w:rPr>
          <w:rFonts w:ascii="Times New Roman" w:hAnsi="Times New Roman" w:cs="Times New Roman"/>
          <w:sz w:val="24"/>
          <w:szCs w:val="24"/>
        </w:rPr>
      </w:pPr>
    </w:p>
    <w:p w14:paraId="21C71104" w14:textId="77777777" w:rsidR="000F3C0B" w:rsidRDefault="000F3C0B" w:rsidP="00DC4266">
      <w:pPr>
        <w:spacing w:after="0" w:line="360" w:lineRule="auto"/>
        <w:rPr>
          <w:rFonts w:ascii="Times New Roman" w:hAnsi="Times New Roman" w:cs="Times New Roman"/>
          <w:sz w:val="24"/>
          <w:szCs w:val="24"/>
        </w:rPr>
      </w:pPr>
    </w:p>
    <w:p w14:paraId="156582C8" w14:textId="77777777" w:rsidR="000F3C0B" w:rsidRDefault="000F3C0B" w:rsidP="00DC4266">
      <w:pPr>
        <w:spacing w:after="0" w:line="360" w:lineRule="auto"/>
        <w:rPr>
          <w:rFonts w:ascii="Times New Roman" w:hAnsi="Times New Roman" w:cs="Times New Roman"/>
          <w:sz w:val="24"/>
          <w:szCs w:val="24"/>
        </w:rPr>
      </w:pPr>
    </w:p>
    <w:p w14:paraId="0B2933A1" w14:textId="77777777" w:rsidR="000F3C0B" w:rsidRDefault="000F3C0B" w:rsidP="00DC4266">
      <w:pPr>
        <w:spacing w:after="0" w:line="360" w:lineRule="auto"/>
        <w:rPr>
          <w:rFonts w:ascii="Times New Roman" w:hAnsi="Times New Roman" w:cs="Times New Roman"/>
          <w:sz w:val="24"/>
          <w:szCs w:val="24"/>
        </w:rPr>
      </w:pPr>
    </w:p>
    <w:p w14:paraId="2BD2F129" w14:textId="77777777" w:rsidR="000F3C0B" w:rsidRDefault="000F3C0B" w:rsidP="00DC4266">
      <w:pPr>
        <w:spacing w:after="0" w:line="360" w:lineRule="auto"/>
        <w:rPr>
          <w:rFonts w:ascii="Times New Roman" w:hAnsi="Times New Roman" w:cs="Times New Roman"/>
          <w:sz w:val="24"/>
          <w:szCs w:val="24"/>
        </w:rPr>
      </w:pPr>
    </w:p>
    <w:p w14:paraId="3380DD4D" w14:textId="77777777" w:rsidR="000F3C0B" w:rsidRDefault="000F3C0B" w:rsidP="00DC4266">
      <w:pPr>
        <w:spacing w:after="0" w:line="360" w:lineRule="auto"/>
        <w:rPr>
          <w:rFonts w:ascii="Times New Roman" w:hAnsi="Times New Roman" w:cs="Times New Roman"/>
          <w:sz w:val="24"/>
          <w:szCs w:val="24"/>
        </w:rPr>
      </w:pPr>
    </w:p>
    <w:p w14:paraId="3942CF02" w14:textId="77777777" w:rsidR="00EB56E1" w:rsidRPr="008E4EFB" w:rsidRDefault="00EB56E1" w:rsidP="00ED686E">
      <w:pPr>
        <w:spacing w:line="240" w:lineRule="auto"/>
        <w:ind w:left="360"/>
        <w:rPr>
          <w:rFonts w:ascii="Times New Roman" w:hAnsi="Times New Roman" w:cs="Times New Roman"/>
          <w:sz w:val="24"/>
          <w:szCs w:val="24"/>
        </w:rPr>
      </w:pPr>
    </w:p>
    <w:p w14:paraId="530C59B7" w14:textId="77777777" w:rsidR="00EB56E1" w:rsidRPr="008E4EFB" w:rsidRDefault="00EB56E1" w:rsidP="00ED686E">
      <w:pPr>
        <w:spacing w:line="240" w:lineRule="auto"/>
        <w:ind w:left="360"/>
        <w:rPr>
          <w:rFonts w:ascii="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4393B641" wp14:editId="14C3C411">
            <wp:extent cx="5943600" cy="5807710"/>
            <wp:effectExtent l="0" t="0" r="0" b="2540"/>
            <wp:docPr id="181131358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13580" name="Picture 1" descr="A screenshot of a graph&#10;&#10;Description automatically generated"/>
                    <pic:cNvPicPr/>
                  </pic:nvPicPr>
                  <pic:blipFill>
                    <a:blip r:embed="rId39"/>
                    <a:stretch>
                      <a:fillRect/>
                    </a:stretch>
                  </pic:blipFill>
                  <pic:spPr>
                    <a:xfrm>
                      <a:off x="0" y="0"/>
                      <a:ext cx="5943600" cy="5807710"/>
                    </a:xfrm>
                    <a:prstGeom prst="rect">
                      <a:avLst/>
                    </a:prstGeom>
                  </pic:spPr>
                </pic:pic>
              </a:graphicData>
            </a:graphic>
          </wp:inline>
        </w:drawing>
      </w:r>
    </w:p>
    <w:p w14:paraId="0A29AE9B" w14:textId="30641FCE" w:rsidR="00683F46" w:rsidRPr="008E4EFB" w:rsidRDefault="00683F46" w:rsidP="00ED686E">
      <w:pPr>
        <w:pStyle w:val="Caption"/>
        <w:rPr>
          <w:rFonts w:ascii="Times New Roman" w:hAnsi="Times New Roman" w:cs="Times New Roman"/>
          <w:i w:val="0"/>
          <w:iCs w:val="0"/>
          <w:color w:val="auto"/>
          <w:sz w:val="24"/>
          <w:szCs w:val="24"/>
        </w:rPr>
      </w:pPr>
      <w:bookmarkStart w:id="55" w:name="_Toc179917565"/>
      <w:bookmarkStart w:id="56" w:name="_Toc179918045"/>
      <w:bookmarkStart w:id="57" w:name="_Toc184062906"/>
      <w:r w:rsidRPr="008E4EFB">
        <w:rPr>
          <w:rFonts w:ascii="Times New Roman" w:hAnsi="Times New Roman" w:cs="Times New Roman"/>
          <w:i w:val="0"/>
          <w:iCs w:val="0"/>
          <w:color w:val="auto"/>
          <w:sz w:val="24"/>
          <w:szCs w:val="24"/>
        </w:rPr>
        <w:t xml:space="preserve">Figure </w:t>
      </w:r>
      <w:r w:rsidR="00843C51" w:rsidRPr="008E4EFB">
        <w:rPr>
          <w:rFonts w:ascii="Times New Roman" w:hAnsi="Times New Roman" w:cs="Times New Roman"/>
          <w:i w:val="0"/>
          <w:iCs w:val="0"/>
          <w:color w:val="auto"/>
          <w:sz w:val="24"/>
          <w:szCs w:val="24"/>
        </w:rPr>
        <w:t>4</w:t>
      </w:r>
      <w:r w:rsidR="00154B00" w:rsidRPr="008E4EFB">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Projected A) annual and B) monthly precipitation and wet sulfur (SO</w:t>
      </w:r>
      <w:r w:rsidRPr="008E4EFB">
        <w:rPr>
          <w:rFonts w:ascii="Times New Roman" w:hAnsi="Times New Roman" w:cs="Times New Roman"/>
          <w:i w:val="0"/>
          <w:iCs w:val="0"/>
          <w:color w:val="auto"/>
          <w:sz w:val="24"/>
          <w:szCs w:val="24"/>
          <w:vertAlign w:val="subscript"/>
        </w:rPr>
        <w:t>2</w:t>
      </w:r>
      <w:r w:rsidRPr="008E4EFB">
        <w:rPr>
          <w:rFonts w:ascii="Times New Roman" w:hAnsi="Times New Roman" w:cs="Times New Roman"/>
          <w:i w:val="0"/>
          <w:iCs w:val="0"/>
          <w:color w:val="auto"/>
          <w:sz w:val="24"/>
          <w:szCs w:val="24"/>
        </w:rPr>
        <w:t xml:space="preserve"> and </w:t>
      </w:r>
      <w:r w:rsidR="009A3509" w:rsidRPr="008E4EFB">
        <w:rPr>
          <w:rFonts w:ascii="Times New Roman" w:hAnsi="Times New Roman" w:cs="Times New Roman"/>
          <w:i w:val="0"/>
          <w:iCs w:val="0"/>
          <w:color w:val="auto"/>
          <w:sz w:val="24"/>
          <w:szCs w:val="24"/>
        </w:rPr>
        <w:t>SO</w:t>
      </w:r>
      <w:r w:rsidR="009A3509" w:rsidRPr="008E4EFB">
        <w:rPr>
          <w:rFonts w:ascii="Times New Roman" w:hAnsi="Times New Roman" w:cs="Times New Roman"/>
          <w:i w:val="0"/>
          <w:iCs w:val="0"/>
          <w:color w:val="auto"/>
          <w:sz w:val="24"/>
          <w:szCs w:val="24"/>
          <w:vertAlign w:val="subscript"/>
        </w:rPr>
        <w:t>4</w:t>
      </w:r>
      <w:r w:rsidR="009A3509" w:rsidRPr="008E4EFB">
        <w:rPr>
          <w:rFonts w:ascii="Times New Roman" w:hAnsi="Times New Roman" w:cs="Times New Roman"/>
          <w:i w:val="0"/>
          <w:iCs w:val="0"/>
          <w:color w:val="auto"/>
          <w:sz w:val="24"/>
          <w:szCs w:val="24"/>
          <w:vertAlign w:val="superscript"/>
        </w:rPr>
        <w:t>2-</w:t>
      </w:r>
      <w:r w:rsidRPr="008E4EFB">
        <w:rPr>
          <w:rFonts w:ascii="Times New Roman" w:hAnsi="Times New Roman" w:cs="Times New Roman"/>
          <w:i w:val="0"/>
          <w:iCs w:val="0"/>
          <w:color w:val="auto"/>
          <w:sz w:val="24"/>
          <w:szCs w:val="24"/>
        </w:rPr>
        <w:t>) deposition from UKESM1-0-LL, CESM2-WACCM, and CNRM-ESM2-1 during the historical time period (1980-2020) and under G6 Sulfur, SSP2-4.5, and SSP5-8.5 conditions (2020-2100).</w:t>
      </w:r>
      <w:bookmarkEnd w:id="55"/>
      <w:bookmarkEnd w:id="56"/>
      <w:bookmarkEnd w:id="57"/>
    </w:p>
    <w:p w14:paraId="1BDAA117" w14:textId="77777777" w:rsidR="00EB56E1" w:rsidRPr="008E4EFB" w:rsidRDefault="00EB56E1" w:rsidP="00ED686E">
      <w:pPr>
        <w:spacing w:line="240" w:lineRule="auto"/>
        <w:ind w:left="360"/>
        <w:rPr>
          <w:rFonts w:ascii="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35457B98" wp14:editId="45A351A2">
            <wp:extent cx="5943600" cy="5967095"/>
            <wp:effectExtent l="0" t="0" r="0" b="0"/>
            <wp:docPr id="1047527544"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527544" name="Picture 1" descr="A screenshot of a graph&#10;&#10;Description automatically generated"/>
                    <pic:cNvPicPr/>
                  </pic:nvPicPr>
                  <pic:blipFill>
                    <a:blip r:embed="rId40"/>
                    <a:stretch>
                      <a:fillRect/>
                    </a:stretch>
                  </pic:blipFill>
                  <pic:spPr>
                    <a:xfrm>
                      <a:off x="0" y="0"/>
                      <a:ext cx="5943600" cy="5967095"/>
                    </a:xfrm>
                    <a:prstGeom prst="rect">
                      <a:avLst/>
                    </a:prstGeom>
                  </pic:spPr>
                </pic:pic>
              </a:graphicData>
            </a:graphic>
          </wp:inline>
        </w:drawing>
      </w:r>
      <w:r w:rsidRPr="008E4EFB">
        <w:rPr>
          <w:rFonts w:ascii="Times New Roman" w:hAnsi="Times New Roman" w:cs="Times New Roman"/>
          <w:sz w:val="24"/>
          <w:szCs w:val="24"/>
        </w:rPr>
        <w:t xml:space="preserve"> </w:t>
      </w:r>
    </w:p>
    <w:p w14:paraId="2849B705" w14:textId="5DB3B190" w:rsidR="00683F46" w:rsidRPr="008E4EFB" w:rsidRDefault="00683F46" w:rsidP="00ED686E">
      <w:pPr>
        <w:spacing w:line="240" w:lineRule="auto"/>
        <w:ind w:left="360"/>
        <w:rPr>
          <w:rFonts w:ascii="Times New Roman" w:hAnsi="Times New Roman" w:cs="Times New Roman"/>
          <w:sz w:val="24"/>
          <w:szCs w:val="24"/>
        </w:rPr>
      </w:pPr>
      <w:r w:rsidRPr="008E4EFB">
        <w:rPr>
          <w:rFonts w:ascii="Times New Roman" w:hAnsi="Times New Roman" w:cs="Times New Roman"/>
          <w:sz w:val="24"/>
          <w:szCs w:val="24"/>
        </w:rPr>
        <w:t xml:space="preserve">Figure </w:t>
      </w:r>
      <w:r w:rsidR="00843C51" w:rsidRPr="008E4EFB">
        <w:rPr>
          <w:rFonts w:ascii="Times New Roman" w:hAnsi="Times New Roman" w:cs="Times New Roman"/>
          <w:sz w:val="24"/>
          <w:szCs w:val="24"/>
        </w:rPr>
        <w:t>4</w:t>
      </w:r>
      <w:r w:rsidRPr="008E4EFB">
        <w:rPr>
          <w:rFonts w:ascii="Times New Roman" w:hAnsi="Times New Roman" w:cs="Times New Roman"/>
          <w:sz w:val="24"/>
          <w:szCs w:val="24"/>
        </w:rPr>
        <w:t xml:space="preserve">.2 </w:t>
      </w:r>
      <w:r w:rsidR="007465A6" w:rsidRPr="008E4EFB">
        <w:rPr>
          <w:rFonts w:ascii="Times New Roman" w:hAnsi="Times New Roman" w:cs="Times New Roman"/>
          <w:sz w:val="24"/>
          <w:szCs w:val="24"/>
        </w:rPr>
        <w:t>(</w:t>
      </w:r>
      <w:r w:rsidRPr="008E4EFB">
        <w:rPr>
          <w:rFonts w:ascii="Times New Roman" w:hAnsi="Times New Roman" w:cs="Times New Roman"/>
          <w:sz w:val="24"/>
          <w:szCs w:val="24"/>
        </w:rPr>
        <w:t>Continued</w:t>
      </w:r>
      <w:r w:rsidR="007465A6" w:rsidRPr="008E4EFB">
        <w:rPr>
          <w:rFonts w:ascii="Times New Roman" w:hAnsi="Times New Roman" w:cs="Times New Roman"/>
          <w:sz w:val="24"/>
          <w:szCs w:val="24"/>
        </w:rPr>
        <w:t>)</w:t>
      </w:r>
    </w:p>
    <w:p w14:paraId="2D119D77" w14:textId="77777777" w:rsidR="00822EDA" w:rsidRDefault="00822EDA" w:rsidP="00822EDA">
      <w:pPr>
        <w:spacing w:after="0" w:line="360" w:lineRule="auto"/>
        <w:rPr>
          <w:rFonts w:ascii="Times New Roman" w:hAnsi="Times New Roman" w:cs="Times New Roman"/>
          <w:sz w:val="24"/>
          <w:szCs w:val="24"/>
        </w:rPr>
      </w:pPr>
      <w:bookmarkStart w:id="58" w:name="_Toc179917983"/>
    </w:p>
    <w:p w14:paraId="078AF7A2" w14:textId="77777777" w:rsidR="00822EDA" w:rsidRDefault="00822EDA" w:rsidP="00822EDA">
      <w:pPr>
        <w:spacing w:after="0" w:line="360" w:lineRule="auto"/>
        <w:rPr>
          <w:rFonts w:ascii="Times New Roman" w:hAnsi="Times New Roman" w:cs="Times New Roman"/>
          <w:sz w:val="24"/>
          <w:szCs w:val="24"/>
        </w:rPr>
      </w:pPr>
    </w:p>
    <w:p w14:paraId="40BC78F7" w14:textId="77777777" w:rsidR="00822EDA" w:rsidRDefault="00822EDA" w:rsidP="00822EDA">
      <w:pPr>
        <w:spacing w:after="0" w:line="360" w:lineRule="auto"/>
        <w:rPr>
          <w:rFonts w:ascii="Times New Roman" w:hAnsi="Times New Roman" w:cs="Times New Roman"/>
          <w:sz w:val="24"/>
          <w:szCs w:val="24"/>
        </w:rPr>
      </w:pPr>
    </w:p>
    <w:p w14:paraId="642A2D80" w14:textId="77777777" w:rsidR="00822EDA" w:rsidRDefault="00822EDA" w:rsidP="00822EDA">
      <w:pPr>
        <w:spacing w:after="0" w:line="360" w:lineRule="auto"/>
        <w:rPr>
          <w:rFonts w:ascii="Times New Roman" w:hAnsi="Times New Roman" w:cs="Times New Roman"/>
          <w:sz w:val="24"/>
          <w:szCs w:val="24"/>
        </w:rPr>
      </w:pPr>
    </w:p>
    <w:p w14:paraId="170BA130" w14:textId="77777777" w:rsidR="00822EDA" w:rsidRDefault="00822EDA" w:rsidP="00822EDA">
      <w:pPr>
        <w:spacing w:after="0" w:line="360" w:lineRule="auto"/>
        <w:rPr>
          <w:rFonts w:ascii="Times New Roman" w:hAnsi="Times New Roman" w:cs="Times New Roman"/>
          <w:sz w:val="24"/>
          <w:szCs w:val="24"/>
        </w:rPr>
      </w:pPr>
    </w:p>
    <w:p w14:paraId="338D90AE" w14:textId="77777777" w:rsidR="00822EDA" w:rsidRDefault="00822EDA" w:rsidP="00822EDA">
      <w:pPr>
        <w:spacing w:after="0" w:line="360" w:lineRule="auto"/>
        <w:rPr>
          <w:rFonts w:ascii="Times New Roman" w:hAnsi="Times New Roman" w:cs="Times New Roman"/>
          <w:sz w:val="24"/>
          <w:szCs w:val="24"/>
        </w:rPr>
      </w:pPr>
    </w:p>
    <w:p w14:paraId="2A1F4CB1" w14:textId="77777777" w:rsidR="00822EDA" w:rsidRDefault="00822EDA" w:rsidP="00822EDA">
      <w:pPr>
        <w:spacing w:after="0" w:line="360" w:lineRule="auto"/>
        <w:rPr>
          <w:rFonts w:ascii="Times New Roman" w:hAnsi="Times New Roman" w:cs="Times New Roman"/>
          <w:sz w:val="24"/>
          <w:szCs w:val="24"/>
        </w:rPr>
      </w:pPr>
    </w:p>
    <w:p w14:paraId="7E59F5BD" w14:textId="58F42AEB" w:rsidR="00822EDA" w:rsidRPr="008E4EFB" w:rsidRDefault="00822EDA" w:rsidP="00822EDA">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lastRenderedPageBreak/>
        <w:t>both SSP2-4.5 and SSP5-8.5, wet SO</w:t>
      </w:r>
      <w:r w:rsidRPr="008E4EFB">
        <w:rPr>
          <w:rFonts w:ascii="Times New Roman" w:hAnsi="Times New Roman" w:cs="Times New Roman"/>
          <w:sz w:val="24"/>
          <w:szCs w:val="24"/>
          <w:vertAlign w:val="subscript"/>
        </w:rPr>
        <w:t xml:space="preserve">2 </w:t>
      </w:r>
      <w:r w:rsidRPr="008E4EFB">
        <w:rPr>
          <w:rFonts w:ascii="Times New Roman" w:hAnsi="Times New Roman" w:cs="Times New Roman"/>
          <w:sz w:val="24"/>
          <w:szCs w:val="24"/>
        </w:rPr>
        <w:t>is expected to decline from 1.36±0.14</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to 8.91±0.01</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-13</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and 1.37±0.18</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to 8.71±0.12</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-13</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respectively.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similarly, is expected to decline under the two SSP scenarios from 6.44±0.32</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 xml:space="preserve">-12 </w:t>
      </w:r>
      <w:r w:rsidRPr="008E4EFB">
        <w:rPr>
          <w:rFonts w:ascii="Times New Roman" w:hAnsi="Times New Roman" w:cs="Times New Roman"/>
          <w:sz w:val="24"/>
          <w:szCs w:val="24"/>
        </w:rPr>
        <w:t>to 3.86±0.18</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under SSP2-4.5 and from 3.73±0.34</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to 6.46±0.39</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under SSP5-8.5</w:t>
      </w:r>
    </w:p>
    <w:p w14:paraId="5C353CB5" w14:textId="77777777" w:rsidR="00822EDA" w:rsidRPr="008E4EFB" w:rsidRDefault="00822EDA" w:rsidP="00822EDA">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In terms of seasonality, according to UKESM1-0-LL, both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and wet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vertAlign w:val="subscript"/>
        </w:rPr>
        <w:softHyphen/>
      </w:r>
      <w:r w:rsidRPr="008E4EFB">
        <w:rPr>
          <w:rFonts w:ascii="Times New Roman" w:hAnsi="Times New Roman" w:cs="Times New Roman"/>
          <w:sz w:val="24"/>
          <w:szCs w:val="24"/>
        </w:rPr>
        <w:t xml:space="preserve"> remain constant throughout the year under G6sulfur (an average of 5.57±</w:t>
      </w:r>
      <w:r w:rsidRPr="008E4EFB">
        <w:rPr>
          <w:rFonts w:ascii="Times New Roman" w:eastAsiaTheme="minorEastAsia" w:hAnsi="Times New Roman" w:cs="Times New Roman"/>
          <w:sz w:val="24"/>
          <w:szCs w:val="24"/>
        </w:rPr>
        <w:t xml:space="preserve">0.02 </w:t>
      </w:r>
      <m:oMath>
        <m:r>
          <w:rPr>
            <w:rFonts w:ascii="Cambria Math" w:hAnsi="Cambria Math" w:cs="Times New Roman"/>
            <w:sz w:val="24"/>
            <w:szCs w:val="24"/>
          </w:rPr>
          <m:t>×</m:t>
        </m:r>
      </m:oMath>
      <w:r w:rsidRPr="008E4EFB">
        <w:rPr>
          <w:rFonts w:ascii="Times New Roman" w:eastAsiaTheme="minorEastAsia" w:hAnsi="Times New Roman" w:cs="Times New Roman"/>
          <w:sz w:val="24"/>
          <w:szCs w:val="24"/>
        </w:rPr>
        <w:t xml:space="preserve"> 10</w:t>
      </w:r>
      <w:r w:rsidRPr="008E4EFB">
        <w:rPr>
          <w:rFonts w:ascii="Times New Roman" w:eastAsiaTheme="minorEastAsia" w:hAnsi="Times New Roman" w:cs="Times New Roman"/>
          <w:sz w:val="24"/>
          <w:szCs w:val="24"/>
          <w:vertAlign w:val="superscript"/>
        </w:rPr>
        <w:t>-12</w:t>
      </w:r>
      <w:r w:rsidRPr="008E4EFB">
        <w:rPr>
          <w:rFonts w:ascii="Times New Roman" w:eastAsiaTheme="minorEastAsia" w:hAnsi="Times New Roman" w:cs="Times New Roman"/>
          <w:sz w:val="24"/>
          <w:szCs w:val="24"/>
        </w:rPr>
        <w:t xml:space="preserve"> </w:t>
      </w:r>
      <w:r w:rsidRPr="008E4EFB">
        <w:rPr>
          <w:rFonts w:ascii="Times New Roman" w:hAnsi="Times New Roman" w:cs="Times New Roman"/>
          <w:sz w:val="24"/>
          <w:szCs w:val="24"/>
        </w:rPr>
        <w:t>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for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 xml:space="preserve">2- </w:t>
      </w:r>
      <w:r w:rsidRPr="008E4EFB">
        <w:rPr>
          <w:rFonts w:ascii="Times New Roman" w:hAnsi="Times New Roman" w:cs="Times New Roman"/>
          <w:sz w:val="24"/>
          <w:szCs w:val="24"/>
        </w:rPr>
        <w:t xml:space="preserve">and 1.09±0.01 </w:t>
      </w:r>
      <m:oMath>
        <m:r>
          <w:rPr>
            <w:rFonts w:ascii="Cambria Math" w:hAnsi="Cambria Math" w:cs="Times New Roman"/>
            <w:sz w:val="24"/>
            <w:szCs w:val="24"/>
          </w:rPr>
          <m:t>×</m:t>
        </m:r>
      </m:oMath>
      <w:r w:rsidRPr="008E4EFB">
        <w:rPr>
          <w:rFonts w:ascii="Times New Roman" w:eastAsiaTheme="minorEastAsia" w:hAnsi="Times New Roman" w:cs="Times New Roman"/>
          <w:sz w:val="24"/>
          <w:szCs w:val="24"/>
        </w:rPr>
        <w:t xml:space="preserve"> 10</w:t>
      </w:r>
      <w:r w:rsidRPr="008E4EFB">
        <w:rPr>
          <w:rFonts w:ascii="Times New Roman" w:eastAsiaTheme="minorEastAsia" w:hAnsi="Times New Roman" w:cs="Times New Roman"/>
          <w:sz w:val="24"/>
          <w:szCs w:val="24"/>
          <w:vertAlign w:val="superscript"/>
        </w:rPr>
        <w:t>-12</w:t>
      </w:r>
      <w:r w:rsidRPr="008E4EFB">
        <w:rPr>
          <w:rFonts w:ascii="Times New Roman" w:eastAsiaTheme="minorEastAsia" w:hAnsi="Times New Roman" w:cs="Times New Roman"/>
          <w:sz w:val="24"/>
          <w:szCs w:val="24"/>
        </w:rPr>
        <w:t xml:space="preserve"> </w:t>
      </w:r>
      <w:r w:rsidRPr="008E4EFB">
        <w:rPr>
          <w:rFonts w:ascii="Times New Roman" w:hAnsi="Times New Roman" w:cs="Times New Roman"/>
          <w:sz w:val="24"/>
          <w:szCs w:val="24"/>
        </w:rPr>
        <w:t>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for wet SO</w:t>
      </w:r>
      <w:r w:rsidRPr="008E4EFB">
        <w:rPr>
          <w:rFonts w:ascii="Times New Roman" w:hAnsi="Times New Roman" w:cs="Times New Roman"/>
          <w:sz w:val="24"/>
          <w:szCs w:val="24"/>
        </w:rPr>
        <w:softHyphen/>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SSP2-4.5 (an average of 4.77±</w:t>
      </w:r>
      <w:r w:rsidRPr="008E4EFB">
        <w:rPr>
          <w:rFonts w:ascii="Times New Roman" w:eastAsiaTheme="minorEastAsia" w:hAnsi="Times New Roman" w:cs="Times New Roman"/>
          <w:sz w:val="24"/>
          <w:szCs w:val="24"/>
        </w:rPr>
        <w:t xml:space="preserve">1.31 </w:t>
      </w:r>
      <m:oMath>
        <m:r>
          <w:rPr>
            <w:rFonts w:ascii="Cambria Math" w:hAnsi="Cambria Math" w:cs="Times New Roman"/>
            <w:sz w:val="24"/>
            <w:szCs w:val="24"/>
          </w:rPr>
          <m:t>×</m:t>
        </m:r>
      </m:oMath>
      <w:r w:rsidRPr="008E4EFB">
        <w:rPr>
          <w:rFonts w:ascii="Times New Roman" w:eastAsiaTheme="minorEastAsia" w:hAnsi="Times New Roman" w:cs="Times New Roman"/>
          <w:sz w:val="24"/>
          <w:szCs w:val="24"/>
        </w:rPr>
        <w:t xml:space="preserve"> 10</w:t>
      </w:r>
      <w:r w:rsidRPr="008E4EFB">
        <w:rPr>
          <w:rFonts w:ascii="Times New Roman" w:eastAsiaTheme="minorEastAsia" w:hAnsi="Times New Roman" w:cs="Times New Roman"/>
          <w:sz w:val="24"/>
          <w:szCs w:val="24"/>
          <w:vertAlign w:val="superscript"/>
        </w:rPr>
        <w:t>-12</w:t>
      </w:r>
      <w:r w:rsidRPr="008E4EFB">
        <w:rPr>
          <w:rFonts w:ascii="Times New Roman" w:eastAsiaTheme="minorEastAsia" w:hAnsi="Times New Roman" w:cs="Times New Roman"/>
          <w:sz w:val="24"/>
          <w:szCs w:val="24"/>
        </w:rPr>
        <w:t xml:space="preserve"> </w:t>
      </w:r>
      <w:r w:rsidRPr="008E4EFB">
        <w:rPr>
          <w:rFonts w:ascii="Times New Roman" w:hAnsi="Times New Roman" w:cs="Times New Roman"/>
          <w:sz w:val="24"/>
          <w:szCs w:val="24"/>
        </w:rPr>
        <w:t>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for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and 1.06±0.03 </w:t>
      </w:r>
      <m:oMath>
        <m:r>
          <w:rPr>
            <w:rFonts w:ascii="Cambria Math" w:hAnsi="Cambria Math" w:cs="Times New Roman"/>
            <w:sz w:val="24"/>
            <w:szCs w:val="24"/>
          </w:rPr>
          <m:t>×</m:t>
        </m:r>
      </m:oMath>
      <w:r w:rsidRPr="008E4EFB">
        <w:rPr>
          <w:rFonts w:ascii="Times New Roman" w:eastAsiaTheme="minorEastAsia" w:hAnsi="Times New Roman" w:cs="Times New Roman"/>
          <w:sz w:val="24"/>
          <w:szCs w:val="24"/>
        </w:rPr>
        <w:t xml:space="preserve"> 10</w:t>
      </w:r>
      <w:r w:rsidRPr="008E4EFB">
        <w:rPr>
          <w:rFonts w:ascii="Times New Roman" w:eastAsiaTheme="minorEastAsia" w:hAnsi="Times New Roman" w:cs="Times New Roman"/>
          <w:sz w:val="24"/>
          <w:szCs w:val="24"/>
          <w:vertAlign w:val="superscript"/>
        </w:rPr>
        <w:t>-12</w:t>
      </w:r>
      <w:r w:rsidRPr="008E4EFB">
        <w:rPr>
          <w:rFonts w:ascii="Times New Roman" w:eastAsiaTheme="minorEastAsia" w:hAnsi="Times New Roman" w:cs="Times New Roman"/>
          <w:sz w:val="24"/>
          <w:szCs w:val="24"/>
        </w:rPr>
        <w:t xml:space="preserve"> </w:t>
      </w:r>
      <w:r w:rsidRPr="008E4EFB">
        <w:rPr>
          <w:rFonts w:ascii="Times New Roman" w:hAnsi="Times New Roman" w:cs="Times New Roman"/>
          <w:sz w:val="24"/>
          <w:szCs w:val="24"/>
        </w:rPr>
        <w:t>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for wet SO</w:t>
      </w:r>
      <w:r w:rsidRPr="008E4EFB">
        <w:rPr>
          <w:rFonts w:ascii="Times New Roman" w:hAnsi="Times New Roman" w:cs="Times New Roman"/>
          <w:sz w:val="24"/>
          <w:szCs w:val="24"/>
        </w:rPr>
        <w:softHyphen/>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and SSP5-8.5 (an average of 5.15±</w:t>
      </w:r>
      <w:r w:rsidRPr="008E4EFB">
        <w:rPr>
          <w:rFonts w:ascii="Times New Roman" w:eastAsiaTheme="minorEastAsia" w:hAnsi="Times New Roman" w:cs="Times New Roman"/>
          <w:sz w:val="24"/>
          <w:szCs w:val="24"/>
        </w:rPr>
        <w:t xml:space="preserve">1.38 </w:t>
      </w:r>
      <m:oMath>
        <m:r>
          <w:rPr>
            <w:rFonts w:ascii="Cambria Math" w:hAnsi="Cambria Math" w:cs="Times New Roman"/>
            <w:sz w:val="24"/>
            <w:szCs w:val="24"/>
          </w:rPr>
          <m:t>×</m:t>
        </m:r>
      </m:oMath>
      <w:r w:rsidRPr="008E4EFB">
        <w:rPr>
          <w:rFonts w:ascii="Times New Roman" w:eastAsiaTheme="minorEastAsia" w:hAnsi="Times New Roman" w:cs="Times New Roman"/>
          <w:sz w:val="24"/>
          <w:szCs w:val="24"/>
        </w:rPr>
        <w:t xml:space="preserve"> 10</w:t>
      </w:r>
      <w:r w:rsidRPr="008E4EFB">
        <w:rPr>
          <w:rFonts w:ascii="Times New Roman" w:eastAsiaTheme="minorEastAsia" w:hAnsi="Times New Roman" w:cs="Times New Roman"/>
          <w:sz w:val="24"/>
          <w:szCs w:val="24"/>
          <w:vertAlign w:val="superscript"/>
        </w:rPr>
        <w:t>-12</w:t>
      </w:r>
      <w:r w:rsidRPr="008E4EFB">
        <w:rPr>
          <w:rFonts w:ascii="Times New Roman" w:eastAsiaTheme="minorEastAsia" w:hAnsi="Times New Roman" w:cs="Times New Roman"/>
          <w:sz w:val="24"/>
          <w:szCs w:val="24"/>
        </w:rPr>
        <w:t xml:space="preserve"> </w:t>
      </w:r>
      <w:r w:rsidRPr="008E4EFB">
        <w:rPr>
          <w:rFonts w:ascii="Times New Roman" w:hAnsi="Times New Roman" w:cs="Times New Roman"/>
          <w:sz w:val="24"/>
          <w:szCs w:val="24"/>
        </w:rPr>
        <w:t>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for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and 1.09±0.03 </w:t>
      </w:r>
      <m:oMath>
        <m:r>
          <w:rPr>
            <w:rFonts w:ascii="Cambria Math" w:hAnsi="Cambria Math" w:cs="Times New Roman"/>
            <w:sz w:val="24"/>
            <w:szCs w:val="24"/>
          </w:rPr>
          <m:t>×</m:t>
        </m:r>
      </m:oMath>
      <w:r w:rsidRPr="008E4EFB">
        <w:rPr>
          <w:rFonts w:ascii="Times New Roman" w:eastAsiaTheme="minorEastAsia" w:hAnsi="Times New Roman" w:cs="Times New Roman"/>
          <w:sz w:val="24"/>
          <w:szCs w:val="24"/>
        </w:rPr>
        <w:t xml:space="preserve"> 10</w:t>
      </w:r>
      <w:r w:rsidRPr="008E4EFB">
        <w:rPr>
          <w:rFonts w:ascii="Times New Roman" w:eastAsiaTheme="minorEastAsia" w:hAnsi="Times New Roman" w:cs="Times New Roman"/>
          <w:sz w:val="24"/>
          <w:szCs w:val="24"/>
          <w:vertAlign w:val="superscript"/>
        </w:rPr>
        <w:t>-12</w:t>
      </w:r>
      <w:r w:rsidRPr="008E4EFB">
        <w:rPr>
          <w:rFonts w:ascii="Times New Roman" w:eastAsiaTheme="minorEastAsia" w:hAnsi="Times New Roman" w:cs="Times New Roman"/>
          <w:sz w:val="24"/>
          <w:szCs w:val="24"/>
        </w:rPr>
        <w:t xml:space="preserve"> </w:t>
      </w:r>
      <w:r w:rsidRPr="008E4EFB">
        <w:rPr>
          <w:rFonts w:ascii="Times New Roman" w:hAnsi="Times New Roman" w:cs="Times New Roman"/>
          <w:sz w:val="24"/>
          <w:szCs w:val="24"/>
        </w:rPr>
        <w:t>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for wet SO</w:t>
      </w:r>
      <w:r w:rsidRPr="008E4EFB">
        <w:rPr>
          <w:rFonts w:ascii="Times New Roman" w:hAnsi="Times New Roman" w:cs="Times New Roman"/>
          <w:sz w:val="24"/>
          <w:szCs w:val="24"/>
        </w:rPr>
        <w:softHyphen/>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throughout the year with a high in December/January and a low in the northern hemisphere summer season as precipitation increases from 3.12±0.08 mm/day to 3.25±0.06 mm/day. This is not consistent with historical patterns of wet SO</w:t>
      </w:r>
      <w:r w:rsidRPr="008E4EFB">
        <w:rPr>
          <w:rFonts w:ascii="Times New Roman" w:hAnsi="Times New Roman" w:cs="Times New Roman"/>
          <w:sz w:val="24"/>
          <w:szCs w:val="24"/>
          <w:vertAlign w:val="subscript"/>
        </w:rPr>
        <w:t xml:space="preserve">2 </w:t>
      </w:r>
      <w:r w:rsidRPr="008E4EFB">
        <w:rPr>
          <w:rFonts w:ascii="Times New Roman" w:hAnsi="Times New Roman" w:cs="Times New Roman"/>
          <w:sz w:val="24"/>
          <w:szCs w:val="24"/>
        </w:rPr>
        <w:t xml:space="preserve">deposition which </w:t>
      </w:r>
      <w:proofErr w:type="gramStart"/>
      <w:r w:rsidRPr="008E4EFB">
        <w:rPr>
          <w:rFonts w:ascii="Times New Roman" w:hAnsi="Times New Roman" w:cs="Times New Roman"/>
          <w:sz w:val="24"/>
          <w:szCs w:val="24"/>
        </w:rPr>
        <w:t>has</w:t>
      </w:r>
      <w:proofErr w:type="gramEnd"/>
      <w:r w:rsidRPr="008E4EFB">
        <w:rPr>
          <w:rFonts w:ascii="Times New Roman" w:hAnsi="Times New Roman" w:cs="Times New Roman"/>
          <w:sz w:val="24"/>
          <w:szCs w:val="24"/>
        </w:rPr>
        <w:t xml:space="preserve"> historically declined during May-October, or with historical patterns of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deposition which has, on average, increased during these months (</w:t>
      </w:r>
      <w:r w:rsidRPr="00427197">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427197">
        <w:rPr>
          <w:rFonts w:ascii="Times New Roman" w:hAnsi="Times New Roman" w:cs="Times New Roman"/>
          <w:b/>
          <w:bCs/>
          <w:sz w:val="24"/>
          <w:szCs w:val="24"/>
        </w:rPr>
        <w:t>.2B</w:t>
      </w:r>
      <w:r w:rsidRPr="008E4EFB">
        <w:rPr>
          <w:rFonts w:ascii="Times New Roman" w:hAnsi="Times New Roman" w:cs="Times New Roman"/>
          <w:sz w:val="24"/>
          <w:szCs w:val="24"/>
        </w:rPr>
        <w:t>).</w:t>
      </w:r>
    </w:p>
    <w:p w14:paraId="0166DF13" w14:textId="5F3A2C4B" w:rsidR="00822EDA" w:rsidRPr="008E4EFB" w:rsidRDefault="00822EDA" w:rsidP="00822EDA">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CESM2-WACCM projects a slight increase in precipitation from 2.89±1.04 mm/day in 1950 to 3.03±0.08 mm/day through 2075 (</w:t>
      </w:r>
      <w:r w:rsidRPr="00427197">
        <w:rPr>
          <w:rFonts w:ascii="Times New Roman" w:hAnsi="Times New Roman" w:cs="Times New Roman"/>
          <w:b/>
          <w:bCs/>
          <w:sz w:val="24"/>
          <w:szCs w:val="24"/>
        </w:rPr>
        <w:t>Figure S</w:t>
      </w:r>
      <w:r w:rsidR="00FB123A">
        <w:rPr>
          <w:rFonts w:ascii="Times New Roman" w:hAnsi="Times New Roman" w:cs="Times New Roman"/>
          <w:b/>
          <w:bCs/>
          <w:sz w:val="24"/>
          <w:szCs w:val="24"/>
        </w:rPr>
        <w:t>4</w:t>
      </w:r>
      <w:r w:rsidRPr="00427197">
        <w:rPr>
          <w:rFonts w:ascii="Times New Roman" w:hAnsi="Times New Roman" w:cs="Times New Roman"/>
          <w:b/>
          <w:bCs/>
          <w:sz w:val="24"/>
          <w:szCs w:val="24"/>
        </w:rPr>
        <w:t>.3</w:t>
      </w:r>
      <w:r w:rsidRPr="008E4EFB">
        <w:rPr>
          <w:rFonts w:ascii="Times New Roman" w:hAnsi="Times New Roman" w:cs="Times New Roman"/>
          <w:sz w:val="24"/>
          <w:szCs w:val="24"/>
        </w:rPr>
        <w:t>) and a large increase in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deposition, with deposition dipping down below 1960s levels (5.63±0.55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until the 2050s and then increasing steadily to nearly as high as the 1980s peak (6.59±0.78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by the end of the century (</w:t>
      </w:r>
      <w:r w:rsidRPr="00427197">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427197">
        <w:rPr>
          <w:rFonts w:ascii="Times New Roman" w:hAnsi="Times New Roman" w:cs="Times New Roman"/>
          <w:b/>
          <w:bCs/>
          <w:sz w:val="24"/>
          <w:szCs w:val="24"/>
        </w:rPr>
        <w:t>.2B</w:t>
      </w:r>
      <w:r w:rsidRPr="008E4EFB">
        <w:rPr>
          <w:rFonts w:ascii="Times New Roman" w:hAnsi="Times New Roman" w:cs="Times New Roman"/>
          <w:sz w:val="24"/>
          <w:szCs w:val="24"/>
        </w:rPr>
        <w:t>). Wet SO</w:t>
      </w:r>
      <w:r w:rsidRPr="008E4EFB">
        <w:rPr>
          <w:rFonts w:ascii="Times New Roman" w:hAnsi="Times New Roman" w:cs="Times New Roman"/>
          <w:sz w:val="24"/>
          <w:szCs w:val="24"/>
          <w:vertAlign w:val="subscript"/>
        </w:rPr>
        <w:t xml:space="preserve">2 </w:t>
      </w:r>
      <w:r w:rsidRPr="008E4EFB">
        <w:rPr>
          <w:rFonts w:ascii="Times New Roman" w:hAnsi="Times New Roman" w:cs="Times New Roman"/>
          <w:sz w:val="24"/>
          <w:szCs w:val="24"/>
        </w:rPr>
        <w:t xml:space="preserve">deposition is projected to decrease from 1.49±0.18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in 2020 to 8.58±0.95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-13</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by 2100. Under SSP2-4.5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is projected to decline consistently from the 1980s peak to 3.97±0.04</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vertAlign w:val="subscript"/>
        </w:rPr>
        <w:t xml:space="preserve"> </w:t>
      </w:r>
      <w:r w:rsidRPr="008E4EFB">
        <w:rPr>
          <w:rFonts w:ascii="Times New Roman" w:hAnsi="Times New Roman" w:cs="Times New Roman"/>
          <w:sz w:val="24"/>
          <w:szCs w:val="24"/>
        </w:rPr>
        <w:t>by 2100 and wet SO</w:t>
      </w:r>
      <w:r w:rsidRPr="008E4EFB">
        <w:rPr>
          <w:rFonts w:ascii="Times New Roman" w:hAnsi="Times New Roman" w:cs="Times New Roman"/>
          <w:sz w:val="24"/>
          <w:szCs w:val="24"/>
          <w:vertAlign w:val="subscript"/>
        </w:rPr>
        <w:t xml:space="preserve">2 </w:t>
      </w:r>
      <w:r w:rsidRPr="008E4EFB">
        <w:rPr>
          <w:rFonts w:ascii="Times New Roman" w:hAnsi="Times New Roman" w:cs="Times New Roman"/>
          <w:sz w:val="24"/>
          <w:szCs w:val="24"/>
        </w:rPr>
        <w:t>is projected to decline to 8.36±1.22</w:t>
      </w:r>
      <m:oMath>
        <m:r>
          <w:rPr>
            <w:rFonts w:ascii="Cambria Math" w:hAnsi="Cambria Math" w:cs="Times New Roman"/>
            <w:sz w:val="24"/>
            <w:szCs w:val="24"/>
          </w:rPr>
          <m:t xml:space="preserve"> ×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 xml:space="preserve">-13 </w:t>
      </w:r>
      <w:r w:rsidRPr="008E4EFB">
        <w:rPr>
          <w:rFonts w:ascii="Times New Roman" w:hAnsi="Times New Roman" w:cs="Times New Roman"/>
          <w:sz w:val="24"/>
          <w:szCs w:val="24"/>
        </w:rPr>
        <w:t xml:space="preserve">over the same time period. </w:t>
      </w:r>
    </w:p>
    <w:p w14:paraId="62887DEB" w14:textId="77777777" w:rsidR="00822EDA" w:rsidRPr="008E4EFB" w:rsidRDefault="00822EDA" w:rsidP="00822EDA">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On a seasonal basis, historically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has increased slightly during May-October as precipitation increases. However, under G6 Sulfur, the CESM2-WACCM model projects a slight decline during those months from 6.67±0.84 </w:t>
      </w:r>
      <m:oMath>
        <m:r>
          <w:rPr>
            <w:rFonts w:ascii="Cambria Math" w:hAnsi="Cambria Math" w:cs="Times New Roman"/>
            <w:sz w:val="24"/>
            <w:szCs w:val="24"/>
          </w:rPr>
          <m:t xml:space="preserve">× </m:t>
        </m:r>
      </m:oMath>
      <w:r w:rsidRPr="008E4EFB">
        <w:rPr>
          <w:rFonts w:ascii="Times New Roman" w:hAnsi="Times New Roman" w:cs="Times New Roman"/>
          <w:sz w:val="24"/>
          <w:szCs w:val="24"/>
        </w:rPr>
        <w:t>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to 5.75±0.62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for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and a slight increase from 1.08±0.34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to 1.33 ±0.47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for wet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as precipitation increases to 3.09±.10 mm/day from 2.89±0.07 mm/day. Under SSP2-4.5 and SSP5-8.5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is projected to remain constant at 5.07±1.42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and 5.33± </w:t>
      </w:r>
      <w:r w:rsidRPr="008E4EFB">
        <w:rPr>
          <w:rFonts w:ascii="Times New Roman" w:eastAsiaTheme="minorEastAsia" w:hAnsi="Times New Roman" w:cs="Times New Roman"/>
          <w:sz w:val="24"/>
          <w:szCs w:val="24"/>
        </w:rPr>
        <w:t>1.49</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respectively. Precipitation increases during the northern hemisphere summer </w:t>
      </w:r>
      <w:r w:rsidRPr="008E4EFB">
        <w:rPr>
          <w:rFonts w:ascii="Times New Roman" w:hAnsi="Times New Roman" w:cs="Times New Roman"/>
          <w:sz w:val="24"/>
          <w:szCs w:val="24"/>
        </w:rPr>
        <w:lastRenderedPageBreak/>
        <w:t>months from a low of 2.94±0.00   mm/day to 3.13±0.00 mm/day under SSP2-4.5 and 2.80±0.01 mm/day to 3.16±0.01 mm/day under SSP5-8.5.</w:t>
      </w:r>
    </w:p>
    <w:p w14:paraId="572FB110" w14:textId="076AE924" w:rsidR="000F3A46" w:rsidRPr="00822EDA" w:rsidRDefault="00822EDA" w:rsidP="00822EDA">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According to the CNRM-ESM2-1 model, precipitation has historically remained constant at 2.94±0.00 mm/day from the 1950s to the present day. Under G6 Sulfur, this trend is projected to continue at 2.99±0.00 mm/day. However, under SSP2-4.5, precipitation is projected to increase to 3.09±0.00 mm/day and under SSP5-8.5, it will increase to 3.18±0.00 mm/day by 2100. All 3 scenarios project a large decline in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deposition from the 1980s peak of 8.49±0.88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to 3.45±0.75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for G6 Sulfur, for SSP2-4.5, and for SSP5-8.5 by 2100 (</w:t>
      </w:r>
      <w:r w:rsidRPr="00427197">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427197">
        <w:rPr>
          <w:rFonts w:ascii="Times New Roman" w:hAnsi="Times New Roman" w:cs="Times New Roman"/>
          <w:b/>
          <w:bCs/>
          <w:sz w:val="24"/>
          <w:szCs w:val="24"/>
        </w:rPr>
        <w:t>.2B</w:t>
      </w:r>
      <w:r w:rsidRPr="008E4EFB">
        <w:rPr>
          <w:rFonts w:ascii="Times New Roman" w:hAnsi="Times New Roman" w:cs="Times New Roman"/>
          <w:sz w:val="24"/>
          <w:szCs w:val="24"/>
        </w:rPr>
        <w:t>). Unlike the other two ESMs, CNRM-ESM2-1 historical estimates show that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has decreased during May-October from 8.42±0.05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to 6.58±0.01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This pattern is consistent with G6 Sulfur projections which estimate a low of 4.26±0.05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and a high of 5.75±0.05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Under SSP2-4.5 and SSP5-8.5 wet 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deposition is relatively constant at 4.84±1.72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s and 5.01±21.81 </w:t>
      </w:r>
      <m:oMath>
        <m:r>
          <w:rPr>
            <w:rFonts w:ascii="Cambria Math" w:hAnsi="Cambria Math" w:cs="Times New Roman"/>
            <w:sz w:val="24"/>
            <w:szCs w:val="24"/>
          </w:rPr>
          <m:t>×</m:t>
        </m:r>
      </m:oMath>
      <w:r w:rsidRPr="008E4EFB">
        <w:rPr>
          <w:rFonts w:ascii="Times New Roman" w:hAnsi="Times New Roman" w:cs="Times New Roman"/>
          <w:sz w:val="24"/>
          <w:szCs w:val="24"/>
        </w:rPr>
        <w:t xml:space="preserve"> 10</w:t>
      </w:r>
      <w:r w:rsidRPr="008E4EFB">
        <w:rPr>
          <w:rFonts w:ascii="Times New Roman" w:hAnsi="Times New Roman" w:cs="Times New Roman"/>
          <w:sz w:val="24"/>
          <w:szCs w:val="24"/>
          <w:vertAlign w:val="superscript"/>
        </w:rPr>
        <w:t>-12</w:t>
      </w:r>
      <w:r w:rsidRPr="008E4EFB">
        <w:rPr>
          <w:rFonts w:ascii="Times New Roman" w:hAnsi="Times New Roman" w:cs="Times New Roman"/>
          <w:sz w:val="24"/>
          <w:szCs w:val="24"/>
        </w:rPr>
        <w:t xml:space="preserve"> kg/m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s, respectively. Precipitation increases during May-October under G6 Sulfur, SSP2-4.5, and SSP5-8.5 from a low of 2.93 mm/day to a high of 3.06 mm/day and a low of 2.97 mm/day to a high of 3.09 mm/day and a low of 2.99 mm/day to a high of 3.11 mm/day, respectively. CNRM-ESM2-1 projections do not include publicly available wet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w:t>
      </w:r>
    </w:p>
    <w:p w14:paraId="407FE3D7" w14:textId="3581FF66" w:rsidR="00EB56E1" w:rsidRPr="008E4EFB" w:rsidRDefault="00EB56E1" w:rsidP="00ED686E">
      <w:pPr>
        <w:pStyle w:val="Style3"/>
        <w:numPr>
          <w:ilvl w:val="1"/>
          <w:numId w:val="29"/>
        </w:numPr>
        <w:spacing w:after="240" w:line="240" w:lineRule="auto"/>
        <w:rPr>
          <w:rFonts w:cs="Times New Roman"/>
          <w:szCs w:val="24"/>
        </w:rPr>
      </w:pPr>
      <w:r w:rsidRPr="008E4EFB">
        <w:rPr>
          <w:rFonts w:cs="Times New Roman"/>
          <w:szCs w:val="24"/>
        </w:rPr>
        <w:t>SAI by Ecoregions</w:t>
      </w:r>
      <w:bookmarkEnd w:id="58"/>
    </w:p>
    <w:p w14:paraId="00889CF3" w14:textId="05570B3C" w:rsidR="00CE7D19" w:rsidRPr="008E4EFB" w:rsidRDefault="00EB56E1"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Focusing on CESM2-WACCM and UKESM1-0-LL projections (the two models with publicly available projections for both SO</w:t>
      </w:r>
      <w:r w:rsidRPr="008E4EFB">
        <w:rPr>
          <w:rFonts w:ascii="Times New Roman" w:eastAsia="Times New Roman" w:hAnsi="Times New Roman" w:cs="Times New Roman"/>
          <w:sz w:val="24"/>
          <w:szCs w:val="24"/>
          <w:vertAlign w:val="subscript"/>
        </w:rPr>
        <w:t>2</w:t>
      </w:r>
      <w:r w:rsidRPr="008E4EFB">
        <w:rPr>
          <w:rFonts w:ascii="Times New Roman" w:eastAsia="Times New Roman" w:hAnsi="Times New Roman" w:cs="Times New Roman"/>
          <w:sz w:val="24"/>
          <w:szCs w:val="24"/>
        </w:rPr>
        <w:t xml:space="preserve"> and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deposition) by ecoregion highlights the parts of the world most likely to be impacted by excess sulfur deposition under G6Sulfur compared to climate change under SSP2-4.5 (</w:t>
      </w:r>
      <w:r w:rsidRPr="00427197">
        <w:rPr>
          <w:rFonts w:ascii="Times New Roman" w:eastAsia="Times New Roman" w:hAnsi="Times New Roman" w:cs="Times New Roman"/>
          <w:b/>
          <w:bCs/>
          <w:sz w:val="24"/>
          <w:szCs w:val="24"/>
        </w:rPr>
        <w:t xml:space="preserve">Figure </w:t>
      </w:r>
      <w:r w:rsidR="00822EDA">
        <w:rPr>
          <w:rFonts w:ascii="Times New Roman" w:eastAsia="Times New Roman" w:hAnsi="Times New Roman" w:cs="Times New Roman"/>
          <w:b/>
          <w:bCs/>
          <w:sz w:val="24"/>
          <w:szCs w:val="24"/>
        </w:rPr>
        <w:t>4</w:t>
      </w:r>
      <w:r w:rsidR="005A173B" w:rsidRPr="00427197">
        <w:rPr>
          <w:rFonts w:ascii="Times New Roman" w:eastAsia="Times New Roman" w:hAnsi="Times New Roman" w:cs="Times New Roman"/>
          <w:b/>
          <w:bCs/>
          <w:sz w:val="24"/>
          <w:szCs w:val="24"/>
        </w:rPr>
        <w:t>.3</w:t>
      </w:r>
      <w:r w:rsidRPr="008E4EFB">
        <w:rPr>
          <w:rFonts w:ascii="Times New Roman" w:eastAsia="Times New Roman" w:hAnsi="Times New Roman" w:cs="Times New Roman"/>
          <w:sz w:val="24"/>
          <w:szCs w:val="24"/>
        </w:rPr>
        <w:t xml:space="preserve">). The comparison between G6 Sulfur and SSP5-8.5 is shown in </w:t>
      </w:r>
      <w:r w:rsidRPr="00FE3C56">
        <w:rPr>
          <w:rFonts w:ascii="Times New Roman" w:eastAsia="Times New Roman" w:hAnsi="Times New Roman" w:cs="Times New Roman"/>
          <w:b/>
          <w:bCs/>
          <w:sz w:val="24"/>
          <w:szCs w:val="24"/>
        </w:rPr>
        <w:t xml:space="preserve">Figure </w:t>
      </w:r>
      <w:r w:rsidR="00AC2A77" w:rsidRPr="00FE3C56">
        <w:rPr>
          <w:rFonts w:ascii="Times New Roman" w:eastAsia="Times New Roman" w:hAnsi="Times New Roman" w:cs="Times New Roman"/>
          <w:b/>
          <w:bCs/>
          <w:sz w:val="24"/>
          <w:szCs w:val="24"/>
        </w:rPr>
        <w:t>S</w:t>
      </w:r>
      <w:r w:rsidR="00F11A53" w:rsidRPr="00FE3C56">
        <w:rPr>
          <w:rFonts w:ascii="Times New Roman" w:eastAsia="Times New Roman" w:hAnsi="Times New Roman" w:cs="Times New Roman"/>
          <w:b/>
          <w:bCs/>
          <w:sz w:val="24"/>
          <w:szCs w:val="24"/>
        </w:rPr>
        <w:t>4</w:t>
      </w:r>
      <w:r w:rsidR="0016676A" w:rsidRPr="00FE3C56">
        <w:rPr>
          <w:rFonts w:ascii="Times New Roman" w:eastAsia="Times New Roman" w:hAnsi="Times New Roman" w:cs="Times New Roman"/>
          <w:b/>
          <w:bCs/>
          <w:sz w:val="24"/>
          <w:szCs w:val="24"/>
        </w:rPr>
        <w:t>.5</w:t>
      </w:r>
      <w:r w:rsidRPr="008E4EFB">
        <w:rPr>
          <w:rFonts w:ascii="Times New Roman" w:eastAsia="Times New Roman" w:hAnsi="Times New Roman" w:cs="Times New Roman"/>
          <w:sz w:val="24"/>
          <w:szCs w:val="24"/>
        </w:rPr>
        <w:t>.</w:t>
      </w:r>
    </w:p>
    <w:p w14:paraId="13EBE20F" w14:textId="37DEC666" w:rsidR="00EB56E1" w:rsidRPr="008E4EFB" w:rsidRDefault="00EB56E1"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According to the CESM2-WACCM model, SO</w:t>
      </w:r>
      <w:r w:rsidRPr="008E4EFB">
        <w:rPr>
          <w:rFonts w:ascii="Times New Roman" w:eastAsia="Times New Roman" w:hAnsi="Times New Roman" w:cs="Times New Roman"/>
          <w:sz w:val="24"/>
          <w:szCs w:val="24"/>
          <w:vertAlign w:val="subscript"/>
        </w:rPr>
        <w:t>2</w:t>
      </w:r>
      <w:r w:rsidRPr="008E4EFB">
        <w:rPr>
          <w:rFonts w:ascii="Times New Roman" w:eastAsia="Times New Roman" w:hAnsi="Times New Roman" w:cs="Times New Roman"/>
          <w:sz w:val="24"/>
          <w:szCs w:val="24"/>
        </w:rPr>
        <w:t xml:space="preserve"> emissions under G6 Sulfur will be higher in 2020-2040 compared to SSP2-4.5 emissions and decline with each progressive decade in savannas, </w:t>
      </w:r>
      <w:bookmarkStart w:id="59" w:name="_Hlk158289895"/>
      <w:r w:rsidRPr="008E4EFB">
        <w:rPr>
          <w:rFonts w:ascii="Times New Roman" w:eastAsia="Times New Roman" w:hAnsi="Times New Roman" w:cs="Times New Roman"/>
          <w:sz w:val="24"/>
          <w:szCs w:val="24"/>
        </w:rPr>
        <w:t>grasslands</w:t>
      </w:r>
      <w:bookmarkEnd w:id="59"/>
      <w:r w:rsidRPr="008E4EFB">
        <w:rPr>
          <w:rFonts w:ascii="Times New Roman" w:eastAsia="Times New Roman" w:hAnsi="Times New Roman" w:cs="Times New Roman"/>
          <w:sz w:val="24"/>
          <w:szCs w:val="24"/>
        </w:rPr>
        <w:t>, and barren or sparsely vegetated lands (</w:t>
      </w:r>
      <w:r w:rsidRPr="00427197">
        <w:rPr>
          <w:rFonts w:ascii="Times New Roman" w:eastAsia="Times New Roman" w:hAnsi="Times New Roman" w:cs="Times New Roman"/>
          <w:b/>
          <w:bCs/>
          <w:sz w:val="24"/>
          <w:szCs w:val="24"/>
        </w:rPr>
        <w:t xml:space="preserve">Figure </w:t>
      </w:r>
      <w:r w:rsidR="00822EDA">
        <w:rPr>
          <w:rFonts w:ascii="Times New Roman" w:eastAsia="Times New Roman" w:hAnsi="Times New Roman" w:cs="Times New Roman"/>
          <w:b/>
          <w:bCs/>
          <w:sz w:val="24"/>
          <w:szCs w:val="24"/>
        </w:rPr>
        <w:t>4</w:t>
      </w:r>
      <w:r w:rsidR="005A173B" w:rsidRPr="00427197">
        <w:rPr>
          <w:rFonts w:ascii="Times New Roman" w:eastAsia="Times New Roman" w:hAnsi="Times New Roman" w:cs="Times New Roman"/>
          <w:b/>
          <w:bCs/>
          <w:sz w:val="24"/>
          <w:szCs w:val="24"/>
        </w:rPr>
        <w:t>.3</w:t>
      </w:r>
      <w:r w:rsidRPr="008E4EFB">
        <w:rPr>
          <w:rFonts w:ascii="Times New Roman" w:eastAsia="Times New Roman" w:hAnsi="Times New Roman" w:cs="Times New Roman"/>
          <w:sz w:val="24"/>
          <w:szCs w:val="24"/>
        </w:rPr>
        <w:t>). In non-marine water bodies, deciduous needleleaf forests, mixed forests, open shrublands, woody savannas, croplands/natural vegetation mosaics, and permanent snow and ice, results are more mixed, with higher emissions under G6 Sulfur in the mid-century only to decline back to or below the SSP2-4.5 emission rate by 2100. And in evergreen needleleaf forests, evergreen broadleaf forests, and croplands SO</w:t>
      </w:r>
      <w:r w:rsidRPr="008E4EFB">
        <w:rPr>
          <w:rFonts w:ascii="Times New Roman" w:eastAsia="Times New Roman" w:hAnsi="Times New Roman" w:cs="Times New Roman"/>
          <w:sz w:val="24"/>
          <w:szCs w:val="24"/>
          <w:vertAlign w:val="subscript"/>
        </w:rPr>
        <w:t xml:space="preserve">2 </w:t>
      </w:r>
      <w:r w:rsidRPr="008E4EFB">
        <w:rPr>
          <w:rFonts w:ascii="Times New Roman" w:eastAsia="Times New Roman" w:hAnsi="Times New Roman" w:cs="Times New Roman"/>
          <w:sz w:val="24"/>
          <w:szCs w:val="24"/>
        </w:rPr>
        <w:t>emissions experience negligible change from SSP2-4.5 levels.</w:t>
      </w:r>
    </w:p>
    <w:p w14:paraId="2F8DF1A2" w14:textId="2BB5CA90" w:rsidR="00EB56E1" w:rsidRPr="008E4EFB" w:rsidRDefault="00EB56E1" w:rsidP="00ED686E">
      <w:pPr>
        <w:spacing w:line="240" w:lineRule="auto"/>
        <w:rPr>
          <w:rFonts w:ascii="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257F7E68" wp14:editId="27212B5B">
            <wp:extent cx="5943600" cy="6706870"/>
            <wp:effectExtent l="0" t="0" r="0" b="0"/>
            <wp:docPr id="1561073161" name="Picture 1"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73161" name="Picture 1" descr="A graph of different colored lines&#10;&#10;Description automatically generated with medium confidence"/>
                    <pic:cNvPicPr/>
                  </pic:nvPicPr>
                  <pic:blipFill>
                    <a:blip r:embed="rId41"/>
                    <a:stretch>
                      <a:fillRect/>
                    </a:stretch>
                  </pic:blipFill>
                  <pic:spPr>
                    <a:xfrm>
                      <a:off x="0" y="0"/>
                      <a:ext cx="5943600" cy="6706870"/>
                    </a:xfrm>
                    <a:prstGeom prst="rect">
                      <a:avLst/>
                    </a:prstGeom>
                  </pic:spPr>
                </pic:pic>
              </a:graphicData>
            </a:graphic>
          </wp:inline>
        </w:drawing>
      </w:r>
    </w:p>
    <w:p w14:paraId="7212360E" w14:textId="52C3C9F7" w:rsidR="00A51128" w:rsidRPr="008E4EFB" w:rsidRDefault="00A51128" w:rsidP="00ED686E">
      <w:pPr>
        <w:pStyle w:val="Caption"/>
        <w:rPr>
          <w:rFonts w:ascii="Times New Roman" w:hAnsi="Times New Roman" w:cs="Times New Roman"/>
          <w:i w:val="0"/>
          <w:iCs w:val="0"/>
          <w:color w:val="auto"/>
          <w:sz w:val="24"/>
          <w:szCs w:val="24"/>
        </w:rPr>
      </w:pPr>
      <w:bookmarkStart w:id="60" w:name="_Toc179917566"/>
      <w:bookmarkStart w:id="61" w:name="_Toc179918046"/>
      <w:bookmarkStart w:id="62" w:name="_Toc184062907"/>
      <w:r w:rsidRPr="008E4EFB">
        <w:rPr>
          <w:rFonts w:ascii="Times New Roman" w:hAnsi="Times New Roman" w:cs="Times New Roman"/>
          <w:i w:val="0"/>
          <w:iCs w:val="0"/>
          <w:color w:val="auto"/>
          <w:sz w:val="24"/>
          <w:szCs w:val="24"/>
        </w:rPr>
        <w:t xml:space="preserve">Figure </w:t>
      </w:r>
      <w:r w:rsidR="00843C51" w:rsidRPr="008E4EFB">
        <w:rPr>
          <w:rFonts w:ascii="Times New Roman" w:hAnsi="Times New Roman" w:cs="Times New Roman"/>
          <w:i w:val="0"/>
          <w:iCs w:val="0"/>
          <w:color w:val="auto"/>
          <w:sz w:val="24"/>
          <w:szCs w:val="24"/>
        </w:rPr>
        <w:t>4</w:t>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3</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The percent change from SSP2-4.5 to G6Sulfur for CESM2-WACCM and UKESM1-0-LL SO2 and </w:t>
      </w:r>
      <w:r w:rsidR="009A3509" w:rsidRPr="008E4EFB">
        <w:rPr>
          <w:rFonts w:ascii="Times New Roman" w:hAnsi="Times New Roman" w:cs="Times New Roman"/>
          <w:i w:val="0"/>
          <w:iCs w:val="0"/>
          <w:color w:val="auto"/>
          <w:sz w:val="24"/>
          <w:szCs w:val="24"/>
        </w:rPr>
        <w:t>SO</w:t>
      </w:r>
      <w:r w:rsidR="009A3509" w:rsidRPr="008E4EFB">
        <w:rPr>
          <w:rFonts w:ascii="Times New Roman" w:hAnsi="Times New Roman" w:cs="Times New Roman"/>
          <w:i w:val="0"/>
          <w:iCs w:val="0"/>
          <w:color w:val="auto"/>
          <w:sz w:val="24"/>
          <w:szCs w:val="24"/>
          <w:vertAlign w:val="subscript"/>
        </w:rPr>
        <w:t>4</w:t>
      </w:r>
      <w:r w:rsidR="009A3509" w:rsidRPr="008E4EFB">
        <w:rPr>
          <w:rFonts w:ascii="Times New Roman" w:hAnsi="Times New Roman" w:cs="Times New Roman"/>
          <w:i w:val="0"/>
          <w:iCs w:val="0"/>
          <w:color w:val="auto"/>
          <w:sz w:val="24"/>
          <w:szCs w:val="24"/>
          <w:vertAlign w:val="superscript"/>
        </w:rPr>
        <w:t>2-</w:t>
      </w:r>
      <w:r w:rsidR="009A3509" w:rsidRPr="008E4EFB">
        <w:rPr>
          <w:rFonts w:ascii="Times New Roman" w:hAnsi="Times New Roman" w:cs="Times New Roman"/>
          <w:color w:val="auto"/>
          <w:sz w:val="24"/>
          <w:szCs w:val="24"/>
        </w:rPr>
        <w:t xml:space="preserve"> </w:t>
      </w:r>
      <w:r w:rsidRPr="008E4EFB">
        <w:rPr>
          <w:rFonts w:ascii="Times New Roman" w:hAnsi="Times New Roman" w:cs="Times New Roman"/>
          <w:i w:val="0"/>
          <w:iCs w:val="0"/>
          <w:color w:val="auto"/>
          <w:sz w:val="24"/>
          <w:szCs w:val="24"/>
        </w:rPr>
        <w:t>deposition by ecoregion, calculated as a difference in total deposition in Tg-S/yr. and the percent change from SSP5-8.5 is shown in Figure S</w:t>
      </w:r>
      <w:r w:rsidR="00F11A53">
        <w:rPr>
          <w:rFonts w:ascii="Times New Roman" w:hAnsi="Times New Roman" w:cs="Times New Roman"/>
          <w:i w:val="0"/>
          <w:iCs w:val="0"/>
          <w:color w:val="auto"/>
          <w:sz w:val="24"/>
          <w:szCs w:val="24"/>
        </w:rPr>
        <w:t>4</w:t>
      </w:r>
      <w:r w:rsidRPr="008E4EFB">
        <w:rPr>
          <w:rFonts w:ascii="Times New Roman" w:hAnsi="Times New Roman" w:cs="Times New Roman"/>
          <w:i w:val="0"/>
          <w:iCs w:val="0"/>
          <w:color w:val="auto"/>
          <w:sz w:val="24"/>
          <w:szCs w:val="24"/>
        </w:rPr>
        <w:t>.5.</w:t>
      </w:r>
      <w:bookmarkEnd w:id="60"/>
      <w:bookmarkEnd w:id="61"/>
      <w:bookmarkEnd w:id="62"/>
    </w:p>
    <w:p w14:paraId="737BA4D9" w14:textId="77777777" w:rsidR="00EB56E1" w:rsidRPr="008E4EFB" w:rsidRDefault="00EB56E1" w:rsidP="00ED686E">
      <w:pPr>
        <w:spacing w:line="240" w:lineRule="auto"/>
        <w:jc w:val="center"/>
        <w:rPr>
          <w:rFonts w:ascii="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3E891827" wp14:editId="2C705EB2">
            <wp:extent cx="1955367" cy="2305050"/>
            <wp:effectExtent l="0" t="0" r="6985" b="0"/>
            <wp:docPr id="2103125939" name="Picture 1"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25939" name="Picture 1" descr="A white paper with black text&#10;&#10;Description automatically generated"/>
                    <pic:cNvPicPr/>
                  </pic:nvPicPr>
                  <pic:blipFill>
                    <a:blip r:embed="rId42"/>
                    <a:stretch>
                      <a:fillRect/>
                    </a:stretch>
                  </pic:blipFill>
                  <pic:spPr>
                    <a:xfrm>
                      <a:off x="0" y="0"/>
                      <a:ext cx="1961241" cy="2311974"/>
                    </a:xfrm>
                    <a:prstGeom prst="rect">
                      <a:avLst/>
                    </a:prstGeom>
                  </pic:spPr>
                </pic:pic>
              </a:graphicData>
            </a:graphic>
          </wp:inline>
        </w:drawing>
      </w:r>
    </w:p>
    <w:p w14:paraId="08C5CAC0" w14:textId="68386CD5" w:rsidR="00EB56E1" w:rsidRPr="008E4EFB" w:rsidRDefault="00EB56E1" w:rsidP="00ED686E">
      <w:pPr>
        <w:spacing w:line="240" w:lineRule="auto"/>
        <w:rPr>
          <w:rFonts w:ascii="Times New Roman" w:hAnsi="Times New Roman" w:cs="Times New Roman"/>
          <w:sz w:val="24"/>
          <w:szCs w:val="24"/>
        </w:rPr>
      </w:pPr>
      <w:r w:rsidRPr="008E4EFB">
        <w:rPr>
          <w:rFonts w:ascii="Times New Roman" w:hAnsi="Times New Roman" w:cs="Times New Roman"/>
          <w:sz w:val="24"/>
          <w:szCs w:val="24"/>
        </w:rPr>
        <w:t xml:space="preserve">Figure </w:t>
      </w:r>
      <w:r w:rsidR="00843C51" w:rsidRPr="008E4EFB">
        <w:rPr>
          <w:rFonts w:ascii="Times New Roman" w:hAnsi="Times New Roman" w:cs="Times New Roman"/>
          <w:sz w:val="24"/>
          <w:szCs w:val="24"/>
        </w:rPr>
        <w:t>4</w:t>
      </w:r>
      <w:r w:rsidR="005A173B" w:rsidRPr="008E4EFB">
        <w:rPr>
          <w:rFonts w:ascii="Times New Roman" w:hAnsi="Times New Roman" w:cs="Times New Roman"/>
          <w:sz w:val="24"/>
          <w:szCs w:val="24"/>
        </w:rPr>
        <w:t>.3</w:t>
      </w:r>
      <w:r w:rsidR="00A51128" w:rsidRPr="008E4EFB">
        <w:rPr>
          <w:rFonts w:ascii="Times New Roman" w:hAnsi="Times New Roman" w:cs="Times New Roman"/>
          <w:sz w:val="24"/>
          <w:szCs w:val="24"/>
        </w:rPr>
        <w:t xml:space="preserve"> (Continued)</w:t>
      </w:r>
    </w:p>
    <w:p w14:paraId="6DE33695" w14:textId="77777777" w:rsidR="00822EDA" w:rsidRDefault="00822EDA" w:rsidP="00822EDA">
      <w:pPr>
        <w:spacing w:after="0" w:line="360" w:lineRule="auto"/>
        <w:rPr>
          <w:rFonts w:ascii="Times New Roman" w:eastAsia="Times New Roman" w:hAnsi="Times New Roman" w:cs="Times New Roman"/>
          <w:sz w:val="24"/>
          <w:szCs w:val="24"/>
        </w:rPr>
      </w:pPr>
      <w:bookmarkStart w:id="63" w:name="_Toc179917984"/>
    </w:p>
    <w:p w14:paraId="04390235" w14:textId="77777777" w:rsidR="00822EDA" w:rsidRDefault="00822EDA" w:rsidP="00822EDA">
      <w:pPr>
        <w:spacing w:after="0" w:line="360" w:lineRule="auto"/>
        <w:rPr>
          <w:rFonts w:ascii="Times New Roman" w:eastAsia="Times New Roman" w:hAnsi="Times New Roman" w:cs="Times New Roman"/>
          <w:sz w:val="24"/>
          <w:szCs w:val="24"/>
        </w:rPr>
      </w:pPr>
    </w:p>
    <w:p w14:paraId="67EC55B7" w14:textId="77777777" w:rsidR="00822EDA" w:rsidRDefault="00822EDA" w:rsidP="00822EDA">
      <w:pPr>
        <w:spacing w:after="0" w:line="360" w:lineRule="auto"/>
        <w:rPr>
          <w:rFonts w:ascii="Times New Roman" w:eastAsia="Times New Roman" w:hAnsi="Times New Roman" w:cs="Times New Roman"/>
          <w:sz w:val="24"/>
          <w:szCs w:val="24"/>
        </w:rPr>
      </w:pPr>
    </w:p>
    <w:p w14:paraId="73EF499E" w14:textId="77777777" w:rsidR="00822EDA" w:rsidRDefault="00822EDA" w:rsidP="00822EDA">
      <w:pPr>
        <w:spacing w:after="0" w:line="360" w:lineRule="auto"/>
        <w:rPr>
          <w:rFonts w:ascii="Times New Roman" w:eastAsia="Times New Roman" w:hAnsi="Times New Roman" w:cs="Times New Roman"/>
          <w:sz w:val="24"/>
          <w:szCs w:val="24"/>
        </w:rPr>
      </w:pPr>
    </w:p>
    <w:p w14:paraId="101DCD5E" w14:textId="77777777" w:rsidR="00822EDA" w:rsidRDefault="00822EDA" w:rsidP="00822EDA">
      <w:pPr>
        <w:spacing w:after="0" w:line="360" w:lineRule="auto"/>
        <w:rPr>
          <w:rFonts w:ascii="Times New Roman" w:eastAsia="Times New Roman" w:hAnsi="Times New Roman" w:cs="Times New Roman"/>
          <w:sz w:val="24"/>
          <w:szCs w:val="24"/>
        </w:rPr>
      </w:pPr>
    </w:p>
    <w:p w14:paraId="09D09627" w14:textId="77777777" w:rsidR="00822EDA" w:rsidRDefault="00822EDA" w:rsidP="00822EDA">
      <w:pPr>
        <w:spacing w:after="0" w:line="360" w:lineRule="auto"/>
        <w:rPr>
          <w:rFonts w:ascii="Times New Roman" w:eastAsia="Times New Roman" w:hAnsi="Times New Roman" w:cs="Times New Roman"/>
          <w:sz w:val="24"/>
          <w:szCs w:val="24"/>
        </w:rPr>
      </w:pPr>
    </w:p>
    <w:p w14:paraId="4EF97142" w14:textId="77777777" w:rsidR="00822EDA" w:rsidRDefault="00822EDA" w:rsidP="00822EDA">
      <w:pPr>
        <w:spacing w:after="0" w:line="360" w:lineRule="auto"/>
        <w:rPr>
          <w:rFonts w:ascii="Times New Roman" w:eastAsia="Times New Roman" w:hAnsi="Times New Roman" w:cs="Times New Roman"/>
          <w:sz w:val="24"/>
          <w:szCs w:val="24"/>
        </w:rPr>
      </w:pPr>
    </w:p>
    <w:p w14:paraId="4EC8C2CF" w14:textId="77777777" w:rsidR="00822EDA" w:rsidRDefault="00822EDA" w:rsidP="00822EDA">
      <w:pPr>
        <w:spacing w:after="0" w:line="360" w:lineRule="auto"/>
        <w:rPr>
          <w:rFonts w:ascii="Times New Roman" w:eastAsia="Times New Roman" w:hAnsi="Times New Roman" w:cs="Times New Roman"/>
          <w:sz w:val="24"/>
          <w:szCs w:val="24"/>
        </w:rPr>
      </w:pPr>
    </w:p>
    <w:p w14:paraId="4E79C03A" w14:textId="77777777" w:rsidR="00822EDA" w:rsidRDefault="00822EDA" w:rsidP="00822EDA">
      <w:pPr>
        <w:spacing w:after="0" w:line="360" w:lineRule="auto"/>
        <w:rPr>
          <w:rFonts w:ascii="Times New Roman" w:eastAsia="Times New Roman" w:hAnsi="Times New Roman" w:cs="Times New Roman"/>
          <w:sz w:val="24"/>
          <w:szCs w:val="24"/>
        </w:rPr>
      </w:pPr>
    </w:p>
    <w:p w14:paraId="647D8253" w14:textId="77777777" w:rsidR="00822EDA" w:rsidRDefault="00822EDA" w:rsidP="00822EDA">
      <w:pPr>
        <w:spacing w:after="0" w:line="360" w:lineRule="auto"/>
        <w:rPr>
          <w:rFonts w:ascii="Times New Roman" w:eastAsia="Times New Roman" w:hAnsi="Times New Roman" w:cs="Times New Roman"/>
          <w:sz w:val="24"/>
          <w:szCs w:val="24"/>
        </w:rPr>
      </w:pPr>
    </w:p>
    <w:p w14:paraId="439203DE" w14:textId="77777777" w:rsidR="00822EDA" w:rsidRDefault="00822EDA" w:rsidP="00822EDA">
      <w:pPr>
        <w:spacing w:after="0" w:line="360" w:lineRule="auto"/>
        <w:rPr>
          <w:rFonts w:ascii="Times New Roman" w:eastAsia="Times New Roman" w:hAnsi="Times New Roman" w:cs="Times New Roman"/>
          <w:sz w:val="24"/>
          <w:szCs w:val="24"/>
        </w:rPr>
      </w:pPr>
    </w:p>
    <w:p w14:paraId="6730509C" w14:textId="77777777" w:rsidR="00822EDA" w:rsidRDefault="00822EDA" w:rsidP="00822EDA">
      <w:pPr>
        <w:spacing w:after="0" w:line="360" w:lineRule="auto"/>
        <w:rPr>
          <w:rFonts w:ascii="Times New Roman" w:eastAsia="Times New Roman" w:hAnsi="Times New Roman" w:cs="Times New Roman"/>
          <w:sz w:val="24"/>
          <w:szCs w:val="24"/>
        </w:rPr>
      </w:pPr>
    </w:p>
    <w:p w14:paraId="3BBE48E7" w14:textId="77777777" w:rsidR="00822EDA" w:rsidRDefault="00822EDA" w:rsidP="00822EDA">
      <w:pPr>
        <w:spacing w:after="0" w:line="360" w:lineRule="auto"/>
        <w:rPr>
          <w:rFonts w:ascii="Times New Roman" w:eastAsia="Times New Roman" w:hAnsi="Times New Roman" w:cs="Times New Roman"/>
          <w:sz w:val="24"/>
          <w:szCs w:val="24"/>
        </w:rPr>
      </w:pPr>
    </w:p>
    <w:p w14:paraId="23727DB6" w14:textId="77777777" w:rsidR="00822EDA" w:rsidRDefault="00822EDA" w:rsidP="00822EDA">
      <w:pPr>
        <w:spacing w:after="0" w:line="360" w:lineRule="auto"/>
        <w:rPr>
          <w:rFonts w:ascii="Times New Roman" w:eastAsia="Times New Roman" w:hAnsi="Times New Roman" w:cs="Times New Roman"/>
          <w:sz w:val="24"/>
          <w:szCs w:val="24"/>
        </w:rPr>
      </w:pPr>
    </w:p>
    <w:p w14:paraId="06A3C932" w14:textId="77777777" w:rsidR="00822EDA" w:rsidRDefault="00822EDA" w:rsidP="00822EDA">
      <w:pPr>
        <w:spacing w:after="0" w:line="360" w:lineRule="auto"/>
        <w:rPr>
          <w:rFonts w:ascii="Times New Roman" w:eastAsia="Times New Roman" w:hAnsi="Times New Roman" w:cs="Times New Roman"/>
          <w:sz w:val="24"/>
          <w:szCs w:val="24"/>
        </w:rPr>
      </w:pPr>
    </w:p>
    <w:p w14:paraId="095D47A7" w14:textId="77777777" w:rsidR="00822EDA" w:rsidRDefault="00822EDA" w:rsidP="00822EDA">
      <w:pPr>
        <w:spacing w:after="0" w:line="360" w:lineRule="auto"/>
        <w:rPr>
          <w:rFonts w:ascii="Times New Roman" w:eastAsia="Times New Roman" w:hAnsi="Times New Roman" w:cs="Times New Roman"/>
          <w:sz w:val="24"/>
          <w:szCs w:val="24"/>
        </w:rPr>
      </w:pPr>
    </w:p>
    <w:p w14:paraId="3FF9C5E9" w14:textId="77777777" w:rsidR="00822EDA" w:rsidRDefault="00822EDA" w:rsidP="00822EDA">
      <w:pPr>
        <w:spacing w:after="0" w:line="360" w:lineRule="auto"/>
        <w:rPr>
          <w:rFonts w:ascii="Times New Roman" w:eastAsia="Times New Roman" w:hAnsi="Times New Roman" w:cs="Times New Roman"/>
          <w:sz w:val="24"/>
          <w:szCs w:val="24"/>
        </w:rPr>
      </w:pPr>
    </w:p>
    <w:p w14:paraId="2DB41804" w14:textId="77777777" w:rsidR="00822EDA" w:rsidRDefault="00822EDA" w:rsidP="00822EDA">
      <w:pPr>
        <w:spacing w:after="0" w:line="360" w:lineRule="auto"/>
        <w:rPr>
          <w:rFonts w:ascii="Times New Roman" w:eastAsia="Times New Roman" w:hAnsi="Times New Roman" w:cs="Times New Roman"/>
          <w:sz w:val="24"/>
          <w:szCs w:val="24"/>
        </w:rPr>
      </w:pPr>
    </w:p>
    <w:p w14:paraId="2B6E4D7A" w14:textId="77777777" w:rsidR="00822EDA" w:rsidRDefault="00822EDA" w:rsidP="00822EDA">
      <w:pPr>
        <w:spacing w:after="0" w:line="360" w:lineRule="auto"/>
        <w:rPr>
          <w:rFonts w:ascii="Times New Roman" w:eastAsia="Times New Roman" w:hAnsi="Times New Roman" w:cs="Times New Roman"/>
          <w:sz w:val="24"/>
          <w:szCs w:val="24"/>
        </w:rPr>
      </w:pPr>
    </w:p>
    <w:p w14:paraId="0B4CFA56" w14:textId="77777777" w:rsidR="00822EDA" w:rsidRDefault="00822EDA" w:rsidP="00822EDA">
      <w:pPr>
        <w:spacing w:after="0" w:line="360" w:lineRule="auto"/>
        <w:rPr>
          <w:rFonts w:ascii="Times New Roman" w:eastAsia="Times New Roman" w:hAnsi="Times New Roman" w:cs="Times New Roman"/>
          <w:sz w:val="24"/>
          <w:szCs w:val="24"/>
        </w:rPr>
      </w:pPr>
    </w:p>
    <w:p w14:paraId="0A0EB8BA" w14:textId="419EFC97" w:rsidR="00822EDA" w:rsidRPr="008E4EFB" w:rsidRDefault="00822EDA" w:rsidP="00822EDA">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lastRenderedPageBreak/>
        <w:t xml:space="preserve">According to the CESM2-WACCM model,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emissions are projected to be higher from 2020-2040 under G6 Sulfur than SSP2-4.5 and decline with each progressive decade through 2100 in non-marine water bodies (from 267% to 98%), evergreen broadleaf forests (123% to 93%), mixed forests (from 170% to 113%), savannas (from 180% to 38%), grasslands (from 143% to 76%), croplands (from 134% to 82%), and barren or sparsely vegetated lands (from 136% to 51% ). In deciduous needleleaf forests and open shrublands,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emissions increase mid-century relative to SSP2-4.5 (184% and 166%, respectively) </w:t>
      </w:r>
      <w:proofErr w:type="gramStart"/>
      <w:r w:rsidRPr="008E4EFB">
        <w:rPr>
          <w:rFonts w:ascii="Times New Roman" w:eastAsia="Times New Roman" w:hAnsi="Times New Roman" w:cs="Times New Roman"/>
          <w:sz w:val="24"/>
          <w:szCs w:val="24"/>
        </w:rPr>
        <w:t>only to decline</w:t>
      </w:r>
      <w:proofErr w:type="gramEnd"/>
      <w:r w:rsidRPr="008E4EFB">
        <w:rPr>
          <w:rFonts w:ascii="Times New Roman" w:eastAsia="Times New Roman" w:hAnsi="Times New Roman" w:cs="Times New Roman"/>
          <w:sz w:val="24"/>
          <w:szCs w:val="24"/>
        </w:rPr>
        <w:t xml:space="preserve"> to less than 100% by 2081-2100. In woody savannas, emissions are consistently higher than SSP2-4.5 emissions. In evergreen needleleaf forests emissions remain constant at 100% of SSP2-4.5 levels. And in croplands/natural vegetation mosaics and permanent snow and ice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emissions drop below 100% of the SSP2-4.5 rate mid-century only to increase to 140% and 107%, respectively, of SSP2-4.5 levels by 2081-2100. </w:t>
      </w:r>
    </w:p>
    <w:p w14:paraId="71D15FF4" w14:textId="77777777" w:rsidR="00822EDA" w:rsidRPr="008E4EFB" w:rsidRDefault="00822EDA" w:rsidP="00822EDA">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Under G6 Sulfur, SO</w:t>
      </w:r>
      <w:r w:rsidRPr="008E4EFB">
        <w:rPr>
          <w:rFonts w:ascii="Times New Roman" w:eastAsia="Times New Roman" w:hAnsi="Times New Roman" w:cs="Times New Roman"/>
          <w:sz w:val="24"/>
          <w:szCs w:val="24"/>
          <w:vertAlign w:val="subscript"/>
        </w:rPr>
        <w:t>2</w:t>
      </w:r>
      <w:r w:rsidRPr="008E4EFB">
        <w:rPr>
          <w:rFonts w:ascii="Times New Roman" w:eastAsia="Times New Roman" w:hAnsi="Times New Roman" w:cs="Times New Roman"/>
          <w:sz w:val="24"/>
          <w:szCs w:val="24"/>
        </w:rPr>
        <w:t xml:space="preserve"> deposition according to the CESM2-WACCM model declines relative to SSP2-4.5 levels from close to 150% to less than 100% in non-marine water bodies (from 147% to 97%), deciduous needleleaf forests (from 199% to 110%), mixed forests (from 150% to 83%), savannas (from 175% to 49%), permanent snow and ice (from 162% to 42%), and barren or sparsely vegetated lands (from 153% to 47%). In open shrublands and croplands/natural vegetation mosaics, there is no difference between G6 Sulfur and SSP2-4.5 SO</w:t>
      </w:r>
      <w:r w:rsidRPr="008E4EFB">
        <w:rPr>
          <w:rFonts w:ascii="Times New Roman" w:eastAsia="Times New Roman" w:hAnsi="Times New Roman" w:cs="Times New Roman"/>
          <w:sz w:val="24"/>
          <w:szCs w:val="24"/>
          <w:vertAlign w:val="subscript"/>
        </w:rPr>
        <w:t>2</w:t>
      </w:r>
      <w:r w:rsidRPr="008E4EFB">
        <w:rPr>
          <w:rFonts w:ascii="Times New Roman" w:eastAsia="Times New Roman" w:hAnsi="Times New Roman" w:cs="Times New Roman"/>
          <w:sz w:val="24"/>
          <w:szCs w:val="24"/>
        </w:rPr>
        <w:t xml:space="preserve"> deposition throughout the century. Two ecoregions experience a decrease during </w:t>
      </w:r>
      <w:r w:rsidRPr="008E4EFB">
        <w:rPr>
          <w:rFonts w:ascii="Times New Roman" w:eastAsia="Times New Roman" w:hAnsi="Times New Roman" w:cs="Times New Roman"/>
          <w:kern w:val="2"/>
          <w:sz w:val="24"/>
          <w:szCs w:val="24"/>
        </w:rPr>
        <w:t xml:space="preserve">2041-2060 </w:t>
      </w:r>
      <w:r w:rsidRPr="008E4EFB">
        <w:rPr>
          <w:rFonts w:ascii="Times New Roman" w:eastAsia="Times New Roman" w:hAnsi="Times New Roman" w:cs="Times New Roman"/>
          <w:sz w:val="24"/>
          <w:szCs w:val="24"/>
        </w:rPr>
        <w:t>compared to SSP2-4.5 levels – from 133% to 101% in evergreen needleleaf forests and from 116% to 91% in grasslands. Other ecoregions instead will experience greater SO</w:t>
      </w:r>
      <w:r w:rsidRPr="008E4EFB">
        <w:rPr>
          <w:rFonts w:ascii="Times New Roman" w:eastAsia="Times New Roman" w:hAnsi="Times New Roman" w:cs="Times New Roman"/>
          <w:sz w:val="24"/>
          <w:szCs w:val="24"/>
          <w:vertAlign w:val="subscript"/>
        </w:rPr>
        <w:t>2</w:t>
      </w:r>
      <w:r w:rsidRPr="008E4EFB">
        <w:rPr>
          <w:rFonts w:ascii="Times New Roman" w:eastAsia="Times New Roman" w:hAnsi="Times New Roman" w:cs="Times New Roman"/>
          <w:sz w:val="24"/>
          <w:szCs w:val="24"/>
        </w:rPr>
        <w:t xml:space="preserve"> deposition relative to SPSP2-4.5 during this time period: evergreen broadleaf forests (from 130% to 170%), woody savannas (from 140% to 190%), and croplands (from 106% to 163%). </w:t>
      </w:r>
    </w:p>
    <w:p w14:paraId="085B102D" w14:textId="77777777" w:rsidR="00822EDA" w:rsidRPr="008E4EFB" w:rsidRDefault="00822EDA" w:rsidP="00822EDA">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According to the CESM2-WACCM model,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deposition is projected to be higher under G6 Sulfur than SSP2-4.5 in the 2020s and decline relative to SSP2-4.5 by 2100 in woody savannas (from 163% to 120%), savannas (from 224% to 86%), permanent snow and ice (from 179% to 90%), and barren or sparsely vegetated lands (from 149% to 87%).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emissions are projected to increase by the end of the century in non-marine water bodies (from 95% to 138%), deciduous needleleaf forests (from 99% to 170%), mixed forests (from 118% to 128%), and open shrublands (from 94% to 130%) relative to SSP2-4.5.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emissions will decline through </w:t>
      </w:r>
      <w:r w:rsidRPr="008E4EFB">
        <w:rPr>
          <w:rFonts w:ascii="Times New Roman" w:eastAsia="Times New Roman" w:hAnsi="Times New Roman" w:cs="Times New Roman"/>
          <w:kern w:val="2"/>
          <w:sz w:val="24"/>
          <w:szCs w:val="24"/>
        </w:rPr>
        <w:t>2061-2080</w:t>
      </w:r>
      <w:r w:rsidRPr="008E4EFB">
        <w:rPr>
          <w:rFonts w:ascii="Times New Roman" w:eastAsia="Times New Roman" w:hAnsi="Times New Roman" w:cs="Times New Roman"/>
          <w:sz w:val="24"/>
          <w:szCs w:val="24"/>
        </w:rPr>
        <w:t xml:space="preserve"> and then increase again relative to SSP2-4.5 in evergreen needleleaf forests (from 122% to </w:t>
      </w:r>
      <w:r w:rsidRPr="008E4EFB">
        <w:rPr>
          <w:rFonts w:ascii="Times New Roman" w:eastAsia="Times New Roman" w:hAnsi="Times New Roman" w:cs="Times New Roman"/>
          <w:sz w:val="24"/>
          <w:szCs w:val="24"/>
        </w:rPr>
        <w:lastRenderedPageBreak/>
        <w:t xml:space="preserve">143%), grasslands (from 89% to 112%) and croplands (from 95% to 110%). In evergreen broadleaf forests,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proofErr w:type="gramStart"/>
      <w:r w:rsidRPr="008E4EFB">
        <w:rPr>
          <w:rFonts w:ascii="Times New Roman" w:eastAsia="Times New Roman" w:hAnsi="Times New Roman" w:cs="Times New Roman"/>
          <w:sz w:val="24"/>
          <w:szCs w:val="24"/>
        </w:rPr>
        <w:t>deposition</w:t>
      </w:r>
      <w:proofErr w:type="gramEnd"/>
      <w:r w:rsidRPr="008E4EFB">
        <w:rPr>
          <w:rFonts w:ascii="Times New Roman" w:eastAsia="Times New Roman" w:hAnsi="Times New Roman" w:cs="Times New Roman"/>
          <w:sz w:val="24"/>
          <w:szCs w:val="24"/>
        </w:rPr>
        <w:t xml:space="preserve"> is greater relative to SSP2-4.5 levels through </w:t>
      </w:r>
      <w:r w:rsidRPr="008E4EFB">
        <w:rPr>
          <w:rFonts w:ascii="Times New Roman" w:eastAsia="Times New Roman" w:hAnsi="Times New Roman" w:cs="Times New Roman"/>
          <w:kern w:val="2"/>
          <w:sz w:val="24"/>
          <w:szCs w:val="24"/>
        </w:rPr>
        <w:t xml:space="preserve">2061-2080 </w:t>
      </w:r>
      <w:r w:rsidRPr="008E4EFB">
        <w:rPr>
          <w:rFonts w:ascii="Times New Roman" w:eastAsia="Times New Roman" w:hAnsi="Times New Roman" w:cs="Times New Roman"/>
          <w:sz w:val="24"/>
          <w:szCs w:val="24"/>
        </w:rPr>
        <w:t xml:space="preserve">to 144% of SSP2-4.5 deposition and then declines to 99%. In croplands/natural vegetation mosaics,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deposition declines to 86% of SSP2-4.5 </w:t>
      </w:r>
      <w:proofErr w:type="gramStart"/>
      <w:r w:rsidRPr="008E4EFB">
        <w:rPr>
          <w:rFonts w:ascii="Times New Roman" w:eastAsia="Times New Roman" w:hAnsi="Times New Roman" w:cs="Times New Roman"/>
          <w:sz w:val="24"/>
          <w:szCs w:val="24"/>
        </w:rPr>
        <w:t>deposition</w:t>
      </w:r>
      <w:proofErr w:type="gramEnd"/>
      <w:r w:rsidRPr="008E4EFB">
        <w:rPr>
          <w:rFonts w:ascii="Times New Roman" w:eastAsia="Times New Roman" w:hAnsi="Times New Roman" w:cs="Times New Roman"/>
          <w:sz w:val="24"/>
          <w:szCs w:val="24"/>
        </w:rPr>
        <w:t xml:space="preserve"> in </w:t>
      </w:r>
      <w:r w:rsidRPr="008E4EFB">
        <w:rPr>
          <w:rFonts w:ascii="Times New Roman" w:eastAsia="Times New Roman" w:hAnsi="Times New Roman" w:cs="Times New Roman"/>
          <w:kern w:val="2"/>
          <w:sz w:val="24"/>
          <w:szCs w:val="24"/>
        </w:rPr>
        <w:t xml:space="preserve">2041-2060 </w:t>
      </w:r>
      <w:r w:rsidRPr="008E4EFB">
        <w:rPr>
          <w:rFonts w:ascii="Times New Roman" w:eastAsia="Times New Roman" w:hAnsi="Times New Roman" w:cs="Times New Roman"/>
          <w:sz w:val="24"/>
          <w:szCs w:val="24"/>
        </w:rPr>
        <w:t>and then increases to 171% by 2080-2100.</w:t>
      </w:r>
    </w:p>
    <w:p w14:paraId="28883DA1" w14:textId="78ABF8AB" w:rsidR="00822EDA" w:rsidRPr="008E4EFB" w:rsidRDefault="00822EDA" w:rsidP="00822EDA">
      <w:pPr>
        <w:spacing w:after="0" w:line="360" w:lineRule="auto"/>
        <w:rPr>
          <w:rFonts w:ascii="Times New Roman" w:eastAsia="Times New Roman" w:hAnsi="Times New Roman" w:cs="Times New Roman"/>
          <w:kern w:val="2"/>
          <w:sz w:val="24"/>
          <w:szCs w:val="24"/>
        </w:rPr>
      </w:pPr>
      <w:r w:rsidRPr="008E4EFB">
        <w:rPr>
          <w:rFonts w:ascii="Times New Roman" w:eastAsia="Times New Roman" w:hAnsi="Times New Roman" w:cs="Times New Roman"/>
          <w:kern w:val="2"/>
          <w:sz w:val="24"/>
          <w:szCs w:val="24"/>
        </w:rPr>
        <w:t>According to the UKESM1-0-LL projections, SO</w:t>
      </w:r>
      <w:r w:rsidRPr="008E4EFB">
        <w:rPr>
          <w:rFonts w:ascii="Times New Roman" w:eastAsia="Times New Roman" w:hAnsi="Times New Roman" w:cs="Times New Roman"/>
          <w:kern w:val="2"/>
          <w:sz w:val="24"/>
          <w:szCs w:val="24"/>
          <w:vertAlign w:val="subscript"/>
        </w:rPr>
        <w:t>2</w:t>
      </w:r>
      <w:r w:rsidRPr="008E4EFB">
        <w:rPr>
          <w:rFonts w:ascii="Times New Roman" w:eastAsia="Times New Roman" w:hAnsi="Times New Roman" w:cs="Times New Roman"/>
          <w:kern w:val="2"/>
          <w:sz w:val="24"/>
          <w:szCs w:val="24"/>
        </w:rPr>
        <w:t xml:space="preserve"> emissions will increase relative to SSP2-4.5 in woody savannas from 124% to 369% by 2081-2100. SO</w:t>
      </w:r>
      <w:r w:rsidRPr="008E4EFB">
        <w:rPr>
          <w:rFonts w:ascii="Times New Roman" w:eastAsia="Times New Roman" w:hAnsi="Times New Roman" w:cs="Times New Roman"/>
          <w:kern w:val="2"/>
          <w:sz w:val="24"/>
          <w:szCs w:val="24"/>
        </w:rPr>
        <w:softHyphen/>
      </w:r>
      <w:r w:rsidRPr="008E4EFB">
        <w:rPr>
          <w:rFonts w:ascii="Times New Roman" w:eastAsia="Times New Roman" w:hAnsi="Times New Roman" w:cs="Times New Roman"/>
          <w:kern w:val="2"/>
          <w:sz w:val="24"/>
          <w:szCs w:val="24"/>
          <w:vertAlign w:val="subscript"/>
        </w:rPr>
        <w:t xml:space="preserve">2 </w:t>
      </w:r>
      <w:r w:rsidRPr="008E4EFB">
        <w:rPr>
          <w:rFonts w:ascii="Times New Roman" w:eastAsia="Times New Roman" w:hAnsi="Times New Roman" w:cs="Times New Roman"/>
          <w:kern w:val="2"/>
          <w:sz w:val="24"/>
          <w:szCs w:val="24"/>
        </w:rPr>
        <w:t xml:space="preserve">emissions are projected to decline relative to SSP2-4.5 in non-marine water bodies (from 142% to 92%), evergreen broadleaf forests (from 146% to 84%), deciduous needleleaf forests (from 124% to 64%), mixed forests (from 128% to 100%), open shrublands (from 116% to73%), savannas (from 200% to 46%), grasslands (from 230% to 62%), and barren or sparsely vegetated lands (from 200% to 57%) throughout the century </w:t>
      </w:r>
      <w:r w:rsidRPr="008E4EFB">
        <w:rPr>
          <w:rFonts w:ascii="Times New Roman" w:eastAsia="Times New Roman" w:hAnsi="Times New Roman" w:cs="Times New Roman"/>
          <w:sz w:val="24"/>
          <w:szCs w:val="24"/>
        </w:rPr>
        <w:t>(</w:t>
      </w:r>
      <w:r w:rsidRPr="00427197">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w:t>
      </w:r>
      <w:r w:rsidRPr="00427197">
        <w:rPr>
          <w:rFonts w:ascii="Times New Roman" w:eastAsia="Times New Roman" w:hAnsi="Times New Roman" w:cs="Times New Roman"/>
          <w:b/>
          <w:bCs/>
          <w:sz w:val="24"/>
          <w:szCs w:val="24"/>
        </w:rPr>
        <w:t>.3</w:t>
      </w:r>
      <w:r w:rsidRPr="008E4EFB">
        <w:rPr>
          <w:rFonts w:ascii="Times New Roman" w:eastAsia="Times New Roman" w:hAnsi="Times New Roman" w:cs="Times New Roman"/>
          <w:sz w:val="24"/>
          <w:szCs w:val="24"/>
        </w:rPr>
        <w:t>)</w:t>
      </w:r>
      <w:r w:rsidRPr="008E4EFB">
        <w:rPr>
          <w:rFonts w:ascii="Times New Roman" w:eastAsia="Times New Roman" w:hAnsi="Times New Roman" w:cs="Times New Roman"/>
          <w:kern w:val="2"/>
          <w:sz w:val="24"/>
          <w:szCs w:val="24"/>
        </w:rPr>
        <w:t>. Emissions are projected to remain constant at 110% of the SSP2-4.5 rate in evergreen needleleaf forests while emissions in croplands, cropland/natural vegetation mosaics and permanent snow and ice are projected to increase under G6 Sulfur to 133%, 160%, and 137% respectively, relative to SSP2-4.5 during 2041-2060 and 2061-2080 then decline back to just under 100% of SSP2-4.5 levels.</w:t>
      </w:r>
    </w:p>
    <w:p w14:paraId="0DB11492" w14:textId="77777777" w:rsidR="00822EDA" w:rsidRPr="008E4EFB" w:rsidRDefault="00822EDA" w:rsidP="00822EDA">
      <w:pPr>
        <w:spacing w:after="0" w:line="360" w:lineRule="auto"/>
        <w:rPr>
          <w:rFonts w:ascii="Times New Roman" w:eastAsia="Times New Roman" w:hAnsi="Times New Roman" w:cs="Times New Roman"/>
          <w:kern w:val="2"/>
          <w:sz w:val="24"/>
          <w:szCs w:val="24"/>
        </w:rPr>
      </w:pPr>
      <w:r w:rsidRPr="008E4EFB">
        <w:rPr>
          <w:rFonts w:ascii="Times New Roman" w:eastAsia="Times New Roman" w:hAnsi="Times New Roman" w:cs="Times New Roman"/>
          <w:kern w:val="2"/>
          <w:sz w:val="24"/>
          <w:szCs w:val="24"/>
        </w:rPr>
        <w:t xml:space="preserve">According to the UKESM1-0-LL projections,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kern w:val="2"/>
          <w:sz w:val="24"/>
          <w:szCs w:val="24"/>
        </w:rPr>
        <w:t xml:space="preserve">emissions under G6 Sulfur will decline relative to SSP2-4.5 emissions in non-marine water bodies (from 206% to 84%), evergreen broadleaf forests (from 140% to 83%), mixed forests (from 145% to 92%), savannas (from 192% to 35%), grasslands (from 139% to 74%), croplands (from 148% to 80%), and barren or sparsely vegetated lands (from 145% to 45%) by the end of the century.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kern w:val="2"/>
          <w:sz w:val="24"/>
          <w:szCs w:val="24"/>
        </w:rPr>
        <w:t xml:space="preserve">emissions are projected to increase relative to SSP2-4.5 in woody savannas from 134% in 2020-2040 to 359% in 2081-2100.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kern w:val="2"/>
          <w:sz w:val="24"/>
          <w:szCs w:val="24"/>
        </w:rPr>
        <w:t xml:space="preserve">emissions in evergreen needleleaf forests are projected to remain constant at 105% of the SSP2-4.5 rate but emissions in deciduous needleleaf forests will increase to 152% of the SSP2-4.5 rate in 2041-2060 then decrease to 38% in 2061-2080 then increase again to 86% by 2081-2100. Open shrublands will experience an increase to 133% of SSp2-4.5 levels in 2061-2080 then a decline to 59% in the next 2 decades.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kern w:val="2"/>
          <w:sz w:val="24"/>
          <w:szCs w:val="24"/>
        </w:rPr>
        <w:t xml:space="preserve">emissions in cropland/natural vegetation mosaics and permanent snow and ice decline mid-century to 96% and 57% of SSP2-4.5 levels, respectively, then increase to 135% and 106% by the end of the century. </w:t>
      </w:r>
    </w:p>
    <w:p w14:paraId="5D6ED8AA" w14:textId="77777777" w:rsidR="00822EDA" w:rsidRPr="008E4EFB" w:rsidRDefault="00822EDA" w:rsidP="00822EDA">
      <w:pPr>
        <w:spacing w:after="0" w:line="360" w:lineRule="auto"/>
        <w:rPr>
          <w:rFonts w:ascii="Times New Roman" w:eastAsia="Times New Roman" w:hAnsi="Times New Roman" w:cs="Times New Roman"/>
          <w:kern w:val="2"/>
          <w:sz w:val="24"/>
          <w:szCs w:val="24"/>
        </w:rPr>
      </w:pPr>
      <w:r w:rsidRPr="008E4EFB">
        <w:rPr>
          <w:rFonts w:ascii="Times New Roman" w:eastAsia="Times New Roman" w:hAnsi="Times New Roman" w:cs="Times New Roman"/>
          <w:kern w:val="2"/>
          <w:sz w:val="24"/>
          <w:szCs w:val="24"/>
        </w:rPr>
        <w:t>Under G6 Sulfur, SO</w:t>
      </w:r>
      <w:r w:rsidRPr="008E4EFB">
        <w:rPr>
          <w:rFonts w:ascii="Times New Roman" w:eastAsia="Times New Roman" w:hAnsi="Times New Roman" w:cs="Times New Roman"/>
          <w:kern w:val="2"/>
          <w:sz w:val="24"/>
          <w:szCs w:val="24"/>
          <w:vertAlign w:val="subscript"/>
        </w:rPr>
        <w:t>2</w:t>
      </w:r>
      <w:r w:rsidRPr="008E4EFB">
        <w:rPr>
          <w:rFonts w:ascii="Times New Roman" w:eastAsia="Times New Roman" w:hAnsi="Times New Roman" w:cs="Times New Roman"/>
          <w:kern w:val="2"/>
          <w:sz w:val="24"/>
          <w:szCs w:val="24"/>
        </w:rPr>
        <w:t xml:space="preserve"> deposition will decline in non-marine water bodies (from 138% to 80%), evergreen broadleaf forests (from 126% to 99%), 3 (from 158% to 71%), mixed forests (from </w:t>
      </w:r>
      <w:r w:rsidRPr="008E4EFB">
        <w:rPr>
          <w:rFonts w:ascii="Times New Roman" w:eastAsia="Times New Roman" w:hAnsi="Times New Roman" w:cs="Times New Roman"/>
          <w:kern w:val="2"/>
          <w:sz w:val="24"/>
          <w:szCs w:val="24"/>
        </w:rPr>
        <w:lastRenderedPageBreak/>
        <w:t xml:space="preserve">137% to 81%), open shrublands (from 80% to 91%), permanent snow and ice (from 184% to 45%), and barren or sparsely vegetated lands (from 162% to 54%) by the end of the century when compared to SSP2-4.5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kern w:val="2"/>
          <w:sz w:val="24"/>
          <w:szCs w:val="24"/>
        </w:rPr>
        <w:t>deposition. SO</w:t>
      </w:r>
      <w:r w:rsidRPr="008E4EFB">
        <w:rPr>
          <w:rFonts w:ascii="Times New Roman" w:eastAsia="Times New Roman" w:hAnsi="Times New Roman" w:cs="Times New Roman"/>
          <w:kern w:val="2"/>
          <w:sz w:val="24"/>
          <w:szCs w:val="24"/>
          <w:vertAlign w:val="subscript"/>
        </w:rPr>
        <w:t>2</w:t>
      </w:r>
      <w:r w:rsidRPr="008E4EFB">
        <w:rPr>
          <w:rFonts w:ascii="Times New Roman" w:eastAsia="Times New Roman" w:hAnsi="Times New Roman" w:cs="Times New Roman"/>
          <w:kern w:val="2"/>
          <w:sz w:val="24"/>
          <w:szCs w:val="24"/>
        </w:rPr>
        <w:t xml:space="preserve"> deposition is projected to increase relative to SSP2-4.5 by mid-century in woody savannas (from 128% to 180%), savannas (from 168% to 236%), grasslands (from 115% to 167%), croplands (from 102% to 164%) and then decline below the original percentage. And SO</w:t>
      </w:r>
      <w:r w:rsidRPr="008E4EFB">
        <w:rPr>
          <w:rFonts w:ascii="Times New Roman" w:eastAsia="Times New Roman" w:hAnsi="Times New Roman" w:cs="Times New Roman"/>
          <w:kern w:val="2"/>
          <w:sz w:val="24"/>
          <w:szCs w:val="24"/>
          <w:vertAlign w:val="subscript"/>
        </w:rPr>
        <w:t>2</w:t>
      </w:r>
      <w:r w:rsidRPr="008E4EFB">
        <w:rPr>
          <w:rFonts w:ascii="Times New Roman" w:eastAsia="Times New Roman" w:hAnsi="Times New Roman" w:cs="Times New Roman"/>
          <w:kern w:val="2"/>
          <w:sz w:val="24"/>
          <w:szCs w:val="24"/>
        </w:rPr>
        <w:t xml:space="preserve"> deposition is constant under G6 Sulfur at 100% of rate SSP2-4.5 rate in cropland/natural vegetation mosaics and constant at 126% of the SSP2-4.5 rate in evergreen needleleaf forests.</w:t>
      </w:r>
    </w:p>
    <w:p w14:paraId="0C1D2F06" w14:textId="77777777" w:rsidR="00822EDA" w:rsidRDefault="00822EDA" w:rsidP="00822EDA">
      <w:pPr>
        <w:spacing w:after="0" w:line="360" w:lineRule="auto"/>
        <w:rPr>
          <w:rFonts w:ascii="Times New Roman" w:eastAsia="Times New Roman" w:hAnsi="Times New Roman" w:cs="Times New Roman"/>
          <w:kern w:val="2"/>
          <w:sz w:val="24"/>
          <w:szCs w:val="24"/>
        </w:rPr>
      </w:pP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kern w:val="2"/>
          <w:sz w:val="24"/>
          <w:szCs w:val="24"/>
        </w:rPr>
        <w:t xml:space="preserve">deposition will increase under G6 Sulfur according to the UKESM1-0-LL projections in non-marine water bodies (from 94% to 139%), deciduous needleleaf forests (from 106% to 394%), open shrublands (from 94% to 122%), and cropland/natural vegetation mosaics (from 145% to 156%) relative to SSP2-4.5 estimates. It will decrease in savannas (from 196% to 88%), grasslands (from 152% to 112%), croplands (from 136% to 107%), permanent snow and ice (from 220% to 107%), and barren or sparsely vegetated lands (from 146% to 82%) relative to SSP2-4.5 deposition rates. Under G6 Sulfur, </w:t>
      </w: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4</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8E4EFB">
        <w:rPr>
          <w:rFonts w:ascii="Times New Roman" w:eastAsia="Times New Roman" w:hAnsi="Times New Roman" w:cs="Times New Roman"/>
          <w:kern w:val="2"/>
          <w:sz w:val="24"/>
          <w:szCs w:val="24"/>
        </w:rPr>
        <w:t>deposition in evergreen broadleaf forests increases mid-century from 122% to 148% and evergreen needleleaf forests decreases from 151% to 108% mid-century then returns to 129% of SSP2-4.5 deposition by 2081-2100. Deposition in mixed forests and woody savannas decreases mid-century to 105% and 166% relative to SSP2-4.5 levels, respectively, then increases to 151% and 210%, respectively, by the end of the century.</w:t>
      </w:r>
    </w:p>
    <w:p w14:paraId="56A1B62C" w14:textId="77777777" w:rsidR="00822EDA" w:rsidRPr="008E4EFB" w:rsidRDefault="00822EDA" w:rsidP="00822EDA">
      <w:pPr>
        <w:pStyle w:val="Style3"/>
        <w:numPr>
          <w:ilvl w:val="0"/>
          <w:numId w:val="0"/>
        </w:numPr>
        <w:spacing w:before="0" w:line="360" w:lineRule="auto"/>
        <w:rPr>
          <w:rFonts w:cs="Times New Roman"/>
          <w:szCs w:val="24"/>
        </w:rPr>
      </w:pPr>
      <w:r w:rsidRPr="008E4EFB">
        <w:rPr>
          <w:rFonts w:cs="Times New Roman"/>
          <w:szCs w:val="24"/>
        </w:rPr>
        <w:t>4.6 Discussion</w:t>
      </w:r>
    </w:p>
    <w:p w14:paraId="3A94E6E9" w14:textId="574924F7" w:rsidR="00EB56E1" w:rsidRPr="00822EDA" w:rsidRDefault="00822EDA"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Past projections from CESM1-WACCM estimate a total global deposition rate of 40 Tg-S yr</w:t>
      </w:r>
      <w:r w:rsidRPr="008E4EFB">
        <w:rPr>
          <w:rFonts w:ascii="Times New Roman" w:hAnsi="Times New Roman" w:cs="Times New Roman"/>
          <w:sz w:val="24"/>
          <w:szCs w:val="24"/>
          <w:vertAlign w:val="superscript"/>
        </w:rPr>
        <w:t>-1</w:t>
      </w:r>
      <w:r w:rsidRPr="008E4EFB">
        <w:rPr>
          <w:rFonts w:ascii="Times New Roman" w:hAnsi="Times New Roman" w:cs="Times New Roman"/>
          <w:sz w:val="24"/>
          <w:szCs w:val="24"/>
        </w:rPr>
        <w:t xml:space="preserve"> in 2020, declining to 23 Tg-S yr</w:t>
      </w:r>
      <w:r w:rsidRPr="008E4EFB">
        <w:rPr>
          <w:rFonts w:ascii="Times New Roman" w:hAnsi="Times New Roman" w:cs="Times New Roman"/>
          <w:sz w:val="24"/>
          <w:szCs w:val="24"/>
          <w:vertAlign w:val="superscript"/>
        </w:rPr>
        <w:t>-1</w:t>
      </w:r>
      <w:r w:rsidRPr="008E4EFB">
        <w:rPr>
          <w:rFonts w:ascii="Times New Roman" w:hAnsi="Times New Roman" w:cs="Times New Roman"/>
          <w:sz w:val="24"/>
          <w:szCs w:val="24"/>
        </w:rPr>
        <w:t xml:space="preserve"> by 2100 under RCP8.5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{"citationID":"fzViNSSr","properties":{"formattedCitation":"(Visioni et al., 2020)","plainCitation":"(Visioni et al., 2020)","noteIndex":0},"citationItems":[{"id":2318,"uris":["http://zotero.org/users/3110659/items/XIKL2LEG"],"itemData":{"id":2318,"type":"article-journal","abstract":"The problem of reducing the impacts of rising anthropogenic greenhouse gas on warming temperatures has led to the proposal of using stratospheric aerosols to reflect some of the incoming solar radiation back to space. The deliberate injection of sulfur into the stratosphere to form stratospheric sulfate aerosols, emulating volcanoes, will result in sulfate deposition to the surface. We consider here an extreme sulfate geoengineering scenario necessary to maintain temperatures at 2020 levels while greenhouse gas emissions continue to grow unabated. We show that the amount of stratospheric sulfate needed could be globally balanced by the predicted decrease in tropospheric anthropogenic SO2 emissions, but the spatial distribution would move from industrialized regions to pristine areas. We show how these changes would affect ecosystems differently depending on present day observations of soil pH, which we use to infer the potential for acid-induced aluminum toxicity across the planet.","container-title":"Environmental Research Letters","DOI":"10.1088/1748-9326/ab94eb","ISSN":"1748-9326","issue":"9","journalAbbreviation":"Environ. Res. Lett.","language":"en","note":"publisher: IOP Publishing","page":"094063","source":"Institute of Physics","title":"What goes up must come down: impacts of deposition in a sulfate geoengineering scenario","title-short":"What goes up must come down","volume":"15","author":[{"family":"Visioni","given":"Daniele"},{"family":"Slessarev","given":"Eric"},{"family":"MacMartin","given":"Douglas G."},{"family":"Mahowald","given":"Natalie M."},{"family":"Goodale","given":"Christine L."},{"family":"Xia","given":"Lili"}],"issued":{"date-parts":[["2020",8]]}}}],"schema":"https://github.com/citation-style-language/schema/raw/master/csl-citation.json"}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(Visioni et al., 2020)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However, in this study, CESM2-WACCM projects a total global deposition rate of 71.6 Tg-S yr</w:t>
      </w:r>
      <w:r w:rsidRPr="008E4EFB">
        <w:rPr>
          <w:rFonts w:ascii="Times New Roman" w:hAnsi="Times New Roman" w:cs="Times New Roman"/>
          <w:sz w:val="24"/>
          <w:szCs w:val="24"/>
          <w:vertAlign w:val="superscript"/>
        </w:rPr>
        <w:t>-1</w:t>
      </w:r>
      <w:r w:rsidRPr="008E4EFB">
        <w:rPr>
          <w:rFonts w:ascii="Times New Roman" w:hAnsi="Times New Roman" w:cs="Times New Roman"/>
          <w:sz w:val="24"/>
          <w:szCs w:val="24"/>
        </w:rPr>
        <w:t xml:space="preserve"> in 2020, increasing to 82.0 Tg-S yr</w:t>
      </w:r>
      <w:r w:rsidRPr="008E4EFB">
        <w:rPr>
          <w:rFonts w:ascii="Times New Roman" w:hAnsi="Times New Roman" w:cs="Times New Roman"/>
          <w:sz w:val="24"/>
          <w:szCs w:val="24"/>
          <w:vertAlign w:val="superscript"/>
        </w:rPr>
        <w:t>-1</w:t>
      </w:r>
      <w:r w:rsidRPr="008E4EFB">
        <w:rPr>
          <w:rFonts w:ascii="Times New Roman" w:hAnsi="Times New Roman" w:cs="Times New Roman"/>
          <w:sz w:val="24"/>
          <w:szCs w:val="24"/>
        </w:rPr>
        <w:t xml:space="preserve"> by 2100 under SSP5-8.5 and UKESM-1-0-LL projects a total global deposition rate of 65.1 Tg-S yr</w:t>
      </w:r>
      <w:r w:rsidRPr="008E4EFB">
        <w:rPr>
          <w:rFonts w:ascii="Times New Roman" w:hAnsi="Times New Roman" w:cs="Times New Roman"/>
          <w:sz w:val="24"/>
          <w:szCs w:val="24"/>
          <w:vertAlign w:val="superscript"/>
        </w:rPr>
        <w:t>-1</w:t>
      </w:r>
      <w:r w:rsidRPr="008E4EFB">
        <w:rPr>
          <w:rFonts w:ascii="Times New Roman" w:hAnsi="Times New Roman" w:cs="Times New Roman"/>
          <w:sz w:val="24"/>
          <w:szCs w:val="24"/>
        </w:rPr>
        <w:t xml:space="preserve"> in 2020, increasing to 74.5 Tg-S yr</w:t>
      </w:r>
      <w:r w:rsidRPr="008E4EFB">
        <w:rPr>
          <w:rFonts w:ascii="Times New Roman" w:hAnsi="Times New Roman" w:cs="Times New Roman"/>
          <w:sz w:val="24"/>
          <w:szCs w:val="24"/>
          <w:vertAlign w:val="superscript"/>
        </w:rPr>
        <w:t>-1</w:t>
      </w:r>
      <w:r w:rsidRPr="008E4EFB">
        <w:rPr>
          <w:rFonts w:ascii="Times New Roman" w:hAnsi="Times New Roman" w:cs="Times New Roman"/>
          <w:sz w:val="24"/>
          <w:szCs w:val="24"/>
        </w:rPr>
        <w:t xml:space="preserve"> by 2100 under SSP5-8.5. These values are more similar to historical estimates. Two other models estimate total S deposition as 76.8 Tg-S yr</w:t>
      </w:r>
      <w:r w:rsidRPr="008E4EFB">
        <w:rPr>
          <w:rFonts w:ascii="Times New Roman" w:hAnsi="Times New Roman" w:cs="Times New Roman"/>
          <w:sz w:val="24"/>
          <w:szCs w:val="24"/>
          <w:vertAlign w:val="superscript"/>
        </w:rPr>
        <w:t xml:space="preserve">-1 </w:t>
      </w:r>
      <w:r w:rsidRPr="008E4EFB">
        <w:rPr>
          <w:rFonts w:ascii="Times New Roman" w:hAnsi="Times New Roman" w:cs="Times New Roman"/>
          <w:sz w:val="24"/>
          <w:szCs w:val="24"/>
        </w:rPr>
        <w:t>and 93.3 Tg-S yr</w:t>
      </w:r>
      <w:r w:rsidRPr="008E4EFB">
        <w:rPr>
          <w:rFonts w:ascii="Times New Roman" w:hAnsi="Times New Roman" w:cs="Times New Roman"/>
          <w:sz w:val="24"/>
          <w:szCs w:val="24"/>
          <w:vertAlign w:val="superscript"/>
        </w:rPr>
        <w:t>-1</w:t>
      </w:r>
      <w:r w:rsidRPr="008E4EFB">
        <w:rPr>
          <w:rFonts w:ascii="Times New Roman" w:hAnsi="Times New Roman" w:cs="Times New Roman"/>
          <w:sz w:val="24"/>
          <w:szCs w:val="24"/>
        </w:rPr>
        <w:t xml:space="preserve"> on average for 2000-2005 GEOS-Chem and University of L’Aquila Composition-Chemistry Model (ULAQ-CCM), respectively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{"citationID":"CDw0NNZj","properties":{"formattedCitation":"(Visioni et al., 2018)","plainCitation":"(Visioni et al., 2018)","noteIndex":0},"citationItems":[{"id":2043,"uris":["http://zotero.org/users/3110659/items/6ZQ3RFST"],"itemData":{"id":2043,"type":"article-journal","abstract":"Abstract. Sustained injection of sulfur dioxide (SO2) in the tropical lower stratosphere has been proposed as a climate engineering technique for the coming decades. Among several possible environmental side effects, the increase in sulfur deposition deserves additional investigation. In this study we present results from a composition–climate coupled model (University of L'Aquila Composition-Chemistry Model, ULAQ-CCM) and a chemistry-transport model (Goddard Earth Observing System Chemistry-Transport Model, GEOS-Chem), assuming a sustained lower-stratospheric equatorial injection of 8 Tg SO2 yr−1. Total S deposition is found to globally increase by 5.2 % when sulfate geoengineering is deployed, with a clear interhemispheric asymmetry (+3.8 and +10.3 % in the Northern Hemisphere (NH) and the Southern Hemisphere (SH), due to +2.2 and +1.8 Tg S yr−1, respectively). The two models show good consistency, both globally and on a regional scale under background and geoengineering conditions, except for S-deposition changes over Africa and the Arctic. The consistency exists with regard to time-averaged values but also with regard to monthly and interannual deposition changes. The latter is driven essentially by the variability in stratospheric large-scale transport associated with the quasi-biennial oscillation (QBO). Using an externally nudged QBO, it is shown how a zonal wind E shear favors aerosol confinement in the tropical pipe and a significant increase in their effective radius (+13 % with respect to W shear conditions). The net result is an increase in the downward cross-tropopause S flux over the tropics with dominant E shear conditions with respect to W shear periods (+0.61 Tg S yr−1, +42 %, mostly due to enhanced aerosol gravitational settling) and a decrease over the extratropics (−0.86 Tg S yr−1, −35 %, mostly due to decreased large-scale stratosphere–troposphere exchange of geoengineering sulfate). This translates into S-deposition changes that are significantly different under opposite QBO wind shears, with an E–W anomaly of +0.32 in the tropics and −0.67 Tg S yr−1 in the extratropics. Most online QBO schemes predict a significant change in the zonal wind periodicity, up to a blocked E shear condition for large enough injections, so that our results indicate an upper limit for the tropical increase in S deposition of 16.5 % relative to average conditions of unperturbed QBO periodicity and a correspondent extratropical S deposition decrease of 16 %.","container-title":"Atmospheric Chemistry and Physics","DOI":"10.5194/acp-18-2787-2018","ISSN":"1680-7324","issue":"4","journalAbbreviation":"Atmos. Chem. Phys.","language":"en","page":"2787-2808","source":"DOI.org (Crossref)","title":"Sulfur deposition changes under sulfate geoengineering conditions: quasi-biennial oscillation effects on the transport and lifetime of stratospheric aerosols","title-short":"Sulfur deposition changes under sulfate geoengineering conditions","volume":"18","author":[{"family":"Visioni","given":"Daniele"},{"family":"Pitari","given":"Giovanni"},{"family":"Tuccella","given":"Paolo"},{"family":"Curci","given":"Gabriele"}],"issued":{"date-parts":[["2018",2,27]]}}}],"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(Visioni et al., 2018)</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Total global sulfur deposition in 2010 was estimated at 88.8 Tg-S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{"citationID":"WEwxpHCj","properties":{"formattedCitation":"(Rubin et al., 2023)","plainCitation":"(Rubin et al., 2023)","noteIndex":0},"citationItems":[{"id":2721,"uris":["http://zotero.org/users/3110659/items/VR74LMWR"],"itemData":{"id":2721,"type":"article-journal","abstract":"Global reactive nitrogen (N) deposition has more than tripled since 1860 and is expected to remain high due to food production and fossil fuel consumption. Global sulfur emissions have been decreasing worldwide over the last 30 years, but many regions are still experiencing unhealthily high levels of deposition. We update the 2010 global deposition budget for reactive nitrogen and sulfur components with new regional wet deposition measurements from Asia, improving the ensemble results of 11 global chemistry transport models from the second phase of the United Nations Economic Commission for Europe's Task Force on Hemispheric Transport of Air Pollution (HTAP II). The observationally adjusted global N deposition budget is 114.5 Tg N, representing a minor increase of 1 % from the model-only derived values, and the adjusted global sulfur deposition budget is 88.9 Tg S, representing a 6.5 % increase from the modeled values, using an interpolation distance of 2.5</w:instrText>
      </w:r>
      <w:r w:rsidRPr="008E4EFB">
        <w:rPr>
          <w:rFonts w:ascii="Cambria Math" w:hAnsi="Cambria Math" w:cs="Cambria Math"/>
          <w:sz w:val="24"/>
          <w:szCs w:val="24"/>
        </w:rPr>
        <w:instrText>∘</w:instrText>
      </w:r>
      <w:r w:rsidRPr="008E4EFB">
        <w:rPr>
          <w:rFonts w:ascii="Times New Roman" w:hAnsi="Times New Roman" w:cs="Times New Roman"/>
          <w:sz w:val="24"/>
          <w:szCs w:val="24"/>
        </w:rPr>
        <w:instrText xml:space="preserve">. Regionally, deposition adjustments can be up to </w:instrText>
      </w:r>
      <w:r w:rsidRPr="008E4EFB">
        <w:rPr>
          <w:rFonts w:ascii="Cambria Math" w:hAnsi="Cambria Math" w:cs="Cambria Math"/>
          <w:sz w:val="24"/>
          <w:szCs w:val="24"/>
        </w:rPr>
        <w:instrText>∼</w:instrText>
      </w:r>
      <w:r w:rsidRPr="008E4EFB">
        <w:rPr>
          <w:rFonts w:ascii="Times New Roman" w:hAnsi="Times New Roman" w:cs="Times New Roman"/>
          <w:sz w:val="24"/>
          <w:szCs w:val="24"/>
        </w:rPr>
        <w:instrText xml:space="preserve"> 73 % for nitrogen and 112 % for sulfur. Our study demonstrates that a global measurement–model fusion approach can improve N and S deposition model estimates at a regional scale, with sufficient availability of observations; however, in large parts of the world, alternative approaches need to be explored. The analysis presented here represents a step forward toward the World Meteorological Organization's goal of global fusion products for accurately mapping harmful air pollution deposition.","container-title":"Atmospheric Chemistry and Physics","DOI":"10.5194/acp-23-7091-2023","ISSN":"1680-7316","issue":"12","language":"English","note":"publisher: Copernicus GmbH","page":"7091-7102","source":"Copernicus Online Journals","title":"Global nitrogen and sulfur deposition mapping using a measurement–model fusion approach","volume":"23","author":[{"family":"Rubin","given":"Hannah J."},{"family":"Fu","given":"Joshua S."},{"family":"Dentener","given":"Frank"},{"family":"Li","given":"Rui"},{"family":"Huang","given":"Kan"},{"family":"Fu","given":"Hongbo"}],"issued":{"date-parts":[["2023",6,27]]}}}],"schema":"https://github.com/citation-style-language/schema/raw/master/csl-citation.json"}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(Rubin et al., 2023)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Total global sulfur emissions in 2015 were around 120 Tg-S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{"citationID":"jj1uNfuM","properties":{"formattedCitation":"(Aas et al., 2019)","plainCitation":"(Aas et al., 2019)","noteIndex":0},"citationItems":[{"id":2314,"uris":["http://zotero.org/users/3110659/items/2T2RGC5W"],"itemData":{"id":2314,"type":"article-journal","abstract":"The profound changes in global SO2 emissions over the last decades have affected atmospheric composition on a regional and global scale with large impact on air quality, atmospheric deposition and the radiative forcing of sulfate aerosols. Reproduction of historical atmospheric pollution levels based on global aerosol models and emission changes is crucial to prove that such models are able to predict future scenarios. Here, we analyze consistency of trends in observations of sulfur components in air and precipitation from major regional networks and estimates from six different global aerosol models from 1990 until 2015. There are large interregional differences in the sulfur trends consistently captured by the models and observations, especially for North America and Europe. Europe had the largest reductions in sulfur emissions in the first part of the period while the highest reduction came later in North America and East Asia. The uncertainties in both the emissions and the representativity of the observations are larger in Asia. However, emissions from East Asia clearly increased from 2000 to 2005 followed by a decrease, while in India a steady increase over the whole period has been observed and modelled. The agreement between a bottom-up approach, which uses emissions and process-based chemical transport models, with independent observations gives an improved confidence in the understanding of the atmospheric sulfur budget.","container-title":"Scientific Reports","DOI":"10.1038/s41598-018-37304-0","ISSN":"2045-2322","issue":"1","journalAbbreviation":"Sci Rep","language":"en","license":"2019 The Author(s)","note":"number: 1\npublisher: Nature Publishing Group","page":"953","source":"www.nature.com","title":"Global and regional trends of atmospheric sulfur","volume":"9","author":[{"family":"Aas","given":"Wenche"},{"family":"Mortier","given":"Augustin"},{"family":"Bowersox","given":"Van"},{"family":"Cherian","given":"Ribu"},{"family":"Faluvegi","given":"Greg"},{"family":"Fagerli","given":"Hilde"},{"family":"Hand","given":"Jenny"},{"family":"Klimont","given":"Zbigniew"},{"family":"Galy-Lacaux","given":"Corinne"},{"family":"Lehmann","given":"Christopher M. B."},{"family":"Myhre","given":"Cathrine Lund"},{"family":"Myhre","given":"Gunnar"},{"family":"Olivié","given":"Dirk"},{"family":"Sato","given":"Keiichi"},{"family":"Quaas","given":"Johannes"},{"family":"Rao","given":"P. S. P."},{"family":"Schulz","given":"Michael"},{"family":"Shindell","given":"Drew"},{"family":"Skeie","given":"Ragnhild B."},{"family":"Stein","given":"Ariel"},{"family":"Takemura","given":"Toshihiko"},{"family":"Tsyro","given":"Svetlana"},{"family":"Vet","given":"Robert"},{"family":"Xu","given":"Xiaobin"}],"issued":{"date-parts":[["2019",1,30]]}}}],"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(Aas et al., 2019)</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with deposition </w:t>
      </w:r>
      <w:r w:rsidRPr="008E4EFB">
        <w:rPr>
          <w:rFonts w:ascii="Times New Roman" w:hAnsi="Times New Roman" w:cs="Times New Roman"/>
          <w:sz w:val="24"/>
          <w:szCs w:val="24"/>
        </w:rPr>
        <w:lastRenderedPageBreak/>
        <w:t xml:space="preserve">presumably slightly lower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{"citationID":"NEpXRR1t","properties":{"formattedCitation":"(Lamarque et al., 2013; Visioni et al., 2017)","plainCitation":"(Lamarque et al., 2013; Visioni et al., 2017)","noteIndex":0},"citationItems":[{"id":9,"uris":["http://zotero.org/users/3110659/items/MHQ84C5D"],"itemData":{"id":9,"type":"article-journal","abstract":"Abstract. We present multi-model global datasets of nitrogen and sulfate deposition covering time periods from 1850 to 2100, calculated within the Atmospheric Chemistry and Climate Model Intercomparison Project (ACCMIP). The computed deposition fluxes are compared to surface wet deposition and ice core measurements. We use a new dataset of wet deposition for 2000–2002 based on critical assessment of the quality of existing regional network data. We show that for present day (year 2000 ACCMIP time slice), the ACCMIP results perform similarly to previously published multi-model assessments. For this time slice, we find a multi-model mean deposition of approximately 50 Tg(N) yr−1 from nitrogen oxide emissions, 60 Tg(N) yr−1 from ammonia emissions, and 83 Tg(S) yr−1 from sulfur emissions. The analysis of changes between 1980 and 2000 indicates significant differences between model and measurements over the United States but less so over Europe. This difference points towards a potential misrepresentation of 1980 NH3 emissions over North America. Based on ice core records, the 1850 deposition fluxes agree well with Greenland ice cores, but the change between 1850 and 2000 seems to be overestimated in the Northern Hemisphere for both nitrogen and sulfur species. Using the Representative Concentration Pathways (RCPs) to define the projected climate and atmospheric chemistry related emissions and concentrations, we find large regional nitrogen deposition increases in 2100 in Latin America, Africa and parts of Asia under some of the scenarios considered. Increases in South Asia are especially large, and are seen in all scenarios, with 2100 values more than double their 2000 counterpart in some scenarios and reaching &gt; 1300 mg(N) m−2 yr−1 averaged over regional to continental-scale regions in RCP 2.6 and 8.5, ~ 30–50% larger than the values in any region currently (circa 2000). However, sulfur deposition rates in 2100 are in all regions lower than in 2000 in all the RCPs. The new ACCMIP multi-model deposition dataset provides state-of-the-science, consistent and evaluated time slice (spanning 1850–2100) global gridded deposition fields for use in a wide range of climate and ecological studies.","container-title":"Atmospheric Chemistry and Physics","DOI":"10.5194/acp-13-7997-2013","ISSN":"1680-7324","issue":"16","journalAbbreviation":"Atmos. Chem. Phys.","language":"en","page":"7997-8018","source":"DOI.org (Crossref)","title":"Multi-model mean nitrogen and sulfur deposition from the Atmospheric Chemistry and Climate Model Intercomparison Project (ACCMIP): evaluation of historical and projected future changes","title-short":"Multi-model mean nitrogen and sulfur deposition from the Atmospheric Chemistry and Climate Model Intercomparison Project (ACCMIP)","volume":"13","author":[{"family":"Lamarque","given":"J.-F."},{"family":"Dentener","given":"F."},{"family":"McConnell","given":"J."},{"family":"Ro","given":"C.-U."},{"family":"Shaw","given":"M."},{"family":"Vet","given":"R."},{"family":"Bergmann","given":"D."},{"family":"Cameron-Smith","given":"P."},{"family":"Dalsoren","given":"S."},{"family":"Doherty","given":"R."},{"family":"Faluvegi","given":"G."},{"family":"Ghan","given":"S. J."},{"family":"Josse","given":"B."},{"family":"Lee","given":"Y. H."},{"family":"MacKenzie","given":"I. A."},{"family":"Plummer","given":"D."},{"family":"Shindell","given":"D. T."},{"family":"Skeie","given":"R. B."},{"family":"Stevenson","given":"D. S."},{"family":"Strode","given":"S."},{"family":"Zeng","given":"G."},{"family":"Curran","given":"M."},{"family":"Dahl-Jensen","given":"D."},{"family":"Das","given":"S."},{"family":"Fritzsche","given":"D."},{"family":"Nolan","given":"M."}],"issued":{"date-parts":[["2013",8,20]]}}},{"id":2728,"uris":["http://zotero.org/users/3110659/items/JKGYG2KM"],"itemData":{"id":2728,"type":"report","abstract":"Sustained injection of sulfur dioxide (SO2) in the tropical lower stratosphere has been proposed as a climate engineering technique with the purpose of temporarily mitigating the surface warming predicted for the coming decades. Among several possible environmental side effects, the increase of sulfur deposition at the ground surface still needs to be thoroughly inves5 tigated. In this study we present results from a composition-climate coupled model (ULAQ-CCM) and a chemistry-transport model (GEOS-Chem), assuming a sustained lower stratospheric equatorial injection of 8 Tg-SO2/yr. Total S-deposition is found to globally increase by 5.2% when sulfate geoengineering is deployed, with a clear interhemispheric asymmetry (3.8% and 10.3% in NH and SH, respectively). The latter is mostly due to the combination of a quasi-homogeneous tropospheric inﬂux of sulfate from the stratosphere, and the highly inhomogeneous amount of anthropogenic sulfur emissions in the boundary layer 10 (mostly located in the Northern Hemisphere). The two models show good consistency in their sulfur species behavior under background and geoengineering conditions, not only for global and hemispheric budgets but also for regional S-deposition values (except over Arctic and Africa). The consistency between models is not limited to time averaged values, but it extends to monthly and inter-annual deposition changes. The latter is driven essentially by the variability of stratospheric large-scale transport associated to the quasi-biennial oscillation (QBO). According to model-mean values, geoengineering S-deposition 15 percent changes on polar regions range between 7.7±0.7% over Antarctica and 8.5±1.3% over the Arctic, where the uncertainty reﬂects the model-averaged interannual variability. Similar S-deposition changes are found over quasi-clean continental regions of the Southern Hemisphere, and smaller values are calculated over polluted continental regions of the Northern Hemisphere (2÷4%). The largest difference between the two models is found over Africa and the Arctic (11% and 2%, respectively, for GEOS-Chem, against 2% and 15%, respectively, for ULAQ-CCM).","genre":"preprint","language":"en","note":"DOI: 10.5194/acp-2017-987","publisher":"Aerosols/Atmospheric Modelling/Stratosphere/Physics (physical properties and processes)","source":"DOI.org (Crossref)","title":"Quantification of sulfur deposition changes under sulfate geoengineering conditions","URL":"https://acp.copernicus.org/preprints/acp-2017-987/acp-2017-987.pdf","author":[{"family":"Visioni","given":"Daniele"},{"family":"Pitari","given":"Giovanni"},{"family":"Tuccella","given":"Paolo"},{"family":"Curci","given":"Gabriele"}],"accessed":{"date-parts":[["2023",8,28]]},"issued":{"date-parts":[["2017",11,1]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(Lamarque et al., 2013; Visioni et al., 2017)</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bookmarkEnd w:id="63"/>
      <w:r w:rsidR="00EB56E1" w:rsidRPr="008E4EFB">
        <w:rPr>
          <w:rFonts w:ascii="Times New Roman" w:hAnsi="Times New Roman" w:cs="Times New Roman"/>
          <w:sz w:val="24"/>
          <w:szCs w:val="24"/>
        </w:rPr>
        <w:t xml:space="preserve">Dry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00EB56E1" w:rsidRPr="008E4EFB">
        <w:rPr>
          <w:rFonts w:ascii="Times New Roman" w:hAnsi="Times New Roman" w:cs="Times New Roman"/>
          <w:sz w:val="24"/>
          <w:szCs w:val="24"/>
        </w:rPr>
        <w:t>and dry SO</w:t>
      </w:r>
      <w:r w:rsidR="00EB56E1" w:rsidRPr="008E4EFB">
        <w:rPr>
          <w:rFonts w:ascii="Times New Roman" w:hAnsi="Times New Roman" w:cs="Times New Roman"/>
          <w:sz w:val="24"/>
          <w:szCs w:val="24"/>
          <w:vertAlign w:val="subscript"/>
        </w:rPr>
        <w:t>2</w:t>
      </w:r>
      <w:r w:rsidR="00EB56E1" w:rsidRPr="008E4EFB">
        <w:rPr>
          <w:rFonts w:ascii="Times New Roman" w:hAnsi="Times New Roman" w:cs="Times New Roman"/>
          <w:sz w:val="24"/>
          <w:szCs w:val="24"/>
        </w:rPr>
        <w:t xml:space="preserve"> deposition will continue to decline globally under G6sulfur, SSP2-4.5, and SSP5-8.5, dropping sharply throughout the 2030s and 2040s and plateauing below 1950s levels by 2100 (</w:t>
      </w:r>
      <w:r w:rsidR="00EB56E1" w:rsidRPr="00427197">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005A173B" w:rsidRPr="00427197">
        <w:rPr>
          <w:rFonts w:ascii="Times New Roman" w:hAnsi="Times New Roman" w:cs="Times New Roman"/>
          <w:b/>
          <w:bCs/>
          <w:sz w:val="24"/>
          <w:szCs w:val="24"/>
        </w:rPr>
        <w:t>.4</w:t>
      </w:r>
      <w:r w:rsidR="00EB56E1" w:rsidRPr="008E4EFB">
        <w:rPr>
          <w:rFonts w:ascii="Times New Roman" w:hAnsi="Times New Roman" w:cs="Times New Roman"/>
          <w:sz w:val="24"/>
          <w:szCs w:val="24"/>
        </w:rPr>
        <w:t>). The consistency of projections between scenarios and models demonstrates that injecting sulfate into the stratosphere does not fundamentally change the mechanisms influencing dry deposition on a global scale. Similarly, increasing the radiative forcing by increasing the CO</w:t>
      </w:r>
      <w:r w:rsidR="00EB56E1" w:rsidRPr="008E4EFB">
        <w:rPr>
          <w:rFonts w:ascii="Times New Roman" w:hAnsi="Times New Roman" w:cs="Times New Roman"/>
          <w:sz w:val="24"/>
          <w:szCs w:val="24"/>
          <w:vertAlign w:val="subscript"/>
        </w:rPr>
        <w:t>2</w:t>
      </w:r>
      <w:r w:rsidR="00EB56E1" w:rsidRPr="008E4EFB">
        <w:rPr>
          <w:rFonts w:ascii="Times New Roman" w:hAnsi="Times New Roman" w:cs="Times New Roman"/>
          <w:sz w:val="24"/>
          <w:szCs w:val="24"/>
        </w:rPr>
        <w:t xml:space="preserve"> in the atmosphere compared to present day conditions (as under SSP5-8.5 or SSP2-4.5) does not influence the atmospheric chemistry and material properties of the dry sulfur particles settling out of the atmosphere. </w:t>
      </w:r>
    </w:p>
    <w:p w14:paraId="7D6B3C4D" w14:textId="6142CBAD"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Prior research shows that decreasing radiative forcing will decrease precipitation rates in many regions, therefore decreasing the rainout of particulate matter and resulting in longer lifetimes and more exposure to particulate matter remaining in the atmosphere under lower radiative forcing scenarios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{"citationID":"Q7gQRBRP","properties":{"formattedCitation":"(Eastham et al., 2018)","plainCitation":"(Eastham et al., 2018)","noteIndex":0},"citationItems":[{"id":2323,"uris":["http://zotero.org/users/3110659/items/673ZDJ96"],"itemData":{"id":2323,"type":"article-journal","abstract":"Sulfate geoengineering is a proposed method to partially counteract the global radiative forcing from accumulated greenhouse gases, potentially mitigating some impacts of climate change. While likely to be effective in slowing increases in average temperatures and extreme precipitation, there are known side-effects and potential unintended consequences which have not been quantified. One such consequence is the direct human health impact. Given the significant uncertainties, we take a sensitivity approach to explore the mechanisms and range of potential impacts. Using a chemistry-transport model, we quantify the steady-state response of three public health risks to 1 °C global mean surface cooling. We separate impacts into those which are “radiative forcing-driven”, associated with climate change “reversal” through modification of global radiative forcing, and those “direct impacts” associated uniquely with using sulfate geoengineering to achieve this. We find that the direct (non-radiative forcing driven) impact is a decrease in global mortality of </w:instrText>
      </w:r>
      <w:r w:rsidRPr="008E4EFB">
        <w:rPr>
          <w:rFonts w:ascii="Cambria Math" w:hAnsi="Cambria Math" w:cs="Cambria Math"/>
          <w:sz w:val="24"/>
          <w:szCs w:val="24"/>
        </w:rPr>
        <w:instrText>∼</w:instrText>
      </w:r>
      <w:r w:rsidRPr="008E4EFB">
        <w:rPr>
          <w:rFonts w:ascii="Times New Roman" w:hAnsi="Times New Roman" w:cs="Times New Roman"/>
          <w:sz w:val="24"/>
          <w:szCs w:val="24"/>
        </w:rPr>
        <w:instrText xml:space="preserve">13,000 annually. Here the benefits of reduced ozone exposure exceed increases in mortality due to UV and particulate matter, as each unit of injected sulfur incurs 1/25th the particulate matter exposure of a unit of sulfur emitted from surface sources. This reduction is exceeded by radiative forcing-driven health impacts resulting from using sulfate geoengineering to offset 1 °C of surface temperature rise. Increased particulate matter formation at these lower temperatures results in </w:instrText>
      </w:r>
      <w:r w:rsidRPr="008E4EFB">
        <w:rPr>
          <w:rFonts w:ascii="Cambria Math" w:hAnsi="Cambria Math" w:cs="Cambria Math"/>
          <w:sz w:val="24"/>
          <w:szCs w:val="24"/>
        </w:rPr>
        <w:instrText>∼</w:instrText>
      </w:r>
      <w:r w:rsidRPr="008E4EFB">
        <w:rPr>
          <w:rFonts w:ascii="Times New Roman" w:hAnsi="Times New Roman" w:cs="Times New Roman"/>
          <w:sz w:val="24"/>
          <w:szCs w:val="24"/>
        </w:rPr>
        <w:instrText xml:space="preserve">39,000 mortalities which would have been avoided at higher temperatures. As such we estimate that sulfate geoengineering in 2040 would cause </w:instrText>
      </w:r>
      <w:r w:rsidRPr="008E4EFB">
        <w:rPr>
          <w:rFonts w:ascii="Cambria Math" w:hAnsi="Cambria Math" w:cs="Cambria Math"/>
          <w:sz w:val="24"/>
          <w:szCs w:val="24"/>
        </w:rPr>
        <w:instrText>∼</w:instrText>
      </w:r>
      <w:r w:rsidRPr="008E4EFB">
        <w:rPr>
          <w:rFonts w:ascii="Times New Roman" w:hAnsi="Times New Roman" w:cs="Times New Roman"/>
          <w:sz w:val="24"/>
          <w:szCs w:val="24"/>
        </w:rPr>
        <w:instrText xml:space="preserve">26,000 (95% interval: −30,000 to +79,000) early deaths annually relative to the same year without geoengineering, largely due to the loss of health benefits associated with CO2-induced warming. These results account only for impacts due to changes in air quality and UV-B flux. They do not account for non-mortality impacts or changes in atmospheric dynamics, and must be considered in the wider context of other climate change impacts such as heatwave frequency and sea level rise.","container-title":"Atmospheric Environment","DOI":"10.1016/j.atmosenv.2018.05.047","ISSN":"1352-2310","journalAbbreviation":"Atmospheric Environment","language":"en","page":"424-434","source":"ScienceDirect","title":"Quantifying the impact of sulfate geoengineering on mortality from air quality and UV-B exposure","volume":"187","author":[{"family":"Eastham","given":"Sebastian D."},{"family":"Weisenstein","given":"Debra K."},{"family":"Keith","given":"David W."},{"family":"Barrett","given":"Steven R. H."}],"issued":{"date-parts":[["2018",8,1]]}}}],"schema":"https://github.com/citation-style-language/schema/raw/master/csl-citation.json"}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(Eastham et al., 2018)</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Precipitation is predicted to increase under all three scenarios (</w:t>
      </w:r>
      <w:r w:rsidRPr="00427197">
        <w:rPr>
          <w:rFonts w:ascii="Times New Roman" w:hAnsi="Times New Roman" w:cs="Times New Roman"/>
          <w:b/>
          <w:bCs/>
          <w:sz w:val="24"/>
          <w:szCs w:val="24"/>
        </w:rPr>
        <w:t>Figure S</w:t>
      </w:r>
      <w:r w:rsidR="00F11A53">
        <w:rPr>
          <w:rFonts w:ascii="Times New Roman" w:hAnsi="Times New Roman" w:cs="Times New Roman"/>
          <w:b/>
          <w:bCs/>
          <w:sz w:val="24"/>
          <w:szCs w:val="24"/>
        </w:rPr>
        <w:t>4</w:t>
      </w:r>
      <w:r w:rsidR="00EF0795" w:rsidRPr="00427197">
        <w:rPr>
          <w:rFonts w:ascii="Times New Roman" w:hAnsi="Times New Roman" w:cs="Times New Roman"/>
          <w:b/>
          <w:bCs/>
          <w:sz w:val="24"/>
          <w:szCs w:val="24"/>
        </w:rPr>
        <w:t>.3</w:t>
      </w:r>
      <w:r w:rsidRPr="008E4EFB">
        <w:rPr>
          <w:rFonts w:ascii="Times New Roman" w:hAnsi="Times New Roman" w:cs="Times New Roman"/>
          <w:sz w:val="24"/>
          <w:szCs w:val="24"/>
        </w:rPr>
        <w:t>) when compared to historical conditions, although under G6Sulfur precipitation will begin to decline again by 2050. Precipitation tends to remove PM</w:t>
      </w:r>
      <w:r w:rsidRPr="008E4EFB">
        <w:rPr>
          <w:rFonts w:ascii="Times New Roman" w:hAnsi="Times New Roman" w:cs="Times New Roman"/>
          <w:sz w:val="24"/>
          <w:szCs w:val="24"/>
        </w:rPr>
        <w:softHyphen/>
      </w:r>
      <w:r w:rsidRPr="008E4EFB">
        <w:rPr>
          <w:rFonts w:ascii="Times New Roman" w:hAnsi="Times New Roman" w:cs="Times New Roman"/>
          <w:sz w:val="24"/>
          <w:szCs w:val="24"/>
          <w:vertAlign w:val="subscript"/>
        </w:rPr>
        <w:t>2.5</w:t>
      </w:r>
      <w:r w:rsidRPr="008E4EFB">
        <w:rPr>
          <w:rFonts w:ascii="Times New Roman" w:hAnsi="Times New Roman" w:cs="Times New Roman"/>
          <w:sz w:val="24"/>
          <w:szCs w:val="24"/>
        </w:rPr>
        <w:t xml:space="preserve"> from the atmosphere so it follows that as the frequency of rainy days decreases in some places, even as the intensity increases, dry deposition will become the more dominant process. This means that the ratio of wet to dry deposition will steadily decline as precipitation increases. Wet deposition is more efficient at removing smaller aerosols so as rates of wet deposition decline, these smaller aerosols will tend to remain in the atmosphere longer. </w:t>
      </w:r>
    </w:p>
    <w:p w14:paraId="15F55701" w14:textId="482CBFFB"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Although the three ESMs disagree on the magnitude and trend in wet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hAnsi="Times New Roman" w:cs="Times New Roman"/>
          <w:sz w:val="24"/>
          <w:szCs w:val="24"/>
        </w:rPr>
        <w:t>under G6sulfur (</w:t>
      </w:r>
      <w:r w:rsidRPr="00427197">
        <w:rPr>
          <w:rFonts w:ascii="Times New Roman" w:hAnsi="Times New Roman" w:cs="Times New Roman"/>
          <w:b/>
          <w:bCs/>
          <w:sz w:val="24"/>
          <w:szCs w:val="24"/>
        </w:rPr>
        <w:t xml:space="preserve">Figure </w:t>
      </w:r>
      <w:r w:rsidR="00822EDA">
        <w:rPr>
          <w:rFonts w:ascii="Times New Roman" w:hAnsi="Times New Roman" w:cs="Times New Roman"/>
          <w:b/>
          <w:bCs/>
          <w:sz w:val="24"/>
          <w:szCs w:val="24"/>
        </w:rPr>
        <w:t>4</w:t>
      </w:r>
      <w:r w:rsidR="005A173B" w:rsidRPr="00427197">
        <w:rPr>
          <w:rFonts w:ascii="Times New Roman" w:hAnsi="Times New Roman" w:cs="Times New Roman"/>
          <w:b/>
          <w:bCs/>
          <w:sz w:val="24"/>
          <w:szCs w:val="24"/>
        </w:rPr>
        <w:t>.2</w:t>
      </w:r>
      <w:r w:rsidRPr="008E4EFB">
        <w:rPr>
          <w:rFonts w:ascii="Times New Roman" w:hAnsi="Times New Roman" w:cs="Times New Roman"/>
          <w:sz w:val="24"/>
          <w:szCs w:val="24"/>
        </w:rPr>
        <w:t>), they do agree that wet SO</w:t>
      </w:r>
      <w:r w:rsidRPr="008E4EFB">
        <w:rPr>
          <w:rFonts w:ascii="Times New Roman" w:hAnsi="Times New Roman" w:cs="Times New Roman"/>
          <w:sz w:val="24"/>
          <w:szCs w:val="24"/>
        </w:rPr>
        <w:softHyphen/>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will continue its current decline. Similarly, all three ESMs project a fundamental shift in seasonal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hAnsi="Times New Roman" w:cs="Times New Roman"/>
          <w:sz w:val="24"/>
          <w:szCs w:val="24"/>
        </w:rPr>
        <w:t xml:space="preserve">deposition where, even as precipitation increases from May to October, deposition decreases. This trend would make sense for dry deposition; as precipitation increases, more particles are rained out and so there is less dry deposition. But for more wet deposition to occur even as precipitation decreases shows that there is a process – in this case SAI – continually adding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hAnsi="Times New Roman" w:cs="Times New Roman"/>
          <w:sz w:val="24"/>
          <w:szCs w:val="24"/>
        </w:rPr>
        <w:t>to the system.</w:t>
      </w:r>
    </w:p>
    <w:p w14:paraId="00176CC0" w14:textId="5CAF3A13"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The three models have different features included in the simulated stratosphere and aerosol transport and deposition. The deposition patterns by latitude (</w:t>
      </w:r>
      <w:r w:rsidRPr="00427197">
        <w:rPr>
          <w:rFonts w:ascii="Times New Roman" w:hAnsi="Times New Roman" w:cs="Times New Roman"/>
          <w:b/>
          <w:bCs/>
          <w:sz w:val="24"/>
          <w:szCs w:val="24"/>
        </w:rPr>
        <w:t>Figure S</w:t>
      </w:r>
      <w:r w:rsidR="00F11A53">
        <w:rPr>
          <w:rFonts w:ascii="Times New Roman" w:hAnsi="Times New Roman" w:cs="Times New Roman"/>
          <w:b/>
          <w:bCs/>
          <w:sz w:val="24"/>
          <w:szCs w:val="24"/>
        </w:rPr>
        <w:t>4</w:t>
      </w:r>
      <w:r w:rsidR="00EF0795" w:rsidRPr="00427197">
        <w:rPr>
          <w:rFonts w:ascii="Times New Roman" w:hAnsi="Times New Roman" w:cs="Times New Roman"/>
          <w:b/>
          <w:bCs/>
          <w:sz w:val="24"/>
          <w:szCs w:val="24"/>
        </w:rPr>
        <w:t>.4</w:t>
      </w:r>
      <w:r w:rsidRPr="008E4EFB">
        <w:rPr>
          <w:rFonts w:ascii="Times New Roman" w:hAnsi="Times New Roman" w:cs="Times New Roman"/>
          <w:sz w:val="24"/>
          <w:szCs w:val="24"/>
        </w:rPr>
        <w:t>) demonstrate that the amount of SO</w:t>
      </w:r>
      <w:r w:rsidRPr="008E4EFB">
        <w:rPr>
          <w:rFonts w:ascii="Times New Roman" w:hAnsi="Times New Roman" w:cs="Times New Roman"/>
          <w:sz w:val="24"/>
          <w:szCs w:val="24"/>
          <w:vertAlign w:val="subscript"/>
        </w:rPr>
        <w:t xml:space="preserve">2 </w:t>
      </w:r>
      <w:r w:rsidRPr="008E4EFB">
        <w:rPr>
          <w:rFonts w:ascii="Times New Roman" w:hAnsi="Times New Roman" w:cs="Times New Roman"/>
          <w:sz w:val="24"/>
          <w:szCs w:val="24"/>
        </w:rPr>
        <w:t xml:space="preserve">remaining in the stratosphere varies by injection scheme. All three models have a peak in deposition at 0⁰, 45⁰, and −45⁰, but the magnitudes vary by model and by time period, </w:t>
      </w:r>
      <w:r w:rsidRPr="008E4EFB">
        <w:rPr>
          <w:rFonts w:ascii="Times New Roman" w:hAnsi="Times New Roman" w:cs="Times New Roman"/>
          <w:sz w:val="24"/>
          <w:szCs w:val="24"/>
        </w:rPr>
        <w:lastRenderedPageBreak/>
        <w:t>with different latitudes experiencing either steady increasing or decreasing deposition throughout the century. This is likely because a) the amount of SO</w:t>
      </w:r>
      <w:r w:rsidRPr="008E4EFB">
        <w:rPr>
          <w:rFonts w:ascii="Times New Roman" w:hAnsi="Times New Roman" w:cs="Times New Roman"/>
          <w:sz w:val="24"/>
          <w:szCs w:val="24"/>
        </w:rPr>
        <w:softHyphen/>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needed to reach the AOD necessary to cool the planet varies between models due to different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to sulfate conversion rates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{"citationID":"a6fD7s4x","properties":{"formattedCitation":"(Visioni et al., 2023)","plainCitation":"(Visioni et al., 2023)","noteIndex":0},"citationItems":[{"id":2732,"uris":["http://zotero.org/users/3110659/items/G8QXK3HW"],"itemData":{"id":2732,"type":"article-journal","abstract":"There is now substantial literature on climate model studies of equatorial or tropical stratospheric SO2 injections that aim to counteract the surface warming produced by rising concentrations of greenhouse gases. Here we present the results from the first systematic intercomparison of climate responses in three Earth system models wherein the injection of SO2 occurs at different latitudes in the lower stratosphere: CESM2-WACCM6, UKESM1.0 and GISS-E2.1-G. The first two use a modal aerosol microphysics scheme, while two versions of GISS-E2.1-G use a bulk aerosol (One-Moment Aerosol, OMA) and a two-moment (Multiconfiguration Aerosol TRacker of mIXing state, MATRIX) microphysics approach, respectively. Our aim in this work is to determine commonalities and differences between the climate model responses in terms of the distribution of the optically reflective sulfate aerosols produced from the oxidation of SO2 and in terms of the surface response to the resulting reduction in solar radiation. A focus on understanding the contribution of characteristics of models transport alongside their microphysical and chemical schemes, and on evaluating the resulting stratospheric responses in different models, is given in the companion paper (Bednarz et al., 2023). The goal of this exercise is not to evaluate these single-point injection simulations as stand-alone proposed strategies to counteract global warming; instead we determine sources and areas of agreement and uncertainty in the simulated responses and, ultimately, the possibility of designing a comprehensive intervention strategy capable of managing multiple simultaneous climate goals through the combination of different injection locations.\n\n We find large disagreements between GISS-E2.1-G and the CESM2-WACCM6 and UKESM1.0 models regarding the magnitude of cooling per unit of aerosol optical depth (AOD) produced, which varies from 4.7 K per unit of AOD in CESM2-WACCM6 to 16.7 K in the GISS-E2.1-G version with two-moment aerosol microphysics. By normalizing the results with the global mean response in each of the models and thus assuming that the amount of SO2 injected is a free parameter that can be managed independently, we highlight some commonalities in the overall distributions of the aerosols, in the inter-hemispheric surface temperature response and in shifts to the Intertropical Convergence Zone, as well as some areas of disagreement, such as the extent of the aerosol confinement in the equatorial region and the efficiency of the transport to polar latitudes. In conclusion, we demonstrate that it is possible to use these simulations to produce more comprehensive injection strategies in multiple climate models. However, large differences in the injection magnitudes can be expected, potentially increasing inter-model spreads in some stratospheric quantities (such as aerosol distribution) while reducing the spread in the surface response in terms of temperature and precipitation; furthermore, the selection of the injection locations may be dependent on the models' specific stratospheric transport.","container-title":"Atmospheric Chemistry and Physics","DOI":"10.5194/acp-23-663-2023","ISSN":"1680-7316","issue":"1","language":"English","note":"publisher: Copernicus GmbH","page":"663-685","source":"Copernicus Online Journals","title":"Climate response to off-equatorial stratospheric sulfur injections in three Earth system models – Part 1: Experimental protocols and surface changes","title-short":"Climate response to off-equatorial stratospheric sulfur injections in three Earth system models – Part 1","volume":"23","author":[{"family":"Visioni","given":"Daniele"},{"family":"Bednarz","given":"Ewa M."},{"family":"Lee","given":"Walker R."},{"family":"Kravitz","given":"Ben"},{"family":"Jones","given":"Andy"},{"family":"Haywood","given":"Jim M."},{"family":"MacMartin","given":"Douglas G."}],"issued":{"date-parts":[["2023",1,16]]}}}],"schema":"https://github.com/citation-style-language/schema/raw/master/csl-citation.json"}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(Visioni et al., 2023)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by as much as 10 Tg/year, and b) even though SO</w:t>
      </w:r>
      <w:r w:rsidRPr="008E4EFB">
        <w:rPr>
          <w:rFonts w:ascii="Times New Roman" w:hAnsi="Times New Roman" w:cs="Times New Roman"/>
          <w:sz w:val="24"/>
          <w:szCs w:val="24"/>
        </w:rPr>
        <w:softHyphen/>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is supposed to remain in the stratosphere as long as possible, it will inevitably eventually precipitate. Additionally, the injection altitude will impact stratospheric heating and result in temperature and precipitation differences between models. A large part of the uncertainty in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hAnsi="Times New Roman" w:cs="Times New Roman"/>
          <w:sz w:val="24"/>
          <w:szCs w:val="24"/>
        </w:rPr>
        <w:t>is due to differences in the aerosol chemistry in each model, specifically the SO</w:t>
      </w:r>
      <w:r w:rsidRPr="008E4EFB">
        <w:rPr>
          <w:rFonts w:ascii="Times New Roman" w:hAnsi="Times New Roman" w:cs="Times New Roman"/>
          <w:sz w:val="24"/>
          <w:szCs w:val="24"/>
        </w:rPr>
        <w:softHyphen/>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to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hAnsi="Times New Roman" w:cs="Times New Roman"/>
          <w:sz w:val="24"/>
          <w:szCs w:val="24"/>
        </w:rPr>
        <w:t xml:space="preserve">conversion rate </w:t>
      </w:r>
      <w:r w:rsidRPr="008E4EFB">
        <w:rPr>
          <w:rFonts w:ascii="Times New Roman" w:hAnsi="Times New Roman" w:cs="Times New Roman"/>
          <w:sz w:val="24"/>
          <w:szCs w:val="24"/>
          <w:shd w:val="clear" w:color="auto" w:fill="FFFFFF"/>
        </w:rPr>
        <w:fldChar w:fldCharType="begin"/>
      </w:r>
      <w:r w:rsidRPr="008E4EFB">
        <w:rPr>
          <w:rFonts w:ascii="Times New Roman" w:hAnsi="Times New Roman" w:cs="Times New Roman"/>
          <w:sz w:val="24"/>
          <w:szCs w:val="24"/>
          <w:shd w:val="clear" w:color="auto" w:fill="FFFFFF"/>
        </w:rPr>
        <w:instrText xml:space="preserve"> ADDIN ZOTERO_ITEM CSL_CITATION {"citationID":"jLHK79u4","properties":{"formattedCitation":"(Visioni et al., 2023)","plainCitation":"(Visioni et al., 2023)","noteIndex":0},"citationItems":[{"id":2732,"uris":["http://zotero.org/users/3110659/items/G8QXK3HW"],"itemData":{"id":2732,"type":"article-journal","abstract":"There is now substantial literature on climate model studies of equatorial or tropical stratospheric SO2 injections that aim to counteract the surface warming produced by rising concentrations of greenhouse gases. Here we present the results from the first systematic intercomparison of climate responses in three Earth system models wherein the injection of SO2 occurs at different latitudes in the lower stratosphere: CESM2-WACCM6, UKESM1.0 and GISS-E2.1-G. The first two use a modal aerosol microphysics scheme, while two versions of GISS-E2.1-G use a bulk aerosol (One-Moment Aerosol, OMA) and a two-moment (Multiconfiguration Aerosol TRacker of mIXing state, MATRIX) microphysics approach, respectively. Our aim in this work is to determine commonalities and differences between the climate model responses in terms of the distribution of the optically reflective sulfate aerosols produced from the oxidation of SO2 and in terms of the surface response to the resulting reduction in solar radiation. A focus on understanding the contribution of characteristics of models transport alongside their microphysical and chemical schemes, and on evaluating the resulting stratospheric responses in different models, is given in the companion paper (Bednarz et al., 2023). The goal of this exercise is not to evaluate these single-point injection simulations as stand-alone proposed strategies to counteract global warming; instead we determine sources and areas of agreement and uncertainty in the simulated responses and, ultimately, the possibility of designing a comprehensive intervention strategy capable of managing multiple simultaneous climate goals through the combination of different injection locations.\n\n We find large disagreements between GISS-E2.1-G and the CESM2-WACCM6 and UKESM1.0 models regarding the magnitude of cooling per unit of aerosol optical depth (AOD) produced, which varies from 4.7 K per unit of AOD in CESM2-WACCM6 to 16.7 K in the GISS-E2.1-G version with two-moment aerosol microphysics. By normalizing the results with the global mean response in each of the models and thus assuming that the amount of SO2 injected is a free parameter that can be managed independently, we highlight some commonalities in the overall distributions of the aerosols, in the inter-hemispheric surface temperature response and in shifts to the Intertropical Convergence Zone, as well as some areas of disagreement, such as the extent of the aerosol confinement in the equatorial region and the efficiency of the transport to polar latitudes. In conclusion, we demonstrate that it is possible to use these simulations to produce more comprehensive injection strategies in multiple climate models. However, large differences in the injection magnitudes can be expected, potentially increasing inter-model spreads in some stratospheric quantities (such as aerosol distribution) while reducing the spread in the surface response in terms of temperature and precipitation; furthermore, the selection of the injection locations may be dependent on the models' specific stratospheric transport.","container-title":"Atmospheric Chemistry and Physics","DOI":"10.5194/acp-23-663-2023","ISSN":"1680-7316","issue":"1","language":"English","note":"publisher: Copernicus GmbH","page":"663-685","source":"Copernicus Online Journals","title":"Climate response to off-equatorial stratospheric sulfur injections in three Earth system models – Part 1: Experimental protocols and surface changes","title-short":"Climate response to off-equatorial stratospheric sulfur injections in three Earth system models – Part 1","volume":"23","author":[{"family":"Visioni","given":"Daniele"},{"family":"Bednarz","given":"Ewa M."},{"family":"Lee","given":"Walker R."},{"family":"Kravitz","given":"Ben"},{"family":"Jones","given":"Andy"},{"family":"Haywood","given":"Jim M."},{"family":"MacMartin","given":"Douglas G."}],"issued":{"date-parts":[["2023",1,16]]}}}],"schema":"https://github.com/citation-style-language/schema/raw/master/csl-citation.json"}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B864BC" w:rsidRPr="008E4EFB">
        <w:rPr>
          <w:rFonts w:ascii="Times New Roman" w:hAnsi="Times New Roman" w:cs="Times New Roman"/>
          <w:sz w:val="24"/>
          <w:szCs w:val="24"/>
        </w:rPr>
        <w:t>(Visioni et al., 2023)</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w:t>
      </w:r>
    </w:p>
    <w:p w14:paraId="1DB3BBBF" w14:textId="66A5F8A7"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This is because of the way solar reduction is treated in the three ESMs. All ESMs reach SSP2-4.5 by the end of the century, but their approaches differ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{"citationID":"vQupfQrf","properties":{"formattedCitation":"(Simone Tilmes et al., 2022)","plainCitation":"(Simone Tilmes et al., 2022)","noteIndex":0},"citationItems":[{"id":2613,"uris":["http://zotero.org/users/3110659/items/3YEPQDPM"],"itemData":{"id":2613,"type":"article-journal","abstract":"This study assesses the impacts of stratospheric aerosol intervention (SAI) and solar dimming on stratospheric ozone based on the G6 Geoengineering Model Intercomparison Project (GeoMIP) experiments, called G6sulfur and G6solar. For G6sulfur, an enhanced stratospheric sulfate aerosol burden reflects some of the incoming solar radiation back into space to cool the surface climate, while for G6solar, the reduction in the global solar constant in the model achieves the same goal. Both experiments use the high emissions scenario of SSP5-8.5 as the baseline experiment and define surface temperature from the medium emission scenario of SSP2-4.5 as the target. In total, six Earth system models (ESMs) performed these experiments, and three out of the six models include interactive stratospheric chemistry. The increase in absorbing sulfate aerosols in the stratosphere results in a heating of the lower tropical stratospheric temperatures by between 5 to 13 K for the six different ESMs, leading to changes in stratospheric transport, water vapor, and other related changes. The increase in the aerosol burden also increases aerosol surface area density, which is important for heterogeneous chemical reactions. The resulting changes in the springtime Antarctic ozone between the G6sulfur and SSP5-8.5, based on the three models with interactive chemistry, include an initial reduction in total column ozone (TCO) of 10 DU (ranging between 0–30 DU for the three models) and up to 20 DU (between 10–40 DU) by the end of the century. The relatively small reduction in TCO for the multi-model mean in the first 2 decades results from variations in the required sulfur injections in the models and differences in the complexity of the chemistry schemes. In contrast, in the Northern Hemisphere (NH) high latitudes, no significant changes can be identified due to the large natural variability in the models, with little change in TCO by the end of the century. However, all three models with interactive chemistry consistently simulate an increase in TCO in the NH mid-latitudes up to 20 DU, compared to SSP5-8.5, in addition to the 20 DU increase resulting from increasing greenhouse gases between SSP2-4.5 and SSP5-8.5. In contrast to G6sulfur, G6solar does not significantly change stratospheric temperatures compared to the baseline simulation. Solar dimming results in little change in TCO compared to SSP5-8.5. Only in the tropics does G6solar result in an increase of TCO of up to 8 DU, compared to SSP2-4.5, which may counteract the projected reduction in SSP5-8.5. This work identifies differences in the response of SAI and solar dimming on ozone for three ESMs with interactive chemistry, which are partly due to the differences and shortcomings in the complexity of aerosol microphysics, chemistry, and the description of ozone photolysis. It also identifies that solar dimming, if viewed as an analog to SAI using a predominantly scattering aerosol, would succeed in reducing tropospheric and surface temperatures, but any stratospheric changes due to the high forcing greenhouse gas scenario, including the potential harmful increase in TCO beyond historical values, would prevail.","container-title":"Atmospheric Chemistry and Physics","DOI":"10.5194/acp-22-4557-2022","ISSN":"1680-7316","issue":"7","language":"English","note":"publisher: Copernicus GmbH","page":"4557-4579","source":"Copernicus Online Journals","title":"Stratospheric ozone response to sulfate aerosol and solar dimming climate interventions based on the G6 Geoengineering Model Intercomparison Project (GeoMIP) simulations","volume":"22","author":[{"family":"Tilmes","given":"Simone"},{"family":"Visioni","given":"Daniele"},{"family":"Jones","given":"Andy"},{"family":"Haywood","given":"James"},{"family":"Séférian","given":"Roland"},{"family":"Nabat","given":"Pierre"},{"family":"Boucher","given":"Olivier"},{"family":"Bednarz","given":"Ewa Monica"},{"family":"Niemeier","given":"Ulrike"}],"issued":{"date-parts":[["2022",4,8]]}}}],"schema":"https://github.com/citation-style-language/schema/raw/master/csl-citation.json"}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(Simone Tilmes et al.,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They begin in 2020 with SSP5-8.5 emissions and then a sulfate aerosol optical depth (AOD) is added to reflect sunlight and cool the planet to reach SSP2-4.5 levels of radiative forcing. UKESM1-0-LL injects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uniformly between 10⁰ N and 10⁰ S between 18 and 20 km of altitude and across a single longitudinal band (0⁰). CESM2-WACCM injects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at the equator at an altitude of 25 km. CNRM-ESM2-1 uses an input dataset from a different GeoMIP experiment (G4SSA) to prescribe the aerosol optical depth distribution. The UKESM-1 model adjusts the AOD every decade whereas CESM2-WACCM and CNRM-ESM2 adjust every year. </w:t>
      </w:r>
    </w:p>
    <w:p w14:paraId="1336587F" w14:textId="5CB51DD1" w:rsidR="00EB56E1" w:rsidRPr="008E4EFB" w:rsidRDefault="007962B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This</w:t>
      </w:r>
      <w:r w:rsidR="00EB56E1" w:rsidRPr="008E4EFB">
        <w:rPr>
          <w:rFonts w:ascii="Times New Roman" w:hAnsi="Times New Roman" w:cs="Times New Roman"/>
          <w:sz w:val="24"/>
          <w:szCs w:val="24"/>
        </w:rPr>
        <w:t xml:space="preserve"> analysis of emissions and deposition by ecoregion demonstrates that the type and location of ecoregion will determine whether it receives more sulfur deposition under G6 Sulfur compared to climate change under either SSP2-4.5 or SSP5-8 (</w:t>
      </w:r>
      <w:r w:rsidR="00EB56E1" w:rsidRPr="00427197">
        <w:rPr>
          <w:rFonts w:ascii="Times New Roman" w:hAnsi="Times New Roman" w:cs="Times New Roman"/>
          <w:b/>
          <w:bCs/>
          <w:sz w:val="24"/>
          <w:szCs w:val="24"/>
        </w:rPr>
        <w:t xml:space="preserve">Figure </w:t>
      </w:r>
      <w:r w:rsidR="00822EDA">
        <w:rPr>
          <w:rFonts w:ascii="Times New Roman" w:hAnsi="Times New Roman" w:cs="Times New Roman"/>
          <w:b/>
          <w:bCs/>
          <w:sz w:val="24"/>
          <w:szCs w:val="24"/>
        </w:rPr>
        <w:t>4</w:t>
      </w:r>
      <w:r w:rsidR="005A173B" w:rsidRPr="00427197">
        <w:rPr>
          <w:rFonts w:ascii="Times New Roman" w:hAnsi="Times New Roman" w:cs="Times New Roman"/>
          <w:b/>
          <w:bCs/>
          <w:sz w:val="24"/>
          <w:szCs w:val="24"/>
        </w:rPr>
        <w:t>.3</w:t>
      </w:r>
      <w:r w:rsidR="00EB56E1" w:rsidRPr="008E4EFB">
        <w:rPr>
          <w:rFonts w:ascii="Times New Roman" w:hAnsi="Times New Roman" w:cs="Times New Roman"/>
          <w:sz w:val="24"/>
          <w:szCs w:val="24"/>
        </w:rPr>
        <w:t xml:space="preserve">). Visioni et al. (2020) write that according to CESM1-WACCM projections, more </w:t>
      </w:r>
      <w:proofErr w:type="gramStart"/>
      <w:r w:rsidR="00EB56E1" w:rsidRPr="008E4EFB">
        <w:rPr>
          <w:rFonts w:ascii="Times New Roman" w:hAnsi="Times New Roman" w:cs="Times New Roman"/>
          <w:sz w:val="24"/>
          <w:szCs w:val="24"/>
        </w:rPr>
        <w:t>deposition</w:t>
      </w:r>
      <w:proofErr w:type="gramEnd"/>
      <w:r w:rsidR="00EB56E1" w:rsidRPr="008E4EFB">
        <w:rPr>
          <w:rFonts w:ascii="Times New Roman" w:hAnsi="Times New Roman" w:cs="Times New Roman"/>
          <w:sz w:val="24"/>
          <w:szCs w:val="24"/>
        </w:rPr>
        <w:t xml:space="preserve"> will occur in pristine areas under G6 Sulfur compared to the historical period as long-range transport relocates the particles away from the site of emissions to mid- and high- latitudes. This poses a risk to ecoregions that are particularly sensitive to fluctuations in sulfur levels and may not be able to survive rapid changes. Critical loads are the threshold of atmospheric deposition below which ecological harm does not occur for any given ecosystem or species </w:t>
      </w:r>
      <w:r w:rsidR="00EB56E1" w:rsidRPr="008E4EFB">
        <w:rPr>
          <w:rFonts w:ascii="Times New Roman" w:hAnsi="Times New Roman" w:cs="Times New Roman"/>
          <w:sz w:val="24"/>
          <w:szCs w:val="24"/>
        </w:rPr>
        <w:fldChar w:fldCharType="begin"/>
      </w:r>
      <w:r w:rsidR="00EB56E1" w:rsidRPr="008E4EFB">
        <w:rPr>
          <w:rFonts w:ascii="Times New Roman" w:hAnsi="Times New Roman" w:cs="Times New Roman"/>
          <w:sz w:val="24"/>
          <w:szCs w:val="24"/>
        </w:rPr>
        <w:instrText xml:space="preserve"> ADDIN ZOTERO_ITEM CSL_CITATION {"citationID":"LaMmse1w","properties":{"formattedCitation":"(Nilsson, 1988)","plainCitation":"(Nilsson, 1988)","noteIndex":0},"citationItems":[{"id":285,"uris":["http://zotero.org/users/3110659/items/QZXNF9AW"],"itemData":{"id":285,"type":"paper-conference","abstract":"SummaryA group of Nordic experts has tried to draw conclusions on critical loads for sulphur and nitrogen. The critical load is defined as “The highest load that will not cause chemical changes leading to long-term harmful effects on most sensitive ecological systems”.Most soils, shallow groundwaters and surface waters would probably not be significantly changed by a load of 10–20 keq H+·km2·yr−1 in areas with a low content of base cations in the deposition. The total deposition of hydrogen ions in southwestern Scandinavia is in the order of 100 keq ·km−2·yr−1.The long-term critical load for nitrogen is in the range of 10–20 kg N·ha·1-yr−1 in most forest ecosystems. In high productive sites it might be as high as 20–45 kg N·ha− yr−1 in southern Sweden, and amounts to 30–40 kg·ha−1·yr−1 and even more over large areas in central Europe.The current deposition of sulphur and nitrogen must be substantially reduced to keep the long-term changes in sensitive ecosystems within acceptable limits.","container-title":"Air Pollution and Ecosystems","DOI":"10.1007/978-94-009-4003-1_11","event-place":"Dordrecht","ISBN":"978-94-009-4003-1","language":"en","page":"85-91","publisher":"Springer Netherlands","publisher-place":"Dordrecht","source":"Springer Link","title":"Critical Loads for Sulphur and Nitrogen","author":[{"family":"Nilsson","given":"J."}],"editor":[{"family":"Mathy","given":"P."}],"issued":{"date-parts":[["1988"]]}}}],"schema":"https://github.com/citation-style-language/schema/raw/master/csl-citation.json"} </w:instrText>
      </w:r>
      <w:r w:rsidR="00EB56E1"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(Nilsson, 1988)</w:t>
      </w:r>
      <w:r w:rsidR="00EB56E1" w:rsidRPr="008E4EFB">
        <w:rPr>
          <w:rFonts w:ascii="Times New Roman" w:hAnsi="Times New Roman" w:cs="Times New Roman"/>
          <w:sz w:val="24"/>
          <w:szCs w:val="24"/>
        </w:rPr>
        <w:fldChar w:fldCharType="end"/>
      </w:r>
      <w:r w:rsidR="00EB56E1" w:rsidRPr="008E4EFB">
        <w:rPr>
          <w:rFonts w:ascii="Times New Roman" w:hAnsi="Times New Roman" w:cs="Times New Roman"/>
          <w:sz w:val="24"/>
          <w:szCs w:val="24"/>
        </w:rPr>
        <w:t xml:space="preserve">. Beyond the critical load for an ecosystem, acidification and eutrophication will occur and important biogeochemical cycles will be impacted </w:t>
      </w:r>
      <w:r w:rsidR="00EB56E1" w:rsidRPr="008E4EFB">
        <w:rPr>
          <w:rFonts w:ascii="Times New Roman" w:hAnsi="Times New Roman" w:cs="Times New Roman"/>
          <w:sz w:val="24"/>
          <w:szCs w:val="24"/>
        </w:rPr>
        <w:fldChar w:fldCharType="begin"/>
      </w:r>
      <w:r w:rsidR="00EB56E1" w:rsidRPr="008E4EFB">
        <w:rPr>
          <w:rFonts w:ascii="Times New Roman" w:hAnsi="Times New Roman" w:cs="Times New Roman"/>
          <w:sz w:val="24"/>
          <w:szCs w:val="24"/>
        </w:rPr>
        <w:instrText xml:space="preserve"> ADDIN ZOTERO_ITEM CSL_CITATION {"citationID":"0SSW9nrL","properties":{"formattedCitation":"(Driscoll et al., 2001; Galloway, 1995; Lanning et al., 2019)","plainCitation":"(Driscoll et al., 2001; Galloway, 1995; Lanning et al., 2019)","noteIndex":0},"citationItems":[{"id":2806,"uris":["http://zotero.org/users/3110659/items/K23A7N23"],"itemData":{"id":2806,"type":"article-journal","container-title":"BioScience","DOI":"10.1641/0006-3568(2001)051[0180:ADITNU]2.0.CO;2","ISSN":"0006-3568","issue":"3","journalAbbreviation":"BioScience","page":"180-198","source":"Silverchair","title":"Acidic Deposition in the Northeastern United States: Sources and Inputs, Ecosystem Effects, and Management Strategies: The effects of acidic deposition in the northeastern United States include the acidification of soil and water, which stresses terrestrial and aquatic biota","title-short":"Acidic Deposition in the Northeastern United States","volume":"51","author":[{"family":"Driscoll","given":"Charles T."},{"family":"Lawrence","given":"Gregory B."},{"family":"Bulger","given":"Arthur J."},{"family":"Butler","given":"Thomas J."},{"family":"Cronan","given":"Christopher S."},{"family":"Eagar","given":"Christopher"},{"family":"Lambert","given":"Kathleen F."},{"family":"Likens","given":"Gene E."},{"family":"Stoddard","given":"John L."},{"family":"Weathers","given":"Kathleen C."}],"issued":{"date-parts":[["2001",3,1]]}}},{"id":2804,"uris":["http://zotero.org/users/3110659/items/XYP4D6WA"],"itemData":{"id":2804,"type":"article-journal","abstract":"Most acid-deposition investigations have been concerned with the impact of nitrogen oxides (NOx) and sulfur dioxide (SO2) emissions on Europe and North America. This paper examines three issues beyond this central focus. Major conclusions are 1) ammonia (NH3) emissions and subsequent nitrogen (N) accumulation in terrestrial ecosystems have the potential to generate significant acidification in terrestrial and aquatic ecosystems; 2) sulfur (S) and N accumulation in environmental reservoirs will not only result in significant and extensive acidification but will also impact the earth's radiation balance, tropospheric oxidizing capacity, ecosystem nutrient balance and groundwater quality; and 3) future emissions will substantially increase in the developing world, especially in Asia. By 2020, Asian emissions of SO2, NOx and NH3 will be equal to or greater than the combined emissions from Europe and North America.","container-title":"Water, Air, and Soil Pollution","DOI":"10.1007/BF00483685","ISSN":"1573-2932","issue":"1","journalAbbreviation":"Water Air Soil Pollut","language":"en","page":"15-24","source":"Springer Link","title":"Acid deposition: Perspectives in time and space","title-short":"Acid deposition","volume":"85","author":[{"family":"Galloway","given":"J. N."}],"issued":{"date-parts":[["1995",12,1]]}}},{"id":2809,"uris":["http://zotero.org/users/3110659/items/B5Z6IRIS"],"itemData":{"id":2809,"type":"article-journal","abstract":"Acid deposition increases vegetation water use by altering soil calcium availability., Despite the important role vegetation plays in the global water cycle, the exact controls of vegetation water use, especially the role of soil biogeochemistry, remain elusive. In this study, we reveal a new mechanism of soil biogeochemical control of large-scale vegetation water use. Nitrate and sulfate deposition from fossil fuel burning have caused substantial soil acidification, leading to the leaching of soil base cations. Of these, calcium has a unique role in plant cells by regulating stomatal aperture, thus affecting vegetation water use. We hypothesized that the leaching of the soil calcium supply, induced by acid deposition, would increase large-scale vegetation water use. We present evidence from a long-term whole watershed acidification experiment demonstrating that the alteration of the soil calcium supply by acid deposition can significantly intensify vegetation water use (~10% increase in evapotranspiration) and deplete available soil water. These results are critical to understanding future water availability, biogeochemical cycles, and surface energy flux and to help reduce uncertainties in terrestrial biosphere models.","container-title":"Science Advances","DOI":"10.1126/sciadv.aav5168","ISSN":"2375-2548","issue":"7","journalAbbreviation":"Sci Adv","note":"PMID: 31392267\nPMCID: PMC6669010","page":"eaav5168","source":"PubMed Central","title":"Intensified vegetation water use under acid deposition","volume":"5","author":[{"family":"Lanning","given":"Matthew"},{"family":"Wang","given":"Lixin"},{"family":"Scanlon","given":"Todd M."},{"family":"Vadeboncoeur","given":"Matthew A."},{"family":"Adams","given":"Mary B."},{"family":"Epstein","given":"Howard E."},{"family":"Druckenbrod","given":"Daniel"}],"issued":{"date-parts":[["2019",7,31]]}}}],"schema":"https://github.com/citation-style-language/schema/raw/master/csl-citation.json"} </w:instrText>
      </w:r>
      <w:r w:rsidR="00EB56E1"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(Driscoll et al., 2001; Galloway, 1995; Lanning et al., 2019)</w:t>
      </w:r>
      <w:r w:rsidR="00EB56E1" w:rsidRPr="008E4EFB">
        <w:rPr>
          <w:rFonts w:ascii="Times New Roman" w:hAnsi="Times New Roman" w:cs="Times New Roman"/>
          <w:sz w:val="24"/>
          <w:szCs w:val="24"/>
        </w:rPr>
        <w:fldChar w:fldCharType="end"/>
      </w:r>
      <w:r w:rsidR="00EB56E1" w:rsidRPr="008E4EFB">
        <w:rPr>
          <w:rFonts w:ascii="Times New Roman" w:hAnsi="Times New Roman" w:cs="Times New Roman"/>
          <w:sz w:val="24"/>
          <w:szCs w:val="24"/>
        </w:rPr>
        <w:t xml:space="preserve">. In US forests, the critical load for sulfur deposition can be calculated for lichen and used as an indicator of overall forest health, because lichen is particularly sensitive to air pollution </w:t>
      </w:r>
      <w:r w:rsidR="00EB56E1" w:rsidRPr="008E4EFB">
        <w:rPr>
          <w:rFonts w:ascii="Times New Roman" w:hAnsi="Times New Roman" w:cs="Times New Roman"/>
          <w:sz w:val="24"/>
          <w:szCs w:val="24"/>
        </w:rPr>
        <w:lastRenderedPageBreak/>
        <w:fldChar w:fldCharType="begin"/>
      </w:r>
      <w:r w:rsidR="00EB56E1" w:rsidRPr="008E4EFB">
        <w:rPr>
          <w:rFonts w:ascii="Times New Roman" w:hAnsi="Times New Roman" w:cs="Times New Roman"/>
          <w:sz w:val="24"/>
          <w:szCs w:val="24"/>
        </w:rPr>
        <w:instrText xml:space="preserve"> ADDIN ZOTERO_ITEM CSL_CITATION {"citationID":"PJEQajDo","properties":{"formattedCitation":"(Geiser et al., 2021; McMurray et al., 2021)","plainCitation":"(Geiser et al., 2021; McMurray et al., 2021)","noteIndex":0},"citationItems":[{"id":2791,"uris":["http://zotero.org/users/3110659/items/5G8DSLVK"],"itemData":{"id":2791,"type":"article-journal","abstract":"Critical loads are thresholds of atmospheric deposition below which harmful ecological effects do not occur. Because lichens are sensitive to atmospheric deposition, lichen-based critical loads can foreshadow changes of other forest processes. Here, we derive critical loads of nitrogen (N) and sulfur (S) deposition for continental US and coastal Alaskan forests, based on nationally consistent lichen community surveys at 8855 sites. Across the eastern and western US ranges of 459 lichen species, each species' realized optimum was the N or S atmospheric deposition value at which it most frequently occurred. The mean of optima for all species at a site, weighted by their abundances, was defined as a community “airscore” indicative of species’ collective responses to atmospheric deposition. To determine critical loads for adverse community compositional shifts, we then modeled changes in airscores as a function of deposition, climate and forest habitat predictors in nonparametric multiplicative regression. Critical loads, indicative of initial shifts from pollution-sensitive toward pollution-tolerant species, occurred at 1.5 kg N ha−1 y−1 and 2.7 kg S ha−1 y−1. Importantly, these critical loads remain constant under any climate regime nationwide, suggesting both simplicity and nationwide applicability. Our models predict that preventing excess N deposition of just 0.2–2.0 kg ha−1 y−1 in the next century could offset the detrimental effects of predicted climate warming on lichen communities. Because excess deposition and climate warming both harm the most ecologically influential species, keeping conditions below critical loads would sustain both forest ecosystem functioning and climate resilience.","container-title":"Environmental Pollution","DOI":"10.1016/j.envpol.2021.118187","ISSN":"0269-7491","journalAbbreviation":"Environmental Pollution","page":"118187","source":"ScienceDirect","title":"Lichen-based critical loads for deposition of nitrogen and sulfur in US forests","volume":"291","author":[{"family":"Geiser","given":"Linda H."},{"family":"Root","given":"Heather"},{"family":"Smith","given":"Robert J."},{"family":"Jovan","given":"Sarah E."},{"family":"St Clair","given":"Larry"},{"family":"Dillman","given":"Karen L."}],"issued":{"date-parts":[["2021",12,15]]}}},{"id":2799,"uris":["http://zotero.org/users/3110659/items/2XYNYPND"],"itemData":{"id":2799,"type":"report","abstract":"A critical load (CL) is a science-based threshold that identifies the amount of pollutant deposition below which no significant ecological harm to an ecosystem component is expected. This report provides baseline critical load (CL) analyses for nitrogen (N) and sulfur (S) as required under the 2012 Planning Rule for forest plan assessments. The data also can be used to inform land management decisions where the effects of N and S deposition are relevant, including the evaluation of large projects through the National Environmental Policy Act, Prevention of Significant Deterioration (PSD) permitting program, wilderness monitoring, and watershed condition.","genre":"Technical Report","language":"en","number":"NRS-204","page":"308","publisher":"Madison, WI: U.S. Department of Agriculture, Forest Service, Northern Research Station","source":"Zotero","title":"Assessment of Atmospheric Nitrogen and Sulfur Deposition Critical Loads for Aquatic and Terrestrial Resources on National Forest System Lands in the Intermountain Region","URL":"https://doi. org/10.2737/NRS-GTR-204","author":[{"family":"McMurray","given":"Jill A"},{"family":"McDonnell","given":"Todd C."},{"family":"Mebane","given":"Ann"},{"family":"Pardo","given":"Linda"}],"issued":{"date-parts":[["2021"]]}}}],"schema":"https://github.com/citation-style-language/schema/raw/master/csl-citation.json"} </w:instrText>
      </w:r>
      <w:r w:rsidR="00EB56E1"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(Geiser et al., 2021; McMurray et al., 2021)</w:t>
      </w:r>
      <w:r w:rsidR="00EB56E1" w:rsidRPr="008E4EFB">
        <w:rPr>
          <w:rFonts w:ascii="Times New Roman" w:hAnsi="Times New Roman" w:cs="Times New Roman"/>
          <w:sz w:val="24"/>
          <w:szCs w:val="24"/>
        </w:rPr>
        <w:fldChar w:fldCharType="end"/>
      </w:r>
      <w:r w:rsidR="00EB56E1" w:rsidRPr="008E4EFB">
        <w:rPr>
          <w:rFonts w:ascii="Times New Roman" w:hAnsi="Times New Roman" w:cs="Times New Roman"/>
          <w:sz w:val="24"/>
          <w:szCs w:val="24"/>
        </w:rPr>
        <w:t>. One study calculates this value to be 2.7 kg S ha</w:t>
      </w:r>
      <w:r w:rsidR="00EB56E1" w:rsidRPr="008E4EFB">
        <w:rPr>
          <w:rFonts w:ascii="Times New Roman" w:hAnsi="Times New Roman" w:cs="Times New Roman"/>
          <w:sz w:val="24"/>
          <w:szCs w:val="24"/>
          <w:vertAlign w:val="superscript"/>
        </w:rPr>
        <w:t>−1</w:t>
      </w:r>
      <w:r w:rsidR="00EB56E1" w:rsidRPr="008E4EFB">
        <w:rPr>
          <w:rFonts w:ascii="Times New Roman" w:hAnsi="Times New Roman" w:cs="Times New Roman"/>
          <w:sz w:val="24"/>
          <w:szCs w:val="24"/>
        </w:rPr>
        <w:t> y</w:t>
      </w:r>
      <w:r w:rsidR="00EB56E1" w:rsidRPr="008E4EFB">
        <w:rPr>
          <w:rFonts w:ascii="Times New Roman" w:hAnsi="Times New Roman" w:cs="Times New Roman"/>
          <w:sz w:val="24"/>
          <w:szCs w:val="24"/>
          <w:vertAlign w:val="superscript"/>
        </w:rPr>
        <w:t xml:space="preserve">−1 </w:t>
      </w:r>
      <w:r w:rsidR="00EB56E1" w:rsidRPr="008E4EFB">
        <w:rPr>
          <w:rFonts w:ascii="Times New Roman" w:hAnsi="Times New Roman" w:cs="Times New Roman"/>
          <w:sz w:val="24"/>
          <w:szCs w:val="24"/>
          <w:vertAlign w:val="subscript"/>
        </w:rPr>
        <w:softHyphen/>
      </w:r>
      <w:r w:rsidR="00EB56E1" w:rsidRPr="008E4EFB">
        <w:rPr>
          <w:rFonts w:ascii="Times New Roman" w:hAnsi="Times New Roman" w:cs="Times New Roman"/>
          <w:sz w:val="24"/>
          <w:szCs w:val="24"/>
          <w:vertAlign w:val="subscript"/>
        </w:rPr>
        <w:softHyphen/>
      </w:r>
      <w:r w:rsidR="00EB56E1" w:rsidRPr="008E4EFB">
        <w:rPr>
          <w:rFonts w:ascii="Times New Roman" w:hAnsi="Times New Roman" w:cs="Times New Roman"/>
          <w:sz w:val="24"/>
          <w:szCs w:val="24"/>
        </w:rPr>
        <w:t xml:space="preserve"> for forested ecosystems in the US </w:t>
      </w:r>
      <w:r w:rsidR="00EB56E1" w:rsidRPr="008E4EFB">
        <w:rPr>
          <w:rFonts w:ascii="Times New Roman" w:hAnsi="Times New Roman" w:cs="Times New Roman"/>
          <w:sz w:val="24"/>
          <w:szCs w:val="24"/>
        </w:rPr>
        <w:fldChar w:fldCharType="begin"/>
      </w:r>
      <w:r w:rsidR="00EB56E1" w:rsidRPr="008E4EFB">
        <w:rPr>
          <w:rFonts w:ascii="Times New Roman" w:hAnsi="Times New Roman" w:cs="Times New Roman"/>
          <w:sz w:val="24"/>
          <w:szCs w:val="24"/>
        </w:rPr>
        <w:instrText xml:space="preserve"> ADDIN ZOTERO_ITEM CSL_CITATION {"citationID":"7OrM9Teu","properties":{"formattedCitation":"(Geiser et al., 2021)","plainCitation":"(Geiser et al., 2021)","noteIndex":0},"citationItems":[{"id":2791,"uris":["http://zotero.org/users/3110659/items/5G8DSLVK"],"itemData":{"id":2791,"type":"article-journal","abstract":"Critical loads are thresholds of atmospheric deposition below which harmful ecological effects do not occur. Because lichens are sensitive to atmospheric deposition, lichen-based critical loads can foreshadow changes of other forest processes. Here, we derive critical loads of nitrogen (N) and sulfur (S) deposition for continental US and coastal Alaskan forests, based on nationally consistent lichen community surveys at 8855 sites. Across the eastern and western US ranges of 459 lichen species, each species' realized optimum was the N or S atmospheric deposition value at which it most frequently occurred. The mean of optima for all species at a site, weighted by their abundances, was defined as a community “airscore” indicative of species’ collective responses to atmospheric deposition. To determine critical loads for adverse community compositional shifts, we then modeled changes in airscores as a function of deposition, climate and forest habitat predictors in nonparametric multiplicative regression. Critical loads, indicative of initial shifts from pollution-sensitive toward pollution-tolerant species, occurred at 1.5 kg N ha−1 y−1 and 2.7 kg S ha−1 y−1. Importantly, these critical loads remain constant under any climate regime nationwide, suggesting both simplicity and nationwide applicability. Our models predict that preventing excess N deposition of just 0.2–2.0 kg ha−1 y−1 in the next century could offset the detrimental effects of predicted climate warming on lichen communities. Because excess deposition and climate warming both harm the most ecologically influential species, keeping conditions below critical loads would sustain both forest ecosystem functioning and climate resilience.","container-title":"Environmental Pollution","DOI":"10.1016/j.envpol.2021.118187","ISSN":"0269-7491","journalAbbreviation":"Environmental Pollution","page":"118187","source":"ScienceDirect","title":"Lichen-based critical loads for deposition of nitrogen and sulfur in US forests","volume":"291","author":[{"family":"Geiser","given":"Linda H."},{"family":"Root","given":"Heather"},{"family":"Smith","given":"Robert J."},{"family":"Jovan","given":"Sarah E."},{"family":"St Clair","given":"Larry"},{"family":"Dillman","given":"Karen L."}],"issued":{"date-parts":[["2021",12,15]]}}}],"schema":"https://github.com/citation-style-language/schema/raw/master/csl-citation.json"} </w:instrText>
      </w:r>
      <w:r w:rsidR="00EB56E1"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(Geiser et al., 2021)</w:t>
      </w:r>
      <w:r w:rsidR="00EB56E1" w:rsidRPr="008E4EFB">
        <w:rPr>
          <w:rFonts w:ascii="Times New Roman" w:hAnsi="Times New Roman" w:cs="Times New Roman"/>
          <w:sz w:val="24"/>
          <w:szCs w:val="24"/>
        </w:rPr>
        <w:fldChar w:fldCharType="end"/>
      </w:r>
      <w:r w:rsidR="00EB56E1" w:rsidRPr="008E4EFB">
        <w:rPr>
          <w:rFonts w:ascii="Times New Roman" w:hAnsi="Times New Roman" w:cs="Times New Roman"/>
          <w:sz w:val="24"/>
          <w:szCs w:val="24"/>
        </w:rPr>
        <w:t xml:space="preserve">, or 8.56 </w:t>
      </w:r>
      <m:oMath>
        <m:r>
          <w:rPr>
            <w:rFonts w:ascii="Cambria Math" w:hAnsi="Cambria Math" w:cs="Times New Roman"/>
            <w:sz w:val="24"/>
            <w:szCs w:val="24"/>
          </w:rPr>
          <m:t xml:space="preserve">× </m:t>
        </m:r>
      </m:oMath>
      <w:r w:rsidR="00EB56E1" w:rsidRPr="008E4EFB">
        <w:rPr>
          <w:rFonts w:ascii="Times New Roman" w:hAnsi="Times New Roman" w:cs="Times New Roman"/>
          <w:sz w:val="24"/>
          <w:szCs w:val="24"/>
        </w:rPr>
        <w:t>10</w:t>
      </w:r>
      <w:r w:rsidR="00EB56E1" w:rsidRPr="008E4EFB">
        <w:rPr>
          <w:rFonts w:ascii="Times New Roman" w:hAnsi="Times New Roman" w:cs="Times New Roman"/>
          <w:sz w:val="24"/>
          <w:szCs w:val="24"/>
          <w:vertAlign w:val="superscript"/>
        </w:rPr>
        <w:t>-11</w:t>
      </w:r>
      <w:r w:rsidR="00EB56E1" w:rsidRPr="008E4EFB">
        <w:rPr>
          <w:rFonts w:ascii="Times New Roman" w:hAnsi="Times New Roman" w:cs="Times New Roman"/>
          <w:sz w:val="24"/>
          <w:szCs w:val="24"/>
        </w:rPr>
        <w:t xml:space="preserve"> kg S/m</w:t>
      </w:r>
      <w:r w:rsidR="00EB56E1" w:rsidRPr="008E4EFB">
        <w:rPr>
          <w:rFonts w:ascii="Times New Roman" w:hAnsi="Times New Roman" w:cs="Times New Roman"/>
          <w:sz w:val="24"/>
          <w:szCs w:val="24"/>
          <w:vertAlign w:val="superscript"/>
        </w:rPr>
        <w:t>2</w:t>
      </w:r>
      <w:r w:rsidR="00EB56E1" w:rsidRPr="008E4EFB">
        <w:rPr>
          <w:rFonts w:ascii="Times New Roman" w:hAnsi="Times New Roman" w:cs="Times New Roman"/>
          <w:sz w:val="24"/>
          <w:szCs w:val="24"/>
        </w:rPr>
        <w:t xml:space="preserve">s. By this measure, the only ecoregion annual averages below the critical load under both G6Sulfur and SSP2-4.5 are deciduous needleleaf forests for 2020-2100 and Croplands/Natural Vegetation Mosaic for 2061-2100. Under SSP5-8.5, the ecoregions below the critical load are deciduous needleleaf forests for 2020-2100 and Croplands/Natural Vegetation Mosaic for 2081-2100. While not all species are not as sensitive to sulfur deposition as lichens, and there is a large range in both critical loads and uncertainty in critical loads by species, forest type, and underlying soil </w:t>
      </w:r>
      <w:r w:rsidR="00EB56E1" w:rsidRPr="008E4EFB">
        <w:rPr>
          <w:rFonts w:ascii="Times New Roman" w:hAnsi="Times New Roman" w:cs="Times New Roman"/>
          <w:sz w:val="24"/>
          <w:szCs w:val="24"/>
        </w:rPr>
        <w:fldChar w:fldCharType="begin"/>
      </w:r>
      <w:r w:rsidR="0059488F" w:rsidRPr="008E4EFB">
        <w:rPr>
          <w:rFonts w:ascii="Times New Roman" w:hAnsi="Times New Roman" w:cs="Times New Roman"/>
          <w:sz w:val="24"/>
          <w:szCs w:val="24"/>
        </w:rPr>
        <w:instrText xml:space="preserve"> ADDIN ZOTERO_ITEM CSL_CITATION {"citationID":"2mUuOiDW","properties":{"formattedCitation":"(X. Ge et al., 2023; Pavlovic et al., 2023)","plainCitation":"(X. Ge et al., 2023; Pavlovic et al., 2023)","noteIndex":0},"citationItems":[{"id":2802,"uris":["http://zotero.org/users/3110659/items/PMRQG88T"],"itemData":{"id":2802,"type":"article-journal","abstract":"The critical load concept is an important scientific guideline for acid deposition control. It was not only a crucial scientific basis to determine the emission reduction targets in Europe, but also used in China’s air pollution control, especially the designation of two control zones. Currently, critical loads of sulfur and nitrogen are still exceeded in Europe, America, and East Asia (mainly in China), and need to be continuously updated to meet the demands of further emission reductions. Critical loads of China were calculated and mapped in the 2000s, but are not sufficiently accurate due to methodological and data limitations. Here we present the latest high-quality critical loads for China, based on high-resolution basic data on soil, vegetation, and atmospheric base cations deposition, and up-to-date knowledge on important parameters. Our data, which is going to be included in GAINS-China, can be used to assess the ecological benefits of nitrogen and sulfur reductions in China at a regional or national scale, and to develop mitigation strategies in the future.","container-title":"Scientific Data","DOI":"10.1038/s41597-023-02178-z","ISSN":"2052-4463","issue":"1","journalAbbreviation":"Sci Data","language":"en","license":"2023 The Author(s)","note":"number: 1\npublisher: Nature Publishing Group","page":"339","source":"www.nature.com","title":"High-resolution maps of critical loads for sulfur and nitrogen in China","volume":"10","author":[{"family":"Ge","given":"Xiaodong"},{"family":"Yu","given":"Qian"},{"family":"Duan","given":"Lei"},{"family":"Zhao","given":"Yu"},{"family":"Posch","given":"Maximilian"},{"family":"Hao","given":"Jiming"}],"issued":{"date-parts":[["2023",5,31]]}}},{"id":2800,"uris":["http://zotero.org/users/3110659/items/FCHNFNFE"],"itemData":{"id":2800,"type":"article-journal","abstract":"Critical loads (CLs) of atmospheric deposition for nitrogen (N) and sulfur (S) are used to support decision making related to air regulation and land management. Frequently, CLs are calculated using empirical methods, and the certainty of the results depends on accurate representation of underlying ecological processes. Machine learning (ML) models perform well in empirical modeling of processes with non-linear characteristics and significant variable interactions. We used bootstrap ensemble ML methods to develop CL estimates and assess uncertainties of CLs for the growth and survival of 108 tree species in the conterminous United States. We trained ML models to predict tree growth and survival and characterize the relationship between deposition and tree species response. Using four statistical methods, we quantified the uncertainty of CLs in 95 % confidence intervals (CI). At the lower bound of the CL uncertainty estimate, 80 % or more of tree species have been impacted by nitrogen deposition exceeding a CL for tree survival over &gt;50 % of the species range, while at the upper bound the percentage is much lower (&lt;20 % of tree species impacted across &gt;60 % of the species range). Our analysis shows that bootstrap ensemble ML can be effectively used to quantify critical loads and their uncertainties. The range of the uncertainty we calculated is sufficiently large to warrant consideration in management and regulatory decision making with respect to atmospheric deposition.","container-title":"Science of The Total Environment","DOI":"10.1016/j.scitotenv.2022.159252","ISSN":"0048-9697","journalAbbreviation":"Science of The Total Environment","page":"159252","source":"ScienceDirect","title":"Empirical nitrogen and sulfur critical loads of U.S. tree species and their uncertainties with machine learning","volume":"857","author":[{"family":"Pavlovic","given":"Nathan R."},{"family":"Chang","given":"Shih Ying"},{"family":"Huang","given":"Jiaoyan"},{"family":"Craig","given":"Kenneth"},{"family":"Clark","given":"Christopher"},{"family":"Horn","given":"Kevin"},{"family":"Driscoll","given":"Charles T."}],"issued":{"date-parts":[["2023",1,20]]}}}],"schema":"https://github.com/citation-style-language/schema/raw/master/csl-citation.json"} </w:instrText>
      </w:r>
      <w:r w:rsidR="00EB56E1" w:rsidRPr="008E4EFB">
        <w:rPr>
          <w:rFonts w:ascii="Times New Roman" w:hAnsi="Times New Roman" w:cs="Times New Roman"/>
          <w:sz w:val="24"/>
          <w:szCs w:val="24"/>
        </w:rPr>
        <w:fldChar w:fldCharType="separate"/>
      </w:r>
      <w:r w:rsidR="0059488F" w:rsidRPr="008E4EFB">
        <w:rPr>
          <w:rFonts w:ascii="Times New Roman" w:hAnsi="Times New Roman" w:cs="Times New Roman"/>
          <w:sz w:val="24"/>
          <w:szCs w:val="24"/>
        </w:rPr>
        <w:t>(X. Ge et al., 2023; Pavlovic et al., 2023)</w:t>
      </w:r>
      <w:r w:rsidR="00EB56E1" w:rsidRPr="008E4EFB">
        <w:rPr>
          <w:rFonts w:ascii="Times New Roman" w:hAnsi="Times New Roman" w:cs="Times New Roman"/>
          <w:sz w:val="24"/>
          <w:szCs w:val="24"/>
        </w:rPr>
        <w:fldChar w:fldCharType="end"/>
      </w:r>
      <w:r w:rsidR="00EB56E1" w:rsidRPr="008E4EFB">
        <w:rPr>
          <w:rFonts w:ascii="Times New Roman" w:hAnsi="Times New Roman" w:cs="Times New Roman"/>
          <w:sz w:val="24"/>
          <w:szCs w:val="24"/>
        </w:rPr>
        <w:t xml:space="preserve">, the exceedance in so much of the world is concerning. </w:t>
      </w:r>
    </w:p>
    <w:p w14:paraId="26EDB38A" w14:textId="6D31CC0E"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It is also important not to compare a climate intervention scenario to the current climate but rather to other possible futures to understand the risks of different global actions. When compared to SSP2-4.5, G6sulfur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hAnsi="Times New Roman" w:cs="Times New Roman"/>
          <w:sz w:val="24"/>
          <w:szCs w:val="24"/>
        </w:rPr>
        <w:t>deposition does not decrease as quickly and in some ecoregions begins to rise again by the end of the 21</w:t>
      </w:r>
      <w:r w:rsidRPr="008E4EFB">
        <w:rPr>
          <w:rFonts w:ascii="Times New Roman" w:hAnsi="Times New Roman" w:cs="Times New Roman"/>
          <w:sz w:val="24"/>
          <w:szCs w:val="24"/>
          <w:vertAlign w:val="superscript"/>
        </w:rPr>
        <w:t>st</w:t>
      </w:r>
      <w:r w:rsidRPr="008E4EFB">
        <w:rPr>
          <w:rFonts w:ascii="Times New Roman" w:hAnsi="Times New Roman" w:cs="Times New Roman"/>
          <w:sz w:val="24"/>
          <w:szCs w:val="24"/>
        </w:rPr>
        <w:t xml:space="preserve"> century. Emissions, on the other hand, are lower and drop faster. When compared to SSP5-8.5, emissions and deposition tend to be lower across the board, although, again, in several ecoregions,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hAnsi="Times New Roman" w:cs="Times New Roman"/>
          <w:sz w:val="24"/>
          <w:szCs w:val="24"/>
        </w:rPr>
        <w:t xml:space="preserve">deposition will be higher by the end of the century. These results suggest that for most of the world, both SSP2-4.5 and SSP5-8.5 are associated with lower deposition by the end of the century. Nevertheless, in the near future, the opposite is true, meaning that benefits (strictly defined as lower sulfur deposition to sensitive ecosystems) from SAI will be concentrated in the next 20 years. One important note with </w:t>
      </w:r>
      <w:r w:rsidR="007962B1" w:rsidRPr="008E4EFB">
        <w:rPr>
          <w:rFonts w:ascii="Times New Roman" w:hAnsi="Times New Roman" w:cs="Times New Roman"/>
          <w:sz w:val="24"/>
          <w:szCs w:val="24"/>
        </w:rPr>
        <w:t>my</w:t>
      </w:r>
      <w:r w:rsidRPr="008E4EFB">
        <w:rPr>
          <w:rFonts w:ascii="Times New Roman" w:hAnsi="Times New Roman" w:cs="Times New Roman"/>
          <w:sz w:val="24"/>
          <w:szCs w:val="24"/>
        </w:rPr>
        <w:t xml:space="preserve"> analysis is that these ecoregions will likely not be located in the same locations by the end of the century due to climate change and land use change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{"citationID":"VP6sA2uM","properties":{"formattedCitation":"(D. Wu et al., 2015)","plainCitation":"(D. Wu et al., 2015)","noteIndex":0},"citationItems":[{"id":2729,"uris":["http://zotero.org/users/3110659/items/9JYZMTCQ"],"itemData":{"id":2729,"type":"article-journal","abstract":"Climate conditions significantly affect vegetation growth in terrestrial ecosystems. Due to the spatial heterogeneity of ecosystems, the vegetation responses to climate vary considerably with the diverse spatial patterns and the time-lag effects, which are the most important mechanism of climate–vegetation interactive effects. Extensive studies focused on large-scale vegetation–climate interactions use the simultaneous meteorological and vegetation indicators to develop models; however, the time-lag effects are less considered, which tends to increase uncertainty. In this study, we aim to quantitatively determine the time-lag effects of global vegetation responses to different climatic factors using the GIMMS3g NDVI time series and the CRU temperature, precipitation, and solar radiation datasets. First, this study analyzed the time-lag effects of global vegetation responses to different climatic factors. Then, a multiple linear regression model and partial correlation model were established to statistically analyze the roles of different climatic factors on vegetation responses, from which the primary climate-driving factors for different vegetation types were determined. The results showed that (i) both the time-lag effects of the vegetation responses and the major climate-driving factors that significantly affect vegetation growth varied significantly at the global scale, which was related to the diverse vegetation and climate characteristics; (ii) regarding the time-lag effects, the climatic factors explained 64% variation of the global vegetation growth, which was 11% relatively higher than the model ignoring the time-lag effects; (iii) for the area with a significant change trend (for the period 1982–2008) in the global GIMMS3g NDVI (P &lt; 0.05), the primary driving factor was temperature; and (iv) at the regional scale, the variation in vegetation growth was also related to human activities and natural disturbances. Considering the time-lag effects is quite important for better predicting and evaluating the vegetation dynamics under the background of global climate change.","container-title":"Global Change Biology","DOI":"10.1111/gcb.12945","ISSN":"1365-2486","issue":"9","language":"en","license":"© 2015 John Wiley &amp; Sons Ltd","note":"_eprint: https://onlinelibrary.wiley.com/doi/pdf/10.1111/gcb.12945","page":"3520-3531","source":"Wiley Online Library","title":"Time-lag effects of global vegetation responses to climate change","volume":"21","author":[{"family":"Wu","given":"Donghai"},{"family":"Zhao","given":"Xiang"},{"family":"Liang","given":"Shunlin"},{"family":"Zhou","given":"Tao"},{"family":"Huang","given":"Kaicheng"},{"family":"Tang","given":"Bijian"},{"family":"Zhao","given":"Wenqian"}],"issued":{"date-parts":[["2015"]]}}}],"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(D. Wu et al., 2015)</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p>
    <w:p w14:paraId="080D7FD7" w14:textId="5D9B8C34"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SO</w:t>
      </w:r>
      <w:r w:rsidRPr="008E4EFB">
        <w:rPr>
          <w:rFonts w:ascii="Times New Roman" w:hAnsi="Times New Roman" w:cs="Times New Roman"/>
          <w:sz w:val="24"/>
          <w:szCs w:val="24"/>
          <w:vertAlign w:val="subscript"/>
        </w:rPr>
        <w:t xml:space="preserve">2 </w:t>
      </w:r>
      <w:r w:rsidRPr="008E4EFB">
        <w:rPr>
          <w:rFonts w:ascii="Times New Roman" w:hAnsi="Times New Roman" w:cs="Times New Roman"/>
          <w:sz w:val="24"/>
          <w:szCs w:val="24"/>
        </w:rPr>
        <w:t xml:space="preserve">emissions are higher than </w:t>
      </w:r>
      <w:proofErr w:type="gramStart"/>
      <w:r w:rsidRPr="008E4EFB">
        <w:rPr>
          <w:rFonts w:ascii="Times New Roman" w:hAnsi="Times New Roman" w:cs="Times New Roman"/>
          <w:sz w:val="24"/>
          <w:szCs w:val="24"/>
        </w:rPr>
        <w:t>deposition</w:t>
      </w:r>
      <w:proofErr w:type="gramEnd"/>
      <w:r w:rsidRPr="008E4EFB">
        <w:rPr>
          <w:rFonts w:ascii="Times New Roman" w:hAnsi="Times New Roman" w:cs="Times New Roman"/>
          <w:sz w:val="24"/>
          <w:szCs w:val="24"/>
        </w:rPr>
        <w:t xml:space="preserve"> under all three scenarios (</w:t>
      </w:r>
      <w:r w:rsidRPr="00427197">
        <w:rPr>
          <w:rFonts w:ascii="Times New Roman" w:hAnsi="Times New Roman" w:cs="Times New Roman"/>
          <w:b/>
          <w:bCs/>
          <w:sz w:val="24"/>
          <w:szCs w:val="24"/>
        </w:rPr>
        <w:t xml:space="preserve">Figure </w:t>
      </w:r>
      <w:r w:rsidR="00822EDA">
        <w:rPr>
          <w:rFonts w:ascii="Times New Roman" w:hAnsi="Times New Roman" w:cs="Times New Roman"/>
          <w:b/>
          <w:bCs/>
          <w:sz w:val="24"/>
          <w:szCs w:val="24"/>
        </w:rPr>
        <w:t>4</w:t>
      </w:r>
      <w:r w:rsidR="005A173B" w:rsidRPr="00427197">
        <w:rPr>
          <w:rFonts w:ascii="Times New Roman" w:hAnsi="Times New Roman" w:cs="Times New Roman"/>
          <w:b/>
          <w:bCs/>
          <w:sz w:val="24"/>
          <w:szCs w:val="24"/>
        </w:rPr>
        <w:t>.3</w:t>
      </w:r>
      <w:r w:rsidRPr="008E4EFB">
        <w:rPr>
          <w:rFonts w:ascii="Times New Roman" w:hAnsi="Times New Roman" w:cs="Times New Roman"/>
          <w:sz w:val="24"/>
          <w:szCs w:val="24"/>
        </w:rPr>
        <w:t xml:space="preserve">) but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hAnsi="Times New Roman" w:cs="Times New Roman"/>
          <w:sz w:val="24"/>
          <w:szCs w:val="24"/>
        </w:rPr>
        <w:t xml:space="preserve">deposition is higher than </w:t>
      </w:r>
      <w:r w:rsidR="009A3509" w:rsidRPr="008E4EFB">
        <w:rPr>
          <w:rFonts w:ascii="Times New Roman" w:hAnsi="Times New Roman" w:cs="Times New Roman"/>
          <w:sz w:val="24"/>
          <w:szCs w:val="24"/>
        </w:rPr>
        <w:t>SO</w:t>
      </w:r>
      <w:r w:rsidR="009A3509" w:rsidRPr="008E4EFB">
        <w:rPr>
          <w:rFonts w:ascii="Times New Roman" w:hAnsi="Times New Roman" w:cs="Times New Roman"/>
          <w:sz w:val="24"/>
          <w:szCs w:val="24"/>
          <w:vertAlign w:val="subscript"/>
        </w:rPr>
        <w:t>4</w:t>
      </w:r>
      <w:r w:rsidR="009A3509" w:rsidRPr="008E4EFB">
        <w:rPr>
          <w:rFonts w:ascii="Times New Roman" w:hAnsi="Times New Roman" w:cs="Times New Roman"/>
          <w:sz w:val="24"/>
          <w:szCs w:val="24"/>
          <w:vertAlign w:val="superscript"/>
        </w:rPr>
        <w:t>2-</w:t>
      </w:r>
      <w:r w:rsidR="009A3509" w:rsidRPr="008E4EFB">
        <w:rPr>
          <w:rFonts w:ascii="Times New Roman" w:hAnsi="Times New Roman" w:cs="Times New Roman"/>
          <w:sz w:val="24"/>
          <w:szCs w:val="24"/>
        </w:rPr>
        <w:t xml:space="preserve"> </w:t>
      </w:r>
      <w:r w:rsidRPr="008E4EFB">
        <w:rPr>
          <w:rFonts w:ascii="Times New Roman" w:hAnsi="Times New Roman" w:cs="Times New Roman"/>
          <w:sz w:val="24"/>
          <w:szCs w:val="24"/>
        </w:rPr>
        <w:t>emissions due to the atmospheric chemistry taking place as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is transformed into sulfate. Under SSP2-4.5 and SSP5-8.5 sulfate deposition decreases over time as SO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and sulfate emissions decrease. Even so, because G6Sulfur involves injecting sulfate directly into the stratosphere, sulfate deposition stays remarkably constant from 2015 to 2100. The fact that it does not increase rapidly or in sharp increments means that much of the injected sulfate </w:t>
      </w:r>
      <w:proofErr w:type="gramStart"/>
      <w:r w:rsidRPr="008E4EFB">
        <w:rPr>
          <w:rFonts w:ascii="Times New Roman" w:hAnsi="Times New Roman" w:cs="Times New Roman"/>
          <w:sz w:val="24"/>
          <w:szCs w:val="24"/>
        </w:rPr>
        <w:t>is staying</w:t>
      </w:r>
      <w:proofErr w:type="gramEnd"/>
      <w:r w:rsidRPr="008E4EFB">
        <w:rPr>
          <w:rFonts w:ascii="Times New Roman" w:hAnsi="Times New Roman" w:cs="Times New Roman"/>
          <w:sz w:val="24"/>
          <w:szCs w:val="24"/>
        </w:rPr>
        <w:t xml:space="preserve"> in the atmosphere to reduce radiative forcing, as intended. However, not all of it is, meaning these injections will have to continue throughout the whole time period to maintain the same level of radiative forcing impact. </w:t>
      </w:r>
    </w:p>
    <w:p w14:paraId="08EE1242" w14:textId="001EE22E"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lastRenderedPageBreak/>
        <w:t>The difference in location between emissions and deposition in future scenarios (</w:t>
      </w:r>
      <w:r w:rsidRPr="00427197">
        <w:rPr>
          <w:rFonts w:ascii="Times New Roman" w:hAnsi="Times New Roman" w:cs="Times New Roman"/>
          <w:b/>
          <w:bCs/>
          <w:sz w:val="24"/>
          <w:szCs w:val="24"/>
        </w:rPr>
        <w:t xml:space="preserve">Figures </w:t>
      </w:r>
      <w:r w:rsidR="00822EDA">
        <w:rPr>
          <w:rFonts w:ascii="Times New Roman" w:hAnsi="Times New Roman" w:cs="Times New Roman"/>
          <w:b/>
          <w:bCs/>
          <w:sz w:val="24"/>
          <w:szCs w:val="24"/>
        </w:rPr>
        <w:t>4</w:t>
      </w:r>
      <w:r w:rsidR="00D97518" w:rsidRPr="00427197">
        <w:rPr>
          <w:rFonts w:ascii="Times New Roman" w:hAnsi="Times New Roman" w:cs="Times New Roman"/>
          <w:b/>
          <w:bCs/>
          <w:sz w:val="24"/>
          <w:szCs w:val="24"/>
        </w:rPr>
        <w:t>.3</w:t>
      </w:r>
      <w:r w:rsidRPr="008E4EFB">
        <w:rPr>
          <w:rFonts w:ascii="Times New Roman" w:hAnsi="Times New Roman" w:cs="Times New Roman"/>
          <w:sz w:val="24"/>
          <w:szCs w:val="24"/>
        </w:rPr>
        <w:t xml:space="preserve">, </w:t>
      </w:r>
      <w:r w:rsidRPr="00427197">
        <w:rPr>
          <w:rFonts w:ascii="Times New Roman" w:hAnsi="Times New Roman" w:cs="Times New Roman"/>
          <w:b/>
          <w:bCs/>
          <w:sz w:val="24"/>
          <w:szCs w:val="24"/>
        </w:rPr>
        <w:t>S</w:t>
      </w:r>
      <w:r w:rsidR="00FE3C56">
        <w:rPr>
          <w:rFonts w:ascii="Times New Roman" w:hAnsi="Times New Roman" w:cs="Times New Roman"/>
          <w:b/>
          <w:bCs/>
          <w:sz w:val="24"/>
          <w:szCs w:val="24"/>
        </w:rPr>
        <w:t>4</w:t>
      </w:r>
      <w:r w:rsidR="00D97518" w:rsidRPr="00427197">
        <w:rPr>
          <w:rFonts w:ascii="Times New Roman" w:hAnsi="Times New Roman" w:cs="Times New Roman"/>
          <w:b/>
          <w:bCs/>
          <w:sz w:val="24"/>
          <w:szCs w:val="24"/>
        </w:rPr>
        <w:t>.5</w:t>
      </w:r>
      <w:r w:rsidRPr="008E4EFB">
        <w:rPr>
          <w:rFonts w:ascii="Times New Roman" w:hAnsi="Times New Roman" w:cs="Times New Roman"/>
          <w:sz w:val="24"/>
          <w:szCs w:val="24"/>
        </w:rPr>
        <w:t xml:space="preserve">) highlights the role of long-range transport in distributing sulfur from source to sink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{"citationID":"WSEA12yl","properties":{"formattedCitation":"(Fisher, 1975)","plainCitation":"(Fisher, 1975)","noteIndex":0},"citationItems":[{"id":2423,"uris":["http://zotero.org/users/3110659/items/6KFMZEWD"],"itemData":{"id":2423,"type":"article-journal","abstract":"The annual deposition of sulphur by dry deposition and precipitation scavenging is estimated using data on the emission of sulphur dioxide in Europe. Sulphur travels, on average, hundreds of kilometres from its source being removed from the atmosphere. At such distances the annual deposition of sulphur per unit area is much reduced because of the variations in wind direction over a year. An attempt is made to compare the deposition of sulphur over the U.K., Sweden and the rest of Europe. The deposition of sulphur over the U.K. is found to be mainly of British origin and, per unit area, the mean annual deposition over rural England is about three times the mean annual deposition over rural Sweden. The British contribution to deposition over rural Sweden is found to be about one half of the Swedish contribution and ca. 10 per cent of the total deposition. At long distances from its source the annual deposition of sulphur is not too sensitive to assumptions about meteorological and physical conditions. This is not the case near to the source. When a choice of assumptions or conditions proves difficult the near field contribution to deposition, rather than the far field contribution, has been under-estimated. The annual deposition in urban areas has been neglected and is much higher than the highest deposition rates found in this paper.","container-title":"Atmospheric Environment (1967)","DOI":"10.1016/0004-6981(75)90180-8","ISSN":"0004-6981","issue":"12","journalAbbreviation":"Atmospheric Environment (1967)","language":"en","page":"1063-1070","source":"ScienceDirect","title":"The long range transport of sulphur dioxide","volume":"9","author":[{"family":"Fisher","given":"B. E. A."}],"issued":{"date-parts":[["1975",1,1]]}}}],"schema":"https://github.com/citation-style-language/schema/raw/master/csl-citation.json"}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(Fisher, 1975)</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Much of the projected decline in both deposition and emissions is happening between the 2020</w:t>
      </w:r>
      <w:r w:rsidRPr="008E4EFB">
        <w:rPr>
          <w:rFonts w:ascii="Times New Roman" w:hAnsi="Times New Roman" w:cs="Times New Roman"/>
          <w:sz w:val="24"/>
          <w:szCs w:val="24"/>
        </w:rPr>
        <w:softHyphen/>
      </w:r>
      <w:r w:rsidRPr="008E4EFB">
        <w:rPr>
          <w:rFonts w:ascii="Times New Roman" w:hAnsi="Times New Roman" w:cs="Times New Roman"/>
          <w:sz w:val="24"/>
          <w:szCs w:val="24"/>
        </w:rPr>
        <w:softHyphen/>
        <w:t>–2040 time period and the 2041–2060 period. While the drop in emissions is quick, the impacts are spread between multiple ecoregions such that, with the exception of mixed forest and open shrublands, most ecoregions experience a steady decrease throughout the century. However, it is not yet known whether even this relatively slow change is tolerable by the species that are either suddenly now not receiving enough sulfur or, in the case of mixed forest and open shrubland, experience a sharp decline and then a sharp and almost equal increase within the span of 40 years. If SAI were terminated early and unexpectedly, the sulfur deposition would adjust within a year or two to the levels projected by the relevant SSP, commensurate with the level of CO</w:t>
      </w:r>
      <w:r w:rsidRPr="008E4EFB">
        <w:rPr>
          <w:rFonts w:ascii="Times New Roman" w:hAnsi="Times New Roman" w:cs="Times New Roman"/>
          <w:sz w:val="24"/>
          <w:szCs w:val="24"/>
          <w:vertAlign w:val="subscript"/>
        </w:rPr>
        <w:t xml:space="preserve">2 </w:t>
      </w:r>
      <w:r w:rsidRPr="008E4EFB">
        <w:rPr>
          <w:rFonts w:ascii="Times New Roman" w:hAnsi="Times New Roman" w:cs="Times New Roman"/>
          <w:sz w:val="24"/>
          <w:szCs w:val="24"/>
          <w:vertAlign w:val="subscript"/>
        </w:rPr>
        <w:softHyphen/>
      </w:r>
      <w:r w:rsidRPr="008E4EFB">
        <w:rPr>
          <w:rFonts w:ascii="Times New Roman" w:hAnsi="Times New Roman" w:cs="Times New Roman"/>
          <w:sz w:val="24"/>
          <w:szCs w:val="24"/>
        </w:rPr>
        <w:t>in the atmosphere. In some cases, this could be catastrophic.</w:t>
      </w:r>
    </w:p>
    <w:p w14:paraId="0F389736" w14:textId="40DAACBA" w:rsidR="003E1F39" w:rsidRPr="008E4EFB" w:rsidRDefault="003E1F39"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According to the UKESM-1-0-LL projections for different ecoregions, both deciduous needleleaf forests will experience a steep spike in sulfur emissions while woody savannas experience a spike in sulfur deposition under G6 Sulfur when compared to SSP2-4.5 (</w:t>
      </w:r>
      <w:r w:rsidRPr="00427197">
        <w:rPr>
          <w:rFonts w:ascii="Times New Roman" w:hAnsi="Times New Roman" w:cs="Times New Roman"/>
          <w:b/>
          <w:bCs/>
          <w:sz w:val="24"/>
          <w:szCs w:val="24"/>
        </w:rPr>
        <w:t>Figure</w:t>
      </w:r>
      <w:r w:rsidRPr="008E4EFB">
        <w:rPr>
          <w:rFonts w:ascii="Times New Roman" w:hAnsi="Times New Roman" w:cs="Times New Roman"/>
          <w:sz w:val="24"/>
          <w:szCs w:val="24"/>
        </w:rPr>
        <w:t xml:space="preserve"> </w:t>
      </w:r>
      <w:r w:rsidR="00F11A53">
        <w:rPr>
          <w:rFonts w:ascii="Times New Roman" w:hAnsi="Times New Roman" w:cs="Times New Roman"/>
          <w:b/>
          <w:bCs/>
          <w:sz w:val="24"/>
          <w:szCs w:val="24"/>
        </w:rPr>
        <w:t>4</w:t>
      </w:r>
      <w:r w:rsidRPr="00427197">
        <w:rPr>
          <w:rFonts w:ascii="Times New Roman" w:hAnsi="Times New Roman" w:cs="Times New Roman"/>
          <w:b/>
          <w:bCs/>
          <w:sz w:val="24"/>
          <w:szCs w:val="24"/>
        </w:rPr>
        <w:t>.3</w:t>
      </w:r>
      <w:r w:rsidRPr="008E4EFB">
        <w:rPr>
          <w:rFonts w:ascii="Times New Roman" w:hAnsi="Times New Roman" w:cs="Times New Roman"/>
          <w:sz w:val="24"/>
          <w:szCs w:val="24"/>
        </w:rPr>
        <w:t xml:space="preserve">). This does not happen with the CESM-WACCM results. These ecoregions are mapped in </w:t>
      </w:r>
      <w:r w:rsidRPr="00F11A53">
        <w:rPr>
          <w:rFonts w:ascii="Times New Roman" w:hAnsi="Times New Roman" w:cs="Times New Roman"/>
          <w:b/>
          <w:bCs/>
          <w:sz w:val="24"/>
          <w:szCs w:val="24"/>
        </w:rPr>
        <w:t>Figure S</w:t>
      </w:r>
      <w:r w:rsidR="00F11A53">
        <w:rPr>
          <w:rFonts w:ascii="Times New Roman" w:hAnsi="Times New Roman" w:cs="Times New Roman"/>
          <w:b/>
          <w:bCs/>
          <w:sz w:val="24"/>
          <w:szCs w:val="24"/>
        </w:rPr>
        <w:t>4</w:t>
      </w:r>
      <w:r w:rsidRPr="00F11A53">
        <w:rPr>
          <w:rFonts w:ascii="Times New Roman" w:hAnsi="Times New Roman" w:cs="Times New Roman"/>
          <w:b/>
          <w:bCs/>
          <w:sz w:val="24"/>
          <w:szCs w:val="24"/>
        </w:rPr>
        <w:t>.</w:t>
      </w:r>
      <w:r w:rsidR="00F11A53" w:rsidRPr="00F11A53">
        <w:rPr>
          <w:rFonts w:ascii="Times New Roman" w:hAnsi="Times New Roman" w:cs="Times New Roman"/>
          <w:b/>
          <w:bCs/>
          <w:sz w:val="24"/>
          <w:szCs w:val="24"/>
        </w:rPr>
        <w:t>6</w:t>
      </w:r>
      <w:r w:rsidRPr="00822EDA">
        <w:rPr>
          <w:rFonts w:ascii="Times New Roman" w:hAnsi="Times New Roman" w:cs="Times New Roman"/>
          <w:b/>
          <w:bCs/>
          <w:sz w:val="24"/>
          <w:szCs w:val="24"/>
        </w:rPr>
        <w:t xml:space="preserve">. </w:t>
      </w:r>
      <w:r w:rsidR="008A4ED7" w:rsidRPr="00822EDA">
        <w:rPr>
          <w:rFonts w:ascii="Times New Roman" w:hAnsi="Times New Roman" w:cs="Times New Roman"/>
          <w:b/>
          <w:bCs/>
          <w:sz w:val="24"/>
          <w:szCs w:val="24"/>
        </w:rPr>
        <w:t>Figures S</w:t>
      </w:r>
      <w:r w:rsidR="00F11A53">
        <w:rPr>
          <w:rFonts w:ascii="Times New Roman" w:hAnsi="Times New Roman" w:cs="Times New Roman"/>
          <w:b/>
          <w:bCs/>
          <w:sz w:val="24"/>
          <w:szCs w:val="24"/>
        </w:rPr>
        <w:t>4</w:t>
      </w:r>
      <w:r w:rsidR="008A4ED7" w:rsidRPr="00822EDA">
        <w:rPr>
          <w:rFonts w:ascii="Times New Roman" w:hAnsi="Times New Roman" w:cs="Times New Roman"/>
          <w:b/>
          <w:bCs/>
          <w:sz w:val="24"/>
          <w:szCs w:val="24"/>
        </w:rPr>
        <w:t>.8.</w:t>
      </w:r>
      <w:r w:rsidR="008A4ED7" w:rsidRPr="008E4EFB">
        <w:rPr>
          <w:rFonts w:ascii="Times New Roman" w:hAnsi="Times New Roman" w:cs="Times New Roman"/>
          <w:sz w:val="24"/>
          <w:szCs w:val="24"/>
        </w:rPr>
        <w:t xml:space="preserve"> and </w:t>
      </w:r>
      <w:r w:rsidR="008A4ED7" w:rsidRPr="00822EDA">
        <w:rPr>
          <w:rFonts w:ascii="Times New Roman" w:hAnsi="Times New Roman" w:cs="Times New Roman"/>
          <w:b/>
          <w:bCs/>
          <w:sz w:val="24"/>
          <w:szCs w:val="24"/>
        </w:rPr>
        <w:t>S</w:t>
      </w:r>
      <w:r w:rsidR="00F11A53">
        <w:rPr>
          <w:rFonts w:ascii="Times New Roman" w:hAnsi="Times New Roman" w:cs="Times New Roman"/>
          <w:b/>
          <w:bCs/>
          <w:sz w:val="24"/>
          <w:szCs w:val="24"/>
        </w:rPr>
        <w:t>4</w:t>
      </w:r>
      <w:r w:rsidR="008A4ED7" w:rsidRPr="00822EDA">
        <w:rPr>
          <w:rFonts w:ascii="Times New Roman" w:hAnsi="Times New Roman" w:cs="Times New Roman"/>
          <w:b/>
          <w:bCs/>
          <w:sz w:val="24"/>
          <w:szCs w:val="24"/>
        </w:rPr>
        <w:t>.9</w:t>
      </w:r>
      <w:r w:rsidR="008A4ED7" w:rsidRPr="008E4EFB">
        <w:rPr>
          <w:rFonts w:ascii="Times New Roman" w:hAnsi="Times New Roman" w:cs="Times New Roman"/>
          <w:sz w:val="24"/>
          <w:szCs w:val="24"/>
        </w:rPr>
        <w:t xml:space="preserve"> shows the change in precipitation expected throughout the 21</w:t>
      </w:r>
      <w:r w:rsidR="008A4ED7" w:rsidRPr="008E4EFB">
        <w:rPr>
          <w:rFonts w:ascii="Times New Roman" w:hAnsi="Times New Roman" w:cs="Times New Roman"/>
          <w:sz w:val="24"/>
          <w:szCs w:val="24"/>
          <w:vertAlign w:val="superscript"/>
        </w:rPr>
        <w:t>st</w:t>
      </w:r>
      <w:r w:rsidR="008A4ED7" w:rsidRPr="008E4EFB">
        <w:rPr>
          <w:rFonts w:ascii="Times New Roman" w:hAnsi="Times New Roman" w:cs="Times New Roman"/>
          <w:sz w:val="24"/>
          <w:szCs w:val="24"/>
        </w:rPr>
        <w:t xml:space="preserve"> century in various ecoregions for both the CESM2-WACCM and UKESM-1-0-LL model projections; precipitation alone is not enough to account for such deposition spikes. </w:t>
      </w:r>
      <w:r w:rsidRPr="008E4EFB">
        <w:rPr>
          <w:rFonts w:ascii="Times New Roman" w:hAnsi="Times New Roman" w:cs="Times New Roman"/>
          <w:sz w:val="24"/>
          <w:szCs w:val="24"/>
        </w:rPr>
        <w:t>The G6 Sulfur scenario uses SSP5-8.5 land use but transitions to SSP2-4.5 precipitation and temperature by the end of the century, causing a mismatch between ecoregion and the associated climate regime.</w:t>
      </w:r>
      <w:r w:rsidR="00DE07CD" w:rsidRPr="008E4EFB">
        <w:rPr>
          <w:rFonts w:ascii="Times New Roman" w:hAnsi="Times New Roman" w:cs="Times New Roman"/>
          <w:sz w:val="24"/>
          <w:szCs w:val="24"/>
        </w:rPr>
        <w:t xml:space="preserve"> This causes a large difference in some ecoregions that are particularly sensitive to precipitation</w:t>
      </w:r>
      <w:r w:rsidR="00287A33" w:rsidRPr="008E4EFB">
        <w:rPr>
          <w:rFonts w:ascii="Times New Roman" w:hAnsi="Times New Roman" w:cs="Times New Roman"/>
          <w:sz w:val="24"/>
          <w:szCs w:val="24"/>
        </w:rPr>
        <w:t xml:space="preserve"> in the UKESM-1-0-LL results.</w:t>
      </w:r>
      <w:r w:rsidRPr="008E4EFB">
        <w:rPr>
          <w:rFonts w:ascii="Times New Roman" w:hAnsi="Times New Roman" w:cs="Times New Roman"/>
          <w:sz w:val="24"/>
          <w:szCs w:val="24"/>
        </w:rPr>
        <w:t xml:space="preserve"> </w:t>
      </w:r>
    </w:p>
    <w:p w14:paraId="303F1577" w14:textId="4556D2FE"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While modeling with CMIP5 ensembles suggests reductions in precipitation in many regions from an SAI scenario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{"citationID":"Qu9TAMVI","properties":{"formattedCitation":"(W. Cheng et al., 2019; Simpson et al., 2019)","plainCitation":"(W. Cheng et al., 2019; Simpson et al., 2019)","noteIndex":0},"citationItems":[{"id":2599,"uris":["http://zotero.org/users/3110659/items/MRM82892"],"itemData":{"id":2599,"type":"article-journal","abstract":"Stratospheric sulfate aerosol geoengineering has been proposed as a potential strategy to reduce the impacts of climate change. Here we investigate the impact of stratospheric aerosol geoengineering on the terrestrial hydrological cycle. We use the Geoengineering Large Ensemble, which involves a 20-member ensemble of simulations using the Community Earth System Model with the Whole Atmosphere Community Climate Model, in which sulfur dioxide (SO2) was injected into the stratosphere at four different locations, to maintain global mean surface temperature, and also the interhemispheric and equator-to-pole temperature gradients at values representative of 2020 (“baseline”) under the Representative Concentration Pathway 8.5. In our simulations, annual mean land precipitation and evapotranspiration (ET) increase by 12% each under Representative Concentration Pathway 8.5. Under the Geoengineering Large Ensemble, the hydrological cycle is suppressed compared to the baseline, with end-of-century decreases of 1.4% (12 ± 5 mm/year) and 3.3% (18 ± 2 mm/year) in global mean, annual mean precipitation, and ET over land, respectively. Geoengineering effectively maintains global mean soil moisture under a high CO2 scenario, although there is significant regional variability. Summertime soil moisture is reduced by 42 ± 11 kg/m2 (3.5%) and 27 ± 16 kg/m2 (2.1%) in India and the Amazon, respectively, which is dominated by the decrease in precipitation. We also compare these regional changes in soil moisture under the Geoengineering Large Ensemble with an equatorial-only SO2 injection case and find a similar sign in residual changes, although the magnitude of the changes is larger in the equatorial run.","container-title":"Journal of Geophysical Research: Atmospheres","DOI":"10.1029/2018JD030237","ISSN":"2169-8996","issue":"23","language":"en","license":"©2019. American Geophysical Union. All Rights Reserved.","note":"_eprint: https://onlinelibrary.wiley.com/doi/pdf/10.1029/2018JD030237","page":"12773-12793","source":"Wiley Online Library","title":"Soil Moisture and Other Hydrological Changes in a Stratospheric Aerosol Geoengineering Large Ensemble","volume":"124","author":[{"family":"Cheng","given":"Wei"},{"family":"MacMartin","given":"Douglas G."},{"family":"Dagon","given":"Katherine"},{"family":"Kravitz","given":"Ben"},{"family":"Tilmes","given":"Simone"},{"family":"Richter","given":"Jadwiga H."},{"family":"Mills","given":"Michael J."},{"family":"Simpson","given":"Isla R."}],"issued":{"date-parts":[["2019"]]}}},{"id":2602,"uris":["http://zotero.org/users/3110659/items/Q5WPP5DU"],"itemData":{"id":2602,"type":"article-journal","abstract":"Geoengineering methods could potentially offset aspects of greenhouse gas-driven climate change. However, before embarking on any such strategy, a comprehensive understanding of its impacts must be obtained. Here, a 20-member ensemble of simulations with the Community Earth System Model with the Whole Atmosphere Community Climate Model as its atmospheric component is used to investigate the projected hydroclimate changes that occur when greenhouse gas-driven warming, under a high emissions scenario, is offset with stratospheric aerosol geoengineering. Notable features of the late 21st century hydroclimate response, relative to present day, include a reduction in precipitation in the Indian summer monsoon, over much of Africa, Amazonia and southern Chile and a wintertime precipitation reduction over the Mediterranean. Over most of these regions, the soil desiccation that occurs with global warming is, however, largely offset by the geoengineering. A notable exception is India, where soil desiccation and an approximate doubling of the likelihood of monsoon failures occurs. The role of stratospheric heating in the simulated hydroclimate change is determined through additional experiments where the aerosol-induced stratospheric heating is imposed as a temperature tendency, within the same model, under present day conditions. Stratospheric heating is found to play a key role in many aspects of projected hydroclimate change, resulting in a general wet-get-drier, dry-get-wetter pattern in the tropics and extratropical precipitation changes through midlatitude circulation shifts. While a rather extreme geoengineering scenario has been considered, many, but not all, of the precipitation features scale linearly with the offset global warming.","container-title":"Journal of Geophysical Research: Atmospheres","DOI":"10.1029/2019JD031093","ISSN":"2169-8996","issue":"23","language":"en","license":"©2019. American Geophysical Union. All Rights Reserved.","note":"_eprint: https://onlinelibrary.wiley.com/doi/pdf/10.1029/2019JD031093","page":"12587-12616","source":"Wiley Online Library","title":"The Regional Hydroclimate Response to Stratospheric Sulfate Geoengineering and the Role of Stratospheric Heating","volume":"124","author":[{"family":"Simpson","given":"I. R."},{"family":"Tilmes","given":"S."},{"family":"Richter","given":"J. H."},{"family":"Kravitz","given":"B."},{"family":"MacMartin","given":"D. G."},{"family":"Mills","given":"M. J."},{"family":"Fasullo","given":"J. T."},{"family":"Pendergrass","given":"A. G."}],"issued":{"date-parts":[["2019"]]}}}],"schema":"https://github.com/citation-style-language/schema/raw/master/csl-citation.json"}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(W. Cheng et al., 2019; Simpson et al., 2019)</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recent work with CMIP6 models points out that the precipitation effects will strongly depend on the strategy and magnitude of the climate intervention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{"citationID":"DrwKBerN","properties":{"formattedCitation":"(Simone Tilmes et al., 2020)","plainCitation":"(Simone Tilmes et al., 2020)","noteIndex":0},"citationItems":[{"id":2008,"uris":["http://zotero.org/users/3110659/items/YKAE3U6H"],"itemData":{"id":2008,"type":"article-journal","abstract":"&lt;p&gt;&lt;strong class=\"journal-contentHeaderColor\"&gt;Abstract.&lt;/strong&gt; A new set of stratospheric aerosol geoengineering (SAG) model experiments has been performed with Community Earth System Model version 2 (CESM2) with the Whole Atmosphere Community Climate Model (WACCM6) that are based on the Coupled Model Intercomparison Project phase 6 (CMIP6) overshoot scenario (SSP5-34-OS) as a baseline scenario to limit global warming to 1.5 or 2.0&amp;thinsp;&lt;span class=\"inline-formula\"&gt;&lt;sup&gt;</w:instrText>
      </w:r>
      <w:r w:rsidR="0004467C" w:rsidRPr="008E4EFB">
        <w:rPr>
          <w:rFonts w:ascii="Cambria Math" w:hAnsi="Cambria Math" w:cs="Cambria Math"/>
          <w:sz w:val="24"/>
          <w:szCs w:val="24"/>
        </w:rPr>
        <w:instrText>∘</w:instrText>
      </w:r>
      <w:r w:rsidR="0004467C" w:rsidRPr="008E4EFB">
        <w:rPr>
          <w:rFonts w:ascii="Times New Roman" w:hAnsi="Times New Roman" w:cs="Times New Roman"/>
          <w:sz w:val="24"/>
          <w:szCs w:val="24"/>
        </w:rPr>
        <w:instrText>&lt;/sup&gt;&lt;/span&gt;C above 1850–1900 conditions. The overshoot scenario allows us to applying a peak-shaving scenario that reduces the needed duration and amount of SAG application compared to a high forcing scenario. In addition, a feedback algorithm identifies the needed amount of sulfur dioxide injections in the stratosphere at four pre-defined latitudes, 30&lt;span class=\"inline-formula\"&gt;&lt;sup&gt;</w:instrText>
      </w:r>
      <w:r w:rsidR="0004467C" w:rsidRPr="008E4EFB">
        <w:rPr>
          <w:rFonts w:ascii="Cambria Math" w:hAnsi="Cambria Math" w:cs="Cambria Math"/>
          <w:sz w:val="24"/>
          <w:szCs w:val="24"/>
        </w:rPr>
        <w:instrText>∘</w:instrText>
      </w:r>
      <w:r w:rsidR="0004467C" w:rsidRPr="008E4EFB">
        <w:rPr>
          <w:rFonts w:ascii="Times New Roman" w:hAnsi="Times New Roman" w:cs="Times New Roman"/>
          <w:sz w:val="24"/>
          <w:szCs w:val="24"/>
        </w:rPr>
        <w:instrText>&lt;/sup&gt;&lt;/span&gt;&amp;thinsp;N, 15&lt;span class=\"inline-formula\"&gt;&lt;sup&gt;</w:instrText>
      </w:r>
      <w:r w:rsidR="0004467C" w:rsidRPr="008E4EFB">
        <w:rPr>
          <w:rFonts w:ascii="Cambria Math" w:hAnsi="Cambria Math" w:cs="Cambria Math"/>
          <w:sz w:val="24"/>
          <w:szCs w:val="24"/>
        </w:rPr>
        <w:instrText>∘</w:instrText>
      </w:r>
      <w:r w:rsidR="0004467C" w:rsidRPr="008E4EFB">
        <w:rPr>
          <w:rFonts w:ascii="Times New Roman" w:hAnsi="Times New Roman" w:cs="Times New Roman"/>
          <w:sz w:val="24"/>
          <w:szCs w:val="24"/>
        </w:rPr>
        <w:instrText>&lt;/sup&gt;&lt;/span&gt;&amp;thinsp;N, 15&lt;span class=\"inline-formula\"&gt;&lt;sup&gt;</w:instrText>
      </w:r>
      <w:r w:rsidR="0004467C" w:rsidRPr="008E4EFB">
        <w:rPr>
          <w:rFonts w:ascii="Cambria Math" w:hAnsi="Cambria Math" w:cs="Cambria Math"/>
          <w:sz w:val="24"/>
          <w:szCs w:val="24"/>
        </w:rPr>
        <w:instrText>∘</w:instrText>
      </w:r>
      <w:r w:rsidR="0004467C" w:rsidRPr="008E4EFB">
        <w:rPr>
          <w:rFonts w:ascii="Times New Roman" w:hAnsi="Times New Roman" w:cs="Times New Roman"/>
          <w:sz w:val="24"/>
          <w:szCs w:val="24"/>
        </w:rPr>
        <w:instrText>&lt;/sup&gt;&lt;/span&gt;&amp;thinsp;S, and 30&lt;span class=\"inline-formula\"&gt;&lt;sup&gt;</w:instrText>
      </w:r>
      <w:r w:rsidR="0004467C" w:rsidRPr="008E4EFB">
        <w:rPr>
          <w:rFonts w:ascii="Cambria Math" w:hAnsi="Cambria Math" w:cs="Cambria Math"/>
          <w:sz w:val="24"/>
          <w:szCs w:val="24"/>
        </w:rPr>
        <w:instrText>∘</w:instrText>
      </w:r>
      <w:r w:rsidR="0004467C" w:rsidRPr="008E4EFB">
        <w:rPr>
          <w:rFonts w:ascii="Times New Roman" w:hAnsi="Times New Roman" w:cs="Times New Roman"/>
          <w:sz w:val="24"/>
          <w:szCs w:val="24"/>
        </w:rPr>
        <w:instrText>&lt;/sup&gt;&lt;/span&gt;&amp;thinsp;S, to reach three surface temperature targets: global mean temperature, and interhemispheric and pole-to-Equator temperature gradients. These targets further help to reduce side effects, including overcooling in the tropics, warming of high latitudes, and large shifts in precipitation patterns. These experiments are therefore relevant for investigating the impacts on society and ecosystems. Comparisons to SAG simulations based on a high emission pathway baseline scenario (SSP5-85) are also performed to investigate the dependency of impacts using different injection amounts to offset surface warming by SAG. We find that changes from present-day conditions around 2020 in some variables depend strongly on the defined temperature target (1.5&amp;thinsp;&lt;span class=\"inline-formula\"&gt;&lt;sup&gt;</w:instrText>
      </w:r>
      <w:r w:rsidR="0004467C" w:rsidRPr="008E4EFB">
        <w:rPr>
          <w:rFonts w:ascii="Cambria Math" w:hAnsi="Cambria Math" w:cs="Cambria Math"/>
          <w:sz w:val="24"/>
          <w:szCs w:val="24"/>
        </w:rPr>
        <w:instrText>∘</w:instrText>
      </w:r>
      <w:r w:rsidR="0004467C" w:rsidRPr="008E4EFB">
        <w:rPr>
          <w:rFonts w:ascii="Times New Roman" w:hAnsi="Times New Roman" w:cs="Times New Roman"/>
          <w:sz w:val="24"/>
          <w:szCs w:val="24"/>
        </w:rPr>
        <w:instrText>&lt;/sup&gt;&lt;/span&gt;C vs. 2.0&amp;thinsp;&lt;span class=\"inline-formula\"&gt;&lt;sup&gt;</w:instrText>
      </w:r>
      <w:r w:rsidR="0004467C" w:rsidRPr="008E4EFB">
        <w:rPr>
          <w:rFonts w:ascii="Cambria Math" w:hAnsi="Cambria Math" w:cs="Cambria Math"/>
          <w:sz w:val="24"/>
          <w:szCs w:val="24"/>
        </w:rPr>
        <w:instrText>∘</w:instrText>
      </w:r>
      <w:r w:rsidR="0004467C" w:rsidRPr="008E4EFB">
        <w:rPr>
          <w:rFonts w:ascii="Times New Roman" w:hAnsi="Times New Roman" w:cs="Times New Roman"/>
          <w:sz w:val="24"/>
          <w:szCs w:val="24"/>
        </w:rPr>
        <w:instrText xml:space="preserve">&lt;/sup&gt;&lt;/span&gt;C). These include surface air temperature and related impacts, the Atlantic Meridional Overturning Circulation, which impacts ocean net primary productivity, and changes in ice sheet surface mass balance, which impacts sea level rise. Others, including global precipitation changes and the recovery of the Antarctic ozone hole, depend strongly on the amount of SAG application. Furthermore, land net primary productivity as well as ocean acidification depend mostly on the global atmospheric &lt;span class=\"inline-formula\"&gt;CO&lt;sub&gt;2&lt;/sub&gt;&lt;/span&gt; concentration and therefore the baseline scenario. Multi-model comparisons of experiments that include strong mitigation and carbon dioxide removal with some SAG application are proposed to assess the robustness of impacts on societies and ecosystems.&lt;/p&gt;","container-title":"Earth System Dynamics","DOI":"10.5194/esd-11-579-2020","ISSN":"2190-4979","issue":"3","language":"English","note":"publisher: Copernicus GmbH","page":"579-601","source":"esd.copernicus.org","title":"Reaching 1.5 and 2.0&amp;thinsp;°C global surface temperature targets using stratospheric aerosol geoengineering","volume":"11","author":[{"family":"Tilmes","given":"Simone"},{"family":"MacMartin","given":"Douglas G."},{"family":"Lenaerts","given":"Jan T. M."},{"family":"Kampenhout","given":"Leo","non-dropping-particle":"van"},{"family":"Muntjewerf","given":"Laura"},{"family":"Xia","given":"Lili"},{"family":"Harrison","given":"Cheryl S."},{"family":"Krumhardt","given":"Kristen M."},{"family":"Mills","given":"Michael J."},{"family":"Kravitz","given":"Ben"},{"family":"Robock","given":"Alan"}],"issued":{"date-parts":[["2020",7,14]]}}}],"schema":"https://github.com/citation-style-language/schema/raw/master/csl-citation.json"}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(Simone Tilmes et al., 2020)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r w:rsidR="007962B1" w:rsidRPr="008E4EFB">
        <w:rPr>
          <w:rFonts w:ascii="Times New Roman" w:hAnsi="Times New Roman" w:cs="Times New Roman"/>
          <w:sz w:val="24"/>
          <w:szCs w:val="24"/>
        </w:rPr>
        <w:t>my</w:t>
      </w:r>
      <w:r w:rsidRPr="008E4EFB">
        <w:rPr>
          <w:rFonts w:ascii="Times New Roman" w:hAnsi="Times New Roman" w:cs="Times New Roman"/>
          <w:sz w:val="24"/>
          <w:szCs w:val="24"/>
        </w:rPr>
        <w:t xml:space="preserve"> results show an overall slight increase in precipitation (</w:t>
      </w:r>
      <w:r w:rsidRPr="00427197">
        <w:rPr>
          <w:rFonts w:ascii="Times New Roman" w:hAnsi="Times New Roman" w:cs="Times New Roman"/>
          <w:b/>
          <w:bCs/>
          <w:sz w:val="24"/>
          <w:szCs w:val="24"/>
        </w:rPr>
        <w:t>Figure S</w:t>
      </w:r>
      <w:r w:rsidR="00F11A53">
        <w:rPr>
          <w:rFonts w:ascii="Times New Roman" w:hAnsi="Times New Roman" w:cs="Times New Roman"/>
          <w:b/>
          <w:bCs/>
          <w:sz w:val="24"/>
          <w:szCs w:val="24"/>
        </w:rPr>
        <w:t>4</w:t>
      </w:r>
      <w:r w:rsidR="00EF0795" w:rsidRPr="00427197">
        <w:rPr>
          <w:rFonts w:ascii="Times New Roman" w:hAnsi="Times New Roman" w:cs="Times New Roman"/>
          <w:b/>
          <w:bCs/>
          <w:sz w:val="24"/>
          <w:szCs w:val="24"/>
        </w:rPr>
        <w:t>.3</w:t>
      </w:r>
      <w:r w:rsidRPr="008E4EFB">
        <w:rPr>
          <w:rFonts w:ascii="Times New Roman" w:hAnsi="Times New Roman" w:cs="Times New Roman"/>
          <w:sz w:val="24"/>
          <w:szCs w:val="24"/>
        </w:rPr>
        <w:t xml:space="preserve">). This suggests that the cooling effect of SAI is not enough to entirely restore pre-industrial precipitation regimes in all regions as local climate variability may mask the impact of SAI </w:t>
      </w:r>
      <w:r w:rsidRPr="008E4EFB">
        <w:rPr>
          <w:rFonts w:ascii="Times New Roman" w:hAnsi="Times New Roman" w:cs="Times New Roman"/>
          <w:sz w:val="24"/>
          <w:szCs w:val="24"/>
        </w:rPr>
        <w:fldChar w:fldCharType="begin"/>
      </w:r>
      <w:r w:rsidR="00652E13" w:rsidRPr="008E4EFB">
        <w:rPr>
          <w:rFonts w:ascii="Times New Roman" w:hAnsi="Times New Roman" w:cs="Times New Roman"/>
          <w:sz w:val="24"/>
          <w:szCs w:val="24"/>
        </w:rPr>
        <w:instrText xml:space="preserve"> ADDIN ZOTERO_ITEM CSL_CITATION {"citationID":"XQ1dsmMn","properties":{"formattedCitation":"(P. Irvine et al., 2019; P. J. Irvine &amp; Keith, 2020; Tye et al., 2022)","plainCitation":"(P. Irvine et al., 2019; P. J. Irvine &amp; Keith, 2020; Tye et al., 2022)","noteIndex":0},"citationItems":[{"id":3022,"uris":["http://zotero.org/users/3110659/items/PPWBA3W9"],"itemData":{"id":3022,"type":"article-journal","abstract":"Solar geoengineering (SG) has the potential to restore average surface temperatures by increasing planetary albedo1–4, but this could reduce precipitation5–7. Thus, although SG might reduce globally aggregated risks, it may increase climate risks for some regions8–10. Here, using the high-resolution forecast-oriented low ocean resolution (HiFLOR) model—which resolves tropical cyclones and has an improved representation of present-day precipitation extremes11,12—alongside 12 models from the Geoengineering Model Intercomparison Project (GeoMIP), we analyse the fraction of locations that see their local climate change exacerbated or moderated by SG. Rather than restoring temperatures, we assume that SG is applied to halve the warming produced by doubling CO2 (half-SG). In HiFLOR, half-SG offsets most of the CO2-induced increase of simulated tropical cyclone intensity. Moreover, neither temperature, water availability, extreme temperature nor extreme precipitation are exacerbated under half-SG when averaged over any Intergovernmental Panel on Climate Change (IPCC) Special Report on Extremes (SREX) region. Indeed, for both extreme precipitation and water availability, less than 0.4% of the ice-free land surface sees exacerbation. Thus, while concerns about the inequality of solar geoengineering impacts are appropriate, the quantitative extent of inequality may be overstated13.","container-title":"Nature Climate Change","DOI":"10.1038/s41558-019-0398-8","ISSN":"1758-6798","issue":"4","journalAbbreviation":"Nat. Clim. Chang.","language":"en","license":"2019 The Author(s), under exclusive licence to Springer Nature Limited","note":"number: 4\npublisher: Nature Publishing Group","page":"295-299","source":"www.nature.com","title":"Halving warming with idealized solar geoengineering moderates key climate hazards","volume":"9","author":[{"family":"Irvine","given":"Peter"},{"family":"Emanuel","given":"Kerry"},{"family":"He","given":"Jie"},{"family":"Horowitz","given":"Larry W."},{"family":"Vecchi","given":"Gabriel"},{"family":"Keith","given":"David"}],"issued":{"date-parts":[["2019",4]]}}},{"id":3024,"uris":["http://zotero.org/users/3110659/items/Y5AU6I9E"],"itemData":{"id":3024,"type":"article-journal","abstract":"Stratospheric aerosol geoengineering is a proposal to artificially thicken the layer of reflective aerosols in the stratosphere and it is hoped that this may offer a means of reducing average climate changes. However, previous work has shown that it could not perfectly offset the effects of climate change and there is a concern that it may worsen climate impacts in some regions. One approach to evaluating this concern is to test whether the absolute magnitude of climate change at each location is significantly increased (exacerbated) or decreased (moderated) relative to the period just preceding deployment. In prior work it was found that halving warming with an idealized solar constant reduction would substantially reduce climate change overall, exacerbating change in a small fraction of places. Here, we test if this result holds for a more realistic representation of stratospheric aerosol geoengineering using the data from the geoengineering large ensemble (GLENS). Using a linearized scaling of GLENS we find that halving warming with stratospheric aerosols moderates important climate hazards in almost all regions. Only 1.3% of land area sees exacerbation of change in water availability, and regions that are exacerbated see wetting not drying contradicting the common assumption that solar geoengineering leads to drying in general. These results suggest that halving warming with stratospheric aerosol geoengineering could potentially reduce key climate hazards substantially while avoiding some problems associated with fully offsetting warming.","container-title":"Environmental Research Letters","DOI":"10.1088/1748-9326/ab76de","ISSN":"1748-9326","issue":"4","journalAbbreviation":"Environ. Res. Lett.","language":"en","note":"publisher: IOP Publishing","page":"044011","source":"Institute of Physics","title":"Halving warming with stratospheric aerosol geoengineering moderates policy-relevant climate hazards","volume":"15","author":[{"family":"Irvine","given":"Peter J."},{"family":"Keith","given":"David W."}],"issued":{"date-parts":[["2020",3]]}}},{"id":3025,"uris":["http://zotero.org/users/3110659/items/BEZ2DCWL"],"itemData":{"id":3025,"type":"article-journal","abstract":"Extreme weather events have been demonstrated to be increasing in frequency and intensity across the globe and are anticipated to increase further with projected changes in climate. Solar climate intervention strategies, specifically stratospheric aerosol injection (SAI), have the potential to minimize some of the impacts of a changing climate while more robust reductions in greenhouse gas emissions take effect. However, to date little attention has been paid to the possible responses of extreme weather and climate events under climate intervention scenarios. We present an analysis of 16 extreme surface temperature and precipitation indices, as well as associated vegetation responses, applied to the Geoengineering Large Ensemble (GLENS). GLENS is an ensemble of simulations performed with the Community Earth System Model (CESM1) wherein SAI is simulated to offset the warming produced by a high-emission scenario throughout the 21st century, maintaining surface temperatures at 2020 levels.\n\n GLENS is generally successful at maintaining global mean temperature near 2020 levels; however, it does not completely offset some of the projected warming in northern latitudes. Some regions are also projected to cool substantially in comparison to the present day, with the greatest decreases in daytime temperatures. The differential warming–cooling also translates to fewer very hot days but more very hot nights during the summer and fewer very cold days or nights compared to the current day. Extreme precipitation patterns, for the most part, are projected to reduce in intensity in areas that are wet in the current climate and increase in intensity in dry areas. We also find that the distribution of daily precipitation becomes more consistent with more days with light rain and fewer very intense events than currently occur. In many regions there is a reduction in the persistence of long dry and wet spells compared to present day. However, asymmetry in the night and day temperatures, together with changes in cloud cover and vegetative responses, could exacerbate drying in regions that are already sensitive to drought. Overall, our results suggest that while SAI may ameliorate some of the extreme weather hazards produced by global warming, it would also present some significant differences in the distribution of climate extremes compared to the present day.","container-title":"Earth System Dynamics","DOI":"10.5194/esd-13-1233-2022","ISSN":"2190-4979","issue":"3","language":"English","note":"publisher: Copernicus GmbH","page":"1233-1257","source":"Copernicus Online Journals","title":"Indices of extremes: geographic patterns of change in extremes and associated vegetation impacts under climate intervention","title-short":"Indices of extremes","volume":"13","author":[{"family":"Tye","given":"Mari R."},{"family":"Dagon","given":"Katherine"},{"family":"Molina","given":"Maria J."},{"family":"Richter","given":"Jadwiga H."},{"family":"Visioni","given":"Daniele"},{"family":"Kravitz","given":"Ben"},{"family":"Tilmes","given":"Simone"}],"issued":{"date-parts":[["2022",8,26]]}}}],"schema":"https://github.com/citation-style-language/schema/raw/master/csl-citation.json"}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(P. Irvine et al., 2019; P. J. Irvine &amp; Keith, 2020; Tye et al.,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The new patterns of precipitation in many regions may also impact nitrogen </w:t>
      </w:r>
      <w:r w:rsidRPr="008E4EFB">
        <w:rPr>
          <w:rFonts w:ascii="Times New Roman" w:hAnsi="Times New Roman" w:cs="Times New Roman"/>
          <w:sz w:val="24"/>
          <w:szCs w:val="24"/>
        </w:rPr>
        <w:lastRenderedPageBreak/>
        <w:t xml:space="preserve">deposition and therefore carbon sequestration and nutrient availability for croplands. As of yet, no G6 Sulfur models include enough variables to determine if this is the case. </w:t>
      </w:r>
    </w:p>
    <w:p w14:paraId="7F274580" w14:textId="1EB5BCB7"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It should be noted that currently nitrogen is not included in the GeoMIP models so the effects of SAI on deposition do not include any interaction with the nitrogen cycle. Models would more closely capture reality if they were to include nitrogen deposition, particularly in regions that are known to have high emissions that will likely continue to increase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{"citationID":"fw2xEpu1","properties":{"formattedCitation":"(Sun et al., 2022)","plainCitation":"(Sun et al., 2022)","noteIndex":0},"citationItems":[{"id":2011,"uris":["http://zotero.org/users/3110659/items/QKH3LVEK"],"itemData":{"id":2011,"type":"article-journal","abstract":"The atmospheric nitrogen deposition plays a crucial role in natural ecosystem, and the changes in emissions substantially affect the amount of nitrogen deposition. Along with the decrease in NOx emissions and increase in NH3 emissions, the reduced nitrogen deposition may play a more important role in future. However, to what extent these changes may modify the reduced nitrogen deposition across East Asia, which is fulfilled with a large amount of nitrogen deposition, to the northwestern Pacific has not yet to be clear. Based on the results of multi-model ensemble of Atmospheric Chemistry and Climate Model Intercomparison Project (ACCMIP), the future changes of reduced nitrogen (NHx) deposition is firstly examined. Here we show the changes of NHx deposition flux is substantially modulated by both climate change and emissions, exhibiting an increasing trend over East Asia-Northwest Pacific in future under representative concentration pathways (RCP) 8.5 scenario, largely controlled by increase of NH3 emissions, contrasting to the oxidized nitrogen deposition which is projected to decrease. Specifically, the ratio of NHx to total nitrogen deposition in eastern China increases from 38% at present to 56% by the end of the century under RCP 8.5, indicative of a transition in the form of dominant nitrogen deposition from oxidized to reduced one. The increase is clearly discernable over the marginal seas and northwestern Pacific. Moreover, we identify a meridional shift of high wet NHx deposition from northern China in summer to southern China in the other seasons. Based on simulations from regional models Weather Research and Forecasting (WRF) and Community Multi-scale Air Quality (CMAQ), we find that the synergistically nonlinear modulation of NHx concentration and precipitation triggers the north-south shift of wet NHx deposition. The findings in this study indicate a potentially more important role of reduced nitrogen deposition on the natural ecosystem in future.","container-title":"Science of The Total Environment","DOI":"10.1016/j.scitotenv.2022.155146","ISSN":"0048-9697","journalAbbreviation":"Science of The Total Environment","language":"en","page":"155146","source":"ScienceDirect","title":"The enhanced role of atmospheric reduced nitrogen deposition in future over East Asia–Northwest Pacific","volume":"833","author":[{"family":"Sun","given":"Kaijing"},{"family":"Gao","given":"Yang"},{"family":"Guo","given":"Xiuwen"},{"family":"Zhang","given":"Junxi"},{"family":"Zeng","given":"Xinran"},{"family":"Ma","given":"Mingchen"},{"family":"Chen","given":"Yutao"},{"family":"Luo","given":"Kun"},{"family":"Yao","given":"Xiaohong"},{"family":"Gao","given":"Huiwang"}],"issued":{"date-parts":[["2022",8,10]]}}}],"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(Sun et al.,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There is also no sulfur transport from fires.</w:t>
      </w:r>
    </w:p>
    <w:p w14:paraId="20A24673" w14:textId="24278FC9" w:rsidR="00EB56E1" w:rsidRPr="008E4EFB" w:rsidRDefault="00EB56E1"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Past work has shown that it is feasible to replicate injection strategies between models producing similar temperature responses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{"citationID":"DJpgGaPC","properties":{"formattedCitation":"(Visioni et al., 2023)","plainCitation":"(Visioni et al., 2023)","noteIndex":0},"citationItems":[{"id":2732,"uris":["http://zotero.org/users/3110659/items/G8QXK3HW"],"itemData":{"id":2732,"type":"article-journal","abstract":"There is now substantial literature on climate model studies of equatorial or tropical stratospheric SO2 injections that aim to counteract the surface warming produced by rising concentrations of greenhouse gases. Here we present the results from the first systematic intercomparison of climate responses in three Earth system models wherein the injection of SO2 occurs at different latitudes in the lower stratosphere: CESM2-WACCM6, UKESM1.0 and GISS-E2.1-G. The first two use a modal aerosol microphysics scheme, while two versions of GISS-E2.1-G use a bulk aerosol (One-Moment Aerosol, OMA) and a two-moment (Multiconfiguration Aerosol TRacker of mIXing state, MATRIX) microphysics approach, respectively. Our aim in this work is to determine commonalities and differences between the climate model responses in terms of the distribution of the optically reflective sulfate aerosols produced from the oxidation of SO2 and in terms of the surface response to the resulting reduction in solar radiation. A focus on understanding the contribution of characteristics of models transport alongside their microphysical and chemical schemes, and on evaluating the resulting stratospheric responses in different models, is given in the companion paper (Bednarz et al., 2023). The goal of this exercise is not to evaluate these single-point injection simulations as stand-alone proposed strategies to counteract global warming; instead we determine sources and areas of agreement and uncertainty in the simulated responses and, ultimately, the possibility of designing a comprehensive intervention strategy capable of managing multiple simultaneous climate goals through the combination of different injection locations.\n\n We find large disagreements between GISS-E2.1-G and the CESM2-WACCM6 and UKESM1.0 models regarding the magnitude of cooling per unit of aerosol optical depth (AOD) produced, which varies from 4.7 K per unit of AOD in CESM2-WACCM6 to 16.7 K in the GISS-E2.1-G version with two-moment aerosol microphysics. By normalizing the results with the global mean response in each of the models and thus assuming that the amount of SO2 injected is a free parameter that can be managed independently, we highlight some commonalities in the overall distributions of the aerosols, in the inter-hemispheric surface temperature response and in shifts to the Intertropical Convergence Zone, as well as some areas of disagreement, such as the extent of the aerosol confinement in the equatorial region and the efficiency of the transport to polar latitudes. In conclusion, we demonstrate that it is possible to use these simulations to produce more comprehensive injection strategies in multiple climate models. However, large differences in the injection magnitudes can be expected, potentially increasing inter-model spreads in some stratospheric quantities (such as aerosol distribution) while reducing the spread in the surface response in terms of temperature and precipitation; furthermore, the selection of the injection locations may be dependent on the models' specific stratospheric transport.","container-title":"Atmospheric Chemistry and Physics","DOI":"10.5194/acp-23-663-2023","ISSN":"1680-7316","issue":"1","language":"English","note":"publisher: Copernicus GmbH","page":"663-685","source":"Copernicus Online Journals","title":"Climate response to off-equatorial stratospheric sulfur injections in three Earth system models – Part 1: Experimental protocols and surface changes","title-short":"Climate response to off-equatorial stratospheric sulfur injections in three Earth system models – Part 1","volume":"23","author":[{"family":"Visioni","given":"Daniele"},{"family":"Bednarz","given":"Ewa M."},{"family":"Lee","given":"Walker R."},{"family":"Kravitz","given":"Ben"},{"family":"Jones","given":"Andy"},{"family":"Haywood","given":"Jim M."},{"family":"MacMartin","given":"Douglas G."}],"issued":{"date-parts":[["2023",1,16]]}}}],"schema":"https://github.com/citation-style-language/schema/raw/master/csl-citation.json"}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(Visioni et al., 2023)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Coordinating such efforts to include a thought-out strategy for temperature targets and injection latitudes would greatly help with comparability between future scenarios and a better understanding of the risks and benefits of SAI. </w:t>
      </w:r>
    </w:p>
    <w:p w14:paraId="0C756280" w14:textId="51CA9B6B" w:rsidR="00EB56E1" w:rsidRPr="008E4EFB" w:rsidRDefault="00EB56E1" w:rsidP="00DC4266">
      <w:pPr>
        <w:pStyle w:val="Style3"/>
        <w:numPr>
          <w:ilvl w:val="1"/>
          <w:numId w:val="34"/>
        </w:numPr>
        <w:spacing w:before="0" w:line="360" w:lineRule="auto"/>
        <w:rPr>
          <w:rFonts w:cs="Times New Roman"/>
          <w:szCs w:val="24"/>
        </w:rPr>
      </w:pPr>
      <w:bookmarkStart w:id="64" w:name="_Toc179917985"/>
      <w:r w:rsidRPr="008E4EFB">
        <w:rPr>
          <w:rFonts w:cs="Times New Roman"/>
          <w:szCs w:val="24"/>
        </w:rPr>
        <w:t>Conclusions</w:t>
      </w:r>
      <w:bookmarkEnd w:id="64"/>
    </w:p>
    <w:p w14:paraId="564176B0" w14:textId="479547D7" w:rsidR="00F74FF1" w:rsidRDefault="00C242F6"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Although controversial, SAI is a technologically feasible method of buying time for the world to slow down climate change. As such, it is important to evaluate the climate risks and human and environmental impacts of enacting this strategy globally. This work evaluates sulfur deposition under G6sulfur and compares the projections with SSP2-4.5 and SSP5-8.5 scenarios. Our results demonstrate that the injections required to maintain G6 Sulfur conditions and mitigate warming will have non-negligible impacts on sensitive ecoregions when compared to both SSP2-4.5 and SSP5-8.5. While dry </w:t>
      </w:r>
      <w:proofErr w:type="gramStart"/>
      <w:r w:rsidRPr="008E4EFB">
        <w:rPr>
          <w:rFonts w:ascii="Times New Roman" w:hAnsi="Times New Roman" w:cs="Times New Roman"/>
          <w:sz w:val="24"/>
          <w:szCs w:val="24"/>
        </w:rPr>
        <w:t>deposition</w:t>
      </w:r>
      <w:proofErr w:type="gramEnd"/>
      <w:r w:rsidRPr="008E4EFB">
        <w:rPr>
          <w:rFonts w:ascii="Times New Roman" w:hAnsi="Times New Roman" w:cs="Times New Roman"/>
          <w:sz w:val="24"/>
          <w:szCs w:val="24"/>
        </w:rPr>
        <w:t xml:space="preserve"> will continue to decline under all 3 future scenarios, the ratio of wet to dry deposition will change under G6 Sulfur, especially on a seasonal basis as more deposition occurs even in historically drier seasons. And, importantly, the benefits from SAI are concentrated in the near future. We also point out that there are large discrepancies across models and injection strategies, meaning that sulfate deposition will depend on which strategy is chosen as well as the stratospheric dynamics and chemical processes that differ between models. This overlapping area of uncertainty contains a broad range of outcomes that is hard to sample, especially when including other interactions such as nitrogen-sulfur interactions, fire inputs, and stratosphere-troposphere interactions. </w:t>
      </w:r>
    </w:p>
    <w:p w14:paraId="44F1D633" w14:textId="77777777" w:rsidR="00F74FF1" w:rsidRDefault="00F74FF1">
      <w:pPr>
        <w:rPr>
          <w:rFonts w:ascii="Times New Roman" w:hAnsi="Times New Roman" w:cs="Times New Roman"/>
          <w:sz w:val="24"/>
          <w:szCs w:val="24"/>
        </w:rPr>
      </w:pPr>
      <w:r>
        <w:rPr>
          <w:rFonts w:ascii="Times New Roman" w:hAnsi="Times New Roman" w:cs="Times New Roman"/>
          <w:sz w:val="24"/>
          <w:szCs w:val="24"/>
        </w:rPr>
        <w:br w:type="page"/>
      </w:r>
    </w:p>
    <w:p w14:paraId="4E247569" w14:textId="2D2E8B01" w:rsidR="00E26C6C" w:rsidRPr="008E4EFB" w:rsidRDefault="00E26C6C" w:rsidP="00DC4266">
      <w:pPr>
        <w:pStyle w:val="Heading1"/>
        <w:spacing w:before="0" w:line="360" w:lineRule="auto"/>
        <w:rPr>
          <w:sz w:val="24"/>
          <w:szCs w:val="24"/>
        </w:rPr>
      </w:pPr>
      <w:bookmarkStart w:id="65" w:name="_Toc179917986"/>
      <w:r w:rsidRPr="008E4EFB">
        <w:rPr>
          <w:sz w:val="24"/>
          <w:szCs w:val="24"/>
        </w:rPr>
        <w:lastRenderedPageBreak/>
        <w:t>Downscaling Methods Accurately Predict Heat Wave Risk in a Changing Climate</w:t>
      </w:r>
      <w:bookmarkEnd w:id="65"/>
    </w:p>
    <w:p w14:paraId="29C6CD53" w14:textId="743FE2B8" w:rsidR="001D4ED4" w:rsidRPr="008E4EFB" w:rsidRDefault="003D1E3D" w:rsidP="00DC4266">
      <w:pPr>
        <w:pStyle w:val="Style3"/>
        <w:numPr>
          <w:ilvl w:val="1"/>
          <w:numId w:val="30"/>
        </w:numPr>
        <w:spacing w:before="0" w:line="360" w:lineRule="auto"/>
        <w:rPr>
          <w:rFonts w:cs="Times New Roman"/>
          <w:szCs w:val="24"/>
        </w:rPr>
      </w:pPr>
      <w:bookmarkStart w:id="66" w:name="_Toc179917987"/>
      <w:r w:rsidRPr="008E4EFB">
        <w:rPr>
          <w:rFonts w:cs="Times New Roman"/>
          <w:szCs w:val="24"/>
        </w:rPr>
        <w:t>Introduction</w:t>
      </w:r>
      <w:bookmarkEnd w:id="66"/>
    </w:p>
    <w:p w14:paraId="4ABFA180" w14:textId="344CF18A" w:rsidR="001D4ED4" w:rsidRPr="008E4EFB" w:rsidRDefault="001D4ED4" w:rsidP="00DC4266">
      <w:pPr>
        <w:pBdr>
          <w:top w:val="nil"/>
          <w:left w:val="nil"/>
          <w:bottom w:val="nil"/>
          <w:right w:val="nil"/>
          <w:between w:val="nil"/>
        </w:pBdr>
        <w:spacing w:after="0" w:line="360" w:lineRule="auto"/>
        <w:rPr>
          <w:rFonts w:ascii="Times New Roman" w:hAnsi="Times New Roman" w:cs="Times New Roman"/>
          <w:sz w:val="24"/>
          <w:szCs w:val="24"/>
        </w:rPr>
      </w:pPr>
      <w:r w:rsidRPr="008E4EFB">
        <w:rPr>
          <w:rFonts w:ascii="Times New Roman" w:eastAsia="Times New Roman" w:hAnsi="Times New Roman" w:cs="Times New Roman"/>
          <w:sz w:val="24"/>
          <w:szCs w:val="24"/>
        </w:rPr>
        <w:t xml:space="preserve">As the Intergovernmental Panel on Climate Change (IPCC) 6th Assessment Report states, hot extremes such as heat waves will become more intense, more frequent, and lengthier due to climate change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{"citationID":"88Dq0SuW","properties":{"formattedCitation":"(Balbus et al., 2016; Coumou &amp; Rahmstorf, 2012; Gao et al., 2012; Pfleiderer et al., 2019; Seneviratne et al., 2021)","plainCitation":"(Balbus et al., 2016; Coumou &amp; Rahmstorf, 2012; Gao et al., 2012; Pfleiderer et al., 2019; Seneviratne et al., 2021)","noteIndex":0},"citationItems":[{"id":424,"uris":["http://zotero.org/users/3110659/items/HQEIPGNF"],"itemData":{"id":424,"type":"report","language":"en","note":"DOI: 10.7930/J0VX0DFW","publisher":"U.S. Global Change Research Program","source":"DOI.org (Crossref)","title":"Ch. 1: Introduction: Climate Change and Human Health. The Impacts of Climate Change on Human Health in the United States: A Scientific Assessment","title-short":"Ch. 1","URL":"https://health2016.globalchange.gov/downloads#climate-change-and-human-health","author":[{"family":"Balbus","given":"J."},{"family":"Crimmins","given":"A."},{"family":"Gamble","given":"J.L."},{"family":"Easterling","given":"D.R."},{"family":"Kunkel","given":"K.E."},{"family":"Saha","given":"S."},{"family":"Sarofim","given":"M.C."}],"accessed":{"date-parts":[["2022",3,10]]},"issued":{"date-parts":[["2016"]]}}},{"id":448,"uris":["http://zotero.org/users/3110659/items/HJ236K2V"],"itemData":{"id":448,"type":"article-journal","abstract":"The ostensibly large number of recent extreme weather events has triggered intensive discussions, both in- and outside the scientific community, on whether they are related to global warming. Here, we review the evidence and argue that for some types of extreme — notably heatwaves, but also precipitation extremes — there is now strong evidence linking specific events or an increase in their numbers to the human influence on climate. For other types of extreme, such as storms, the available evidence is less conclusive, but based on observed trends and basic physical concepts it is nevertheless plausible to expect an increase.","container-title":"Nature Climate Change","DOI":"10.1038/nclimate1452","ISSN":"1758-6798","issue":"7","journalAbbreviation":"Nature Clim Change","language":"en","license":"2012 Nature Publishing Group, a division of Macmillan Publishers Limited. All Rights Reserved.","note":"number: 7\npublisher: Nature Publishing Group","page":"491-496","source":"www.nature.com","title":"A decade of weather extremes","volume":"2","author":[{"family":"Coumou","given":"Dim"},{"family":"Rahmstorf","given":"Stefan"}],"issued":{"date-parts":[["2012",7]]}}},{"id":2266,"uris":["http://zotero.org/users/3110659/items/EWNMZSMF"],"itemData":{"id":2266,"type":"article-journal","container-title":"Nature Climate Change","DOI":"10.1038/s41558-019-0555-0","ISSN":"1758-678X, 1758-6798","issue":"9","journalAbbreviation":"Nat. Clim. Chang.","language":"en","page":"666-671","source":"DOI.org (Crossref)","title":"Summer weather becomes more persistent in a 2 °C world","volume":"9","author":[{"family":"Pfleiderer","given":"Peter"},{"family":"Schleussner","given":"Carl-Friedrich"},{"family":"Kornhuber","given":"Kai"},{"family":"Coumou","given":"Dim"}],"issued":{"date-parts":[["2019",9]]}}},{"id":2270,"uris":["http://zotero.org/users/3110659/items/GW9I7VLS"],"itemData":{"id":2270,"type":"chapter","container-title":"Climate Change 2021: The Physical Science Basis. Contributions of Working Group I to th Sixth Assessment Report of the Intergovernmental Panel on Climate Change","event-place":"Cambridge, UK and New York, NY, USA","language":"en","page":"1513-1766","publisher":"Cambridge University Press","publisher-place":"Cambridge, UK and New York, NY, USA","source":"Zotero","title":"Chapter 11: Weather and Climate Extreme Events in a Changing Climate","author":[{"family":"Seneviratne","given":"Sonia I."},{"family":"Zhang","given":"Xuebin"},{"family":"Adnan","given":"Muhammad"},{"family":"Badi","given":"Wafae"},{"family":"Dereczynski","given":"Claudine"},{"family":"Di Luca","given":"Alejandro"},{"family":"Ghosh","given":"Subimal"},{"family":"Iskandar","given":"Iskhaq"},{"family":"Kossin","given":"James"},{"family":"Lewis","given":"Sophie"},{"family":"Otto","given":"Friederike"},{"family":"Pinto","given":"Izidine"},{"family":"Satoh","given":"Masaki"},{"family":"Vicente-Serrano","given":"Sergio M."},{"family":"Wehner","given":"Michael"},{"family":"Zhou","given":"Botao"}],"editor":[{"family":"Chan","given":"Johnny"},{"family":"Sorteberrg","given":"Asgeir"},{"family":"Vera","given":"Carolina"}],"issued":{"date-parts":[["2021"]]}}},{"id":2264,"uris":["http://zotero.org/users/3110659/items/L46J72AE"],"itemData":{"id":2264,"type":"article-journal","abstract":"This study is the ﬁrst evaluation of dynamical downscaling using the Weather Research and Forecasting (WRF) Model on a 4 km × 4 km high resolution scale in the eastern US driven by the new Community Earth System Model version 1.0 (CESM v1.0). First we examined the global and regional climate model results, and corrected an inconsistency in skin temperature during the downscaling process by modifying the land/sea mask. In comparison with observations, WRF shows statistically signiﬁcant improvement over CESM in reproducing extreme weather events, with improvement for heat wave frequency estimation as high as 98%. The fossil fuel intensive scenario Representative Concentration Pathway (RCP) 8.5 was used to study a possible future mid-century climate extreme in 2057–9. Both the heat waves and the extreme precipitation in 2057–9 are more severe than the present climate in the Eastern US. The Northeastern US shows large increases in both heat wave intensity (3.05 ◦C higher) and annual extreme precipitation (107.3 mm more per year).","container-title":"Environmental Research Letters","DOI":"10.1088/1748-9326/7/4/044025","ISSN":"1748-9326","issue":"4","journalAbbreviation":"Environ. Res. Lett.","language":"en","page":"044025","source":"DOI.org (Crossref)","title":"Projected changes of extreme weather events in the eastern United States based on a high resolution climate modeling system","volume":"7","author":[{"family":"Gao","given":"Y"},{"family":"Fu","given":"J S"},{"family":"Drake","given":"J B"},{"family":"Liu","given":"Y"},{"family":"Lamarque","given":"J-F"}],"issued":{"date-parts":[["2012",12,1]]}}}],"schema":"https://github.com/citation-style-language/schema/raw/master/csl-citation.json"}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(Balbus et al., 2016; Coumou &amp; Rahmstorf, 2012; Gao et al., 2012; Pfleiderer et al., 2019; Seneviratne et al., 2021)</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The societal disruption caused by heat waves exacerbates a looming health crisis driven by climate change, especially for vulnerable segments of the population – the youngest, the oldest, and the homeless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{"citationID":"UcmF0Kr5","properties":{"formattedCitation":"(Peng et al., 2011; Philip et al., 2021)","plainCitation":"(Peng et al., 2011; Philip et al., 2021)","noteIndex":0},"citationItems":[{"id":350,"uris":["http://zotero.org/users/3110659/items/HPB7DEHW"],"itemData":{"id":350,"type":"article-journal","abstract":"Background\n\nClimate change is anticipated to affect human health by changing the distribution of known risk factors. Heat waves have had debilitating effects on human mortality, and global climate models predict an increase in the frequency and severity of heat waves. The extent to which climate change will harm human health through changes in the distribution of heat waves and the sources of uncertainty in estimating these effects have not been studied extensively.\n\nObjectives\n\nWe estimated the future excess mortality attributable to heat waves under global climate change for a major U.S. city.\n\nMethods\n\nWe used a database comprising daily data from 1987 through 2005 on mortality from all nonaccidental causes, ambient levels of particulate matter and ozone, temperature, and dew point temperature for the city of Chicago, Illinois. We estimated the associations between heat waves and mortality in Chicago using Poisson regression models.\n\nResults\n\nUnder three different climate change scenarios for 2081–2100 and in the absence of adaptation, the city of Chicago could experience between 166 and 2,217 excess deaths per year attributable to heat waves, based on estimates from seven global climate models. We noted considerable variability in the projections of annual heat wave mortality; the largest source of variation was the choice of climate model.\n\nConclusions\n\nThe impact of future heat waves on human health will likely be profound, and significant gains can be expected by lowering future carbon dioxide emissions.","container-title":"Environmental Health Perspectives","DOI":"10.1289/ehp.1002430","issue":"5","note":"publisher: Environmental Health Perspectives","page":"701-706","source":"ehp.niehs.nih.gov (Atypon)","title":"Toward a Quantitative Estimate of Future Heat Wave Mortality under Global Climate Change","volume":"119","author":[{"family":"Peng","given":"Roger D."},{"family":"Bobb","given":"Jennifer F."},{"family":"Tebaldi","given":"Claudia"},{"family":"McDaniel","given":"Larry"},{"family":"Bell","given":"Michelle L."},{"family":"Dominici","given":"Francesca"}],"issued":{"date-parts":[["2011",5]]}}},{"id":2274,"uris":["http://zotero.org/users/3110659/items/HER9QSEL"],"itemData":{"id":2274,"type":"article-journal","abstract":"&lt;p&gt;&lt;strong class=\"journal-contentHeaderColor\"&gt;Abstract.&lt;/strong&gt; Towards the end of June 2021, temperature records were broken by several degrees Celsius in several cities in the Pacific northwest areas of the U.S. and Canada, leading to spikes in sudden deaths, and sharp increases in hospital visits for heat-related illnesses and emergency calls. Here we present a multi-model, multi-method attribution analysis to investigate to what extent human-induced climate change has influenced the probability and intensity of extreme heatwaves in this region. Based on observations and modeling, the occurrence of a heatwave with maximum daily temperatures (TXx) as observed in the area 45&amp;deg;&amp;thinsp;N&amp;ndash;52&amp;deg;&amp;thinsp;N, 119&amp;deg;&amp;thinsp;W&amp;ndash;123&amp;deg;&amp;thinsp;W, was found to be virtually impossible without human-caused climate change. The observed temperatures were so extreme that they lie far outside the range of historically observed temperatures. This makes it hard to quantify with confidence how rare the event was. In the most realistic statistical analysis, which uses the assumption that the heatwave was a very low probability event that was not caused by new nonlinearities, the event is estimated to be about a 1 in 1000 year event in today&amp;rsquo;s climate. With this assumption and combining the results from the analysis of climate models and weather observations, an event, defined as daily maximum temperatures (TXx) in the heatwave region, as rare as 1 in a 1000 years would have been at least 150 times rarer without human-induced climate change. Also, this heatwave was about 2&amp;thinsp;&amp;deg;C hotter than a 1 in 1000-year heatwave that at the beginning of the industrial revolution would have been (when global mean temperatures were 1.2&amp;thinsp;&amp;deg;C cooler than today). Looking into the future, in a world with 2&amp;thinsp;&amp;deg;C of global warming (0.8&amp;thinsp;&amp;deg;C warmer than today), a 1000-year event would be another degree hotter. It would occur roughly every 5 to 10 years in such global warming conditions.&lt;/p&gt; &lt;p&gt;Our results provide a strong warning: our rapidly warming climate is bringing us into uncharted territory with significant consequences for health, well-being, and livelihoods. Adaptation and mitigation are urgently needed to prepare societies for a very different future.&lt;/p&gt;","container-title":"Earth System Dynamics Discussions","DOI":"10.5194/esd-2021-90","ISSN":"2190-4979","language":"English","note":"publisher: Copernicus GmbH","page":"1-34","source":"esd.copernicus.org","title":"Rapid attribution analysis of the extraordinary heatwave on the Pacific Coast of the US and Canada June 2021","author":[{"family":"Philip","given":"Sjoukje Y."},{"family":"Kew","given":"Sarah F."},{"family":"Oldenborgh","given":"Geert Jan","non-dropping-particle":"van"},{"family":"Anslow","given":"Faron S."},{"family":"Seneviratne","given":"Sonia I."},{"family":"Vautard","given":"Robert"},{"family":"Coumou","given":"Dim"},{"family":"Ebi","given":"Kristie L."},{"family":"Arrighi","given":"Julie"},{"family":"Singh","given":"Roop"},{"family":"Aalst","given":"Maarten","non-dropping-particle":"van"},{"family":"Pereira Marghidan","given":"Carolina"},{"family":"Wehner","given":"Michael"},{"family":"Yang","given":"Wenchang"},{"family":"Li","given":"Sihan"},{"family":"Schumacher","given":"Dominik L."},{"family":"Hauser","given":"Mathias"},{"family":"Bonnet","given":"Rémy"},{"family":"Luu","given":"Linh N."},{"family":"Lehner","given":"Flavio"},{"family":"Gillett","given":"Nathan"},{"family":"Tradowsky","given":"Jordis"},{"family":"Vecchi","given":"Gabriel A."},{"family":"Rodell","given":"Chris"},{"family":"Stull","given":"Roland B."},{"family":"Howard","given":"Rosie"},{"family":"Otto","given":"Friederike E. L."}],"issued":{"date-parts":[["2021",11,12]]}}}],"schema":"https://github.com/citation-style-language/schema/raw/master/csl-citation.json"}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(Peng et al., 2011; Philip et al., 2021)</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Heat waves can cause a range of health impacts: heat stress, heat exhaustion, heat stroke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{"citationID":"NsprklwI","properties":{"formattedCitation":"(Arbuthnott &amp; Hajat, 2017)","plainCitation":"(Arbuthnott &amp; Hajat, 2017)","noteIndex":0},"citationItems":[{"id":436,"uris":["http://zotero.org/users/3110659/items/AXQK37ZU"],"itemData":{"id":436,"type":"article-journal","abstract":"It is widely acknowledged that the climate is warming globally and within the UK. In this paper, studies which assess the direct impact of current increased temperatures and heat-waves on health and those which project future health impacts of heat under different climate change scenarios in the UK are reviewed.","container-title":"Environmental Health","DOI":"10.1186/s12940-017-0322-5","ISSN":"1476-069X","issue":"1","journalAbbreviation":"Environmental Health","page":"119","source":"BioMed Central","title":"The health effects of hotter summers and heat waves in the population of the United Kingdom: a review of the evidence","title-short":"The health effects of hotter summers and heat waves in the population of the United Kingdom","volume":"16","author":[{"family":"Arbuthnott","given":"Katherine G."},{"family":"Hajat","given":"Shakoor"}],"issued":{"date-parts":[["2017",12,5]]}}}],"schema":"https://github.com/citation-style-language/schema/raw/master/csl-citation.json"}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(Arbuthnott &amp; Hajat, 2017)</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and increased risk of heart attacks, strokes, and other cardiovascular diseases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{"citationID":"VBHwICQ9","properties":{"formattedCitation":"(NIH, 2022; US EPA, 2016)","plainCitation":"(NIH, 2022; US EPA, 2016)","noteIndex":0},"citationItems":[{"id":443,"uris":["http://zotero.org/users/3110659/items/S68CXPXV"],"itemData":{"id":443,"type":"webpage","abstract":"The mission of the National Institute of Environmental Health Sciences is to discover how the environment affects people in order to promote healthier lives.","container-title":"National Institute of Environmental Health Sciences","genre":"Overviews and Factsheets","language":"en","title":"Effects of Heat - Climate and Human Health","URL":"https://www.niehs.nih.gov/research/programs/climatechange/health_impacts/heat/index.cfm","author":[{"family":"NIH","given":""}],"accessed":{"date-parts":[["2022",3,10]]},"issued":{"date-parts":[["2022"]]}}},{"id":421,"uris":["http://zotero.org/users/3110659/items/PZRFQ9H7"],"itemData":{"id":421,"type":"webpage","abstract":"This indicator presents data on deaths classified as “heat-related” in the United States.","container-title":"Climate Change Indicators: Heat-Related Deaths","genre":"Reports and Assessments","language":"en","title":"Climate Change Indicators: Heat-Related Deaths","title-short":"Climate Change Indicators","URL":"https://www.epa.gov/climate-indicators/climate-change-indicators-heat-related-deaths","author":[{"family":"US EPA","given":"OAR"}],"accessed":{"date-parts":[["2022",3,10]]},"issued":{"date-parts":[["2016",7,1]]}}}],"schema":"https://github.com/citation-style-language/schema/raw/master/csl-citation.json"}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(NIH, 2022; US EPA, 2016)</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Additionally, heat waves can cause significant financial loss from power outages and disruption to public infrastructure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{"citationID":"Q1twUSQe","properties":{"formattedCitation":"(Langlois et al., 2013; Mazdiyasni et al., 2017)","plainCitation":"(Langlois et al., 2013; Mazdiyasni et al., 2017)","noteIndex":0},"citationItems":[{"id":408,"uris":["http://zotero.org/users/3110659/items/SW34JJUB"],"itemData":{"id":408,"type":"article-journal","abstract":"Extremes of climate are not uncommon in Australia and heatwaves are not infrequent. Periods of high ambient temperature may result in clusters of heat related deaths, which may place strain on forensic facilities. This paper describes the formulation of the Excess Heat Factor using meteorological data to provide a means of predicting death resulting from periods of extreme heat stress. The 2009 South Australian heatwave had the highest ranked Excess Heat Factor in Adelaide's records. There were 58 heat related deaths, with the bulk of the heat related deaths following the peak Excess Heat Factor value (144 °C2). The 2008 heatwave had a lower peak Excess Heat Factor value (36 °C2); there was only one heat related death, which followed the peak in the Excess Heat Factor. It is proposed that calculation of the Excess Heat Factor from meteorological data could provide a means to predict and identify heat related deaths resulting from extreme weather conditions.","container-title":"Journal of Forensic and Legal Medicine","DOI":"10.1016/j.jflm.2012.12.005","ISSN":"1752-928X","issue":"5","journalAbbreviation":"Journal of Forensic and Legal Medicine","language":"en","page":"408-411","source":"ScienceDirect","title":"Using the Excess Heat Factor (EHF) to predict the risk of heat related deaths","volume":"20","author":[{"family":"Langlois","given":"Neil"},{"family":"Herbst","given":"Jonathon"},{"family":"Mason","given":"Kerryn"},{"family":"Nairn","given":"John"},{"family":"Byard","given":"Roger W."}],"issued":{"date-parts":[["2013",7,1]]}}},{"id":378,"uris":["http://zotero.org/users/3110659/items/CYTBV3HT"],"itemData":{"id":378,"type":"article-journal","container-title":"Science Advances","DOI":"10.1126/sciadv.1700066","issue":"6","note":"publisher: American Association for the Advancement of Science","page":"e1700066","source":"science.org (Atypon)","title":"Increasing probability of mortality during Indian heat waves","volume":"3","author":[{"family":"Mazdiyasni","given":"Omid"},{"family":"AghaKouchak","given":"Amir"},{"family":"Davis","given":"Steven J."},{"family":"Madadgar","given":"Shahrbanou"},{"family":"Mehran","given":"Ali"},{"family":"Ragno","given":"Elisa"},{"family":"Sadegh","given":"Mojtaba"},{"family":"Sengupta","given":"Ashmita"},{"family":"Ghosh","given":"Subimal"},{"family":"Dhanya","given":"C. T."},{"family":"Niknejad","given":"Mohsen"}],"issued":{"date-parts":[["2017"]]}}}],"schema":"https://github.com/citation-style-language/schema/raw/master/csl-citation.json"}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(Langlois et al., 2013; Mazdiyasni et al., 2017)</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However, while the impact of heat waves is clear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{"citationID":"9lzruMCY","properties":{"formattedCitation":"(World Health Organization, 2022)","plainCitation":"(World Health Organization, 2022)","noteIndex":0},"citationItems":[{"id":439,"uris":["http://zotero.org/users/3110659/items/JKQM99DU"],"itemData":{"id":439,"type":"webpage","abstract":"Heatwaves","container-title":"Heatwaves","genre":"Overviews and Factsheets","language":"en","title":"Heatwaves","URL":"https://www.who.int/westernpacific/health-topics/heatwaves","author":[{"family":"World Health Organization","given":""}],"accessed":{"date-parts":[["2022",3,10]]},"issued":{"date-parts":[["2022"]]}}}],"schema":"https://github.com/citation-style-language/schema/raw/master/csl-citation.json"}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(World Health Organization, 2022)</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the specific risks of future heat waves to the US population on a regional scale are not yet well quantified. </w:t>
      </w:r>
    </w:p>
    <w:p w14:paraId="5032E712" w14:textId="4470FBBD" w:rsidR="00652E13" w:rsidRPr="008E4EFB" w:rsidRDefault="00652E13"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To study how heat waves may evolve in the future, projections made by global climate models (GCMs) provide physics-based insights. The Coupled Model Intercomparison Project Phase 6 (CMIP6) coordinates the latest generation of GCM experiments worldwide using common protocols, climate forcings, and output formats to provide intercomparable future climate predictions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{"citationID":"od8VxVrp","properties":{"formattedCitation":"(Eyring et al., 2016)","plainCitation":"(Eyring et al., 2016)","noteIndex":0},"citationItems":[{"id":364,"uris":["http://zotero.org/users/3110659/items/XFYHZCPR"],"itemData":{"id":364,"type":"article-journal","abstract":"&lt;p&gt;&lt;strong class=\"journal-contentHeaderColor\"&gt;Abstract.&lt;/strong&gt; By coordinating the design and distribution of global climate model simulations of the past, current, and future climate, the Coupled Model Intercomparison Project (CMIP) has become one of the foundational elements of climate science. However, the need to address an ever-expanding range of scientific questions arising from more and more research communities has made it necessary to revise the organization of CMIP. After a long and wide community consultation, a new and more federated structure has been put in place. It consists of three major elements: (1) a handful of common experiments, the DECK (Diagnostic, Evaluation and Characterization of Klima) and CMIP historical simulations (1850–near present) that will maintain continuity and help document basic characteristics of models across different phases of CMIP; (2) common standards, coordination, infrastructure, and documentation that will facilitate the distribution of model outputs and the characterization of the model ensemble; and (3) an ensemble of CMIP-Endorsed Model Intercomparison Projects (MIPs) that will be specific to a particular phase of CMIP (now CMIP6) and that will build on the DECK and CMIP historical simulations to address a large range of specific questions and fill the scientific gaps of the previous CMIP phases. The DECK and CMIP historical simulations, together with the use of CMIP data standards, will be the entry cards for models participating in CMIP. Participation in CMIP6-Endorsed MIPs by individual modelling groups will be at their own discretion and will depend on their scientific interests and priorities. With the Grand Science Challenges of the World Climate Research Programme (WCRP) as its scientific backdrop, CMIP6 will address three broad questions: &lt;br&gt;&lt;br&gt; &amp;ndash; How does the Earth system respond to forcing?&lt;br&gt;&lt;br&gt; &amp;ndash; What are the origins and consequences of systematic model biases? &lt;br&gt;&lt;br&gt; &amp;ndash; How can we assess future climate changes given internal climate variability, predictability, and uncertainties in scenarios?&lt;br&gt;&lt;br&gt; This CMIP6 overview paper presents the background and rationale for the new structure of CMIP, provides a detailed description of the DECK and CMIP6 historical simulations, and includes a brief introduction to the 21 CMIP6-Endorsed MIPs.&lt;/p&gt;&lt;/p&gt;","container-title":"Geoscientific Model Development","DOI":"10.5194/gmd-9-1937-2016","ISSN":"1991-959X","issue":"5","language":"English","note":"publisher: Copernicus GmbH","page":"1937-1958","source":"gmd.copernicus.org","title":"Overview of the Coupled Model Intercomparison Project Phase 6 (CMIP6) experimental design and organization","volume":"9","author":[{"family":"Eyring","given":"Veronika"},{"family":"Bony","given":"Sandrine"},{"family":"Meehl","given":"Gerald A."},{"family":"Senior","given":"Catherine A."},{"family":"Stevens","given":"Bjorn"},{"family":"Stouffer","given":"Ronald J."},{"family":"Taylor","given":"Karl E."}],"issued":{"date-parts":[["2016",5,26]]}}}],"schema":"https://github.com/citation-style-language/schema/raw/master/csl-citation.json"}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(Eyring et al., 2016)</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O’Neill et al. (2016) described the design of CMIP6 emissions scenarios that combine a Representative Concentration Pathway (RCP) with radiative forcing levels between 1.9 and 8.5 W/m</w:t>
      </w:r>
      <w:r w:rsidRPr="008E4EFB">
        <w:rPr>
          <w:rFonts w:ascii="Times New Roman" w:eastAsia="Times New Roman" w:hAnsi="Times New Roman" w:cs="Times New Roman"/>
          <w:sz w:val="24"/>
          <w:szCs w:val="24"/>
          <w:vertAlign w:val="superscript"/>
        </w:rPr>
        <w:t>2</w:t>
      </w:r>
      <w:r w:rsidRPr="008E4EFB">
        <w:rPr>
          <w:rFonts w:ascii="Times New Roman" w:eastAsia="Times New Roman" w:hAnsi="Times New Roman" w:cs="Times New Roman"/>
          <w:sz w:val="24"/>
          <w:szCs w:val="24"/>
        </w:rPr>
        <w:t xml:space="preserve"> and a Socioeconomic Development Pathway (SSP 1-5). Among the scenarios, we consider the “worst-case” SSP5-8.5 to investigate the upper bounds of what the US could experience. RCP8.5 has been used in other studies to investigate potential climate change impacts. For instance, based on Community Earth System Model (CESM) and historic heat wave distribution, heat waves are projected to be 3.5-6.4 times more frequent by the late 2050s under RCP8.5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{"citationID":"D0QclGpN","properties":{"formattedCitation":"(Gao et al., 2012; NCAR &amp; UCAR, 2022; Riahi et al., 2011; J. Wu et al., 2014)","plainCitation":"(Gao et al., 2012; NCAR &amp; UCAR, 2022; Riahi et al., 2011; J. Wu et al., 2014)","noteIndex":0},"citationItems":[{"id":2264,"uris":["http://zotero.org/users/3110659/items/L46J72AE"],"itemData":{"id":2264,"type":"article-journal","abstract":"This study is the ﬁrst evaluation of dynamical downscaling using the Weather Research and Forecasting (WRF) Model on a 4 km × 4 km high resolution scale in the eastern US driven by the new Community Earth System Model version 1.0 (CESM v1.0). First we examined the global and regional climate model results, and corrected an inconsistency in skin temperature during the downscaling process by modifying the land/sea mask. In comparison with observations, WRF shows statistically signiﬁcant improvement over CESM in reproducing extreme weather events, with improvement for heat wave frequency estimation as high as 98%. The fossil fuel intensive scenario Representative Concentration Pathway (RCP) 8.5 was used to study a possible future mid-century climate extreme in 2057–9. Both the heat waves and the extreme precipitation in 2057–9 are more severe than the present climate in the Eastern US. The Northeastern US shows large increases in both heat wave intensity (3.05 ◦C higher) and annual extreme precipitation (107.3 mm more per year).","container-title":"Environmental Research Letters","DOI":"10.1088/1748-9326/7/4/044025","ISSN":"1748-9326","issue":"4","journalAbbreviation":"Environ. Res. Lett.","language":"en","page":"044025","source":"DOI.org (Crossref)","title":"Projected changes of extreme weather events in the eastern United States based on a high resolution climate modeling system","volume":"7","author":[{"family":"Gao","given":"Y"},{"family":"Fu","given":"J S"},{"family":"Drake","given":"J B"},{"family":"Liu","given":"Y"},{"family":"Lamarque","given":"J-F"}],"issued":{"date-parts":[["2012",12,1]]}}},{"id":429,"uris":["http://zotero.org/users/3110659/items/2YBPCWFI"],"itemData":{"id":429,"type":"webpage","abstract":"CESM is a fully-coupled, community, global climate model that provides state-of-the-art computer simulations of the Earth's past, present, and future climate state","container-title":"Community Earth System Model - CESM","language":"en","title":"Community Earth System Model - CESM®","URL":"http://www.cesm.ucar.edu","author":[{"family":"NCAR","given":""},{"family":"UCAR","given":""}],"accessed":{"date-parts":[["2022",3,10]]},"issued":{"date-parts":[["2022",3]]}}},{"id":427,"uris":["http://zotero.org/users/3110659/items/FY8QX95P"],"itemData":{"id":427,"type":"article-journal","abstract":"This paper summarizes the main characteristics of the RCP8.5 scenario. The RCP8.5 combines assumptions about high population and relatively slow income growth with modest rates of technological change and energy intensity improvements, leading in the long term to high energy demand and GHG emissions in absence of climate change policies. Compared to the total set of Representative Concentration Pathways (RCPs), RCP8.5 thus corresponds to the pathway with the highest greenhouse gas emissions. Using the IIASA Integrated Assessment Framework and the MESSAGE model for the development of the RCP8.5, we focus in this paper on two important extensions compared to earlier scenarios: 1) the development of spatially explicit air pollution projections, and 2) enhancements in the land-use and land-cover change projections. In addition, we explore scenario variants that use RCP8.5 as a baseline, and assume different degrees of greenhouse gas mitigation policies to reduce radiative forcing. Based on our modeling framework, we find it technically possible to limit forcing from RCP8.5 to lower levels comparable to the other RCPs (2.6 to 6 W/m2). Our scenario analysis further indicates that climate policy-induced changes of global energy supply and demand may lead to significant co-benefits for other policy priorities, such as local air pollution.","container-title":"Climatic Change","DOI":"10.1007/s10584-011-0149-y","ISSN":"1573-1480","issue":"1","journalAbbreviation":"Climatic Change","language":"en","page":"33","source":"Springer Link","title":"RCP 8.5—A scenario of comparatively high greenhouse gas emissions","volume":"109","author":[{"family":"Riahi","given":"Keywan"},{"family":"Rao","given":"Shilpa"},{"family":"Krey","given":"Volker"},{"family":"Cho","given":"Cheolhung"},{"family":"Chirkov","given":"Vadim"},{"family":"Fischer","given":"Guenther"},{"family":"Kindermann","given":"Georg"},{"family":"Nakicenovic","given":"Nebojsa"},{"family":"Rafaj","given":"Peter"}],"issued":{"date-parts":[["2011",8,13]]}}},{"id":426,"uris":["http://zotero.org/users/3110659/items/VXMAVM96"],"itemData":{"id":426,"type":"article-journal","abstract":"Background: Climate change is anticipated to influence heat-related mortality in the future. However, estimates of excess mortality attributable to future heat waves are subject to large uncertainties and have not been projected under the latest greenhouse gas emission scenarios.\nObjectives: We estimated future heat wave mortality in the eastern United States (approximately 1,700 counties) under two Representative Concentration Pathways (RCPs) and investigated sources of uncertainty.\nMethods: Using dynamically downscaled hourly temperature projections for 2057–2059, we projected heat wave days that were defined using four heat wave metrics and estimated the excess mortality attributable to them. We apportioned the sources of uncertainty in excess mortality estimates using a variance-decomposition method.\nResults: Estimates suggest that excess mortality attributable to heat waves in the eastern United States would result in 200–7,807 deaths/year (mean 2,379 deaths/year) in 2057–2059. Average excess mortality projections under RCP4.5 and RCP8.5 scenarios were 1,403 and 3,556 deaths/year, respectively. Excess mortality would be relatively high in the southern states and eastern coastal areas (excluding Maine). The major sources of uncertainty were the relative risk estimates for mortality on heat wave versus non–heat wave days, the RCP scenarios, and the heat wave definitions.\nConclusions: Mortality risks from future heat waves may be an order of magnitude higher than the mortality risks reported in 2002–2004, with thousands of heat wave–related deaths per year in the study area projected under the RCP8.5 scenario. Substantial spatial variability in county-level heat mortality estimates suggests that effective mitigation and adaptation measures should be developed based on spatially resolved data.","container-title":"Environmental Health Perspectives","DOI":"10.1289/ehp.1306670","ISSN":"0091-6765, 1552-9924","issue":"1","journalAbbreviation":"Environmental Health Perspectives","language":"en","page":"10-16","source":"DOI.org (Crossref)","title":"Estimation and Uncertainty Analysis of Impacts of Future Heat Waves on Mortality in the Eastern United States","volume":"122","author":[{"family":"Wu","given":"Jianyong"},{"family":"Zhou","given":"Ying"},{"family":"Gao","given":"Yang"},{"family":"Fu","given":"Joshua S."},{"family":"Johnson","given":"Brent A."},{"family":"Huang","given":"Cheng"},{"family":"Kim","given":"Young-Min"},{"family":"Liu","given":"Yang"}],"issued":{"date-parts":[["2014",1]]}}}],"schema":"https://github.com/citation-style-language/schema/raw/master/csl-citation.json"}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(Gao et al., 2012; NCAR &amp; UCAR, 2022; Riahi et al., 2011; J. Wu et al., 2014)</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However, this is likely an underestimation since the reference period to calculate heat wave probability was 2002–2004, a very short and recent timeframe well after anthropogenic climate change had already modified the climate, and it relied on results from only one GCM. </w:t>
      </w:r>
    </w:p>
    <w:p w14:paraId="180988EA" w14:textId="0DED0420" w:rsidR="00652E13" w:rsidRPr="008E4EFB" w:rsidRDefault="00652E13"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lastRenderedPageBreak/>
        <w:t xml:space="preserve">Additionally, the raw spatial resolution of GCMs is coarse and cannot resolve fine-scale processes to support regional (e.g., state-level and county-level) risk assessment and decision-making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{"citationID":"Ej6LFDmE","properties":{"formattedCitation":"(Hewitson &amp; Crane, 1996)","plainCitation":"(Hewitson &amp; Crane, 1996)","noteIndex":0},"citationItems":[{"id":2123,"uris":["http://zotero.org/users/3110659/items/CWBA48BM"],"itemData":{"id":2123,"type":"article-journal","container-title":"Climate Research","page":"85-95","title":"Climate downscaling: techniques and application","volume":"7","author":[{"family":"Hewitson","given":"B.C."},{"family":"Crane","given":""}],"issued":{"date-parts":[["1996"]]}}}],"schema":"https://github.com/citation-style-language/schema/raw/master/csl-citation.json"}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(Hewitson &amp; Crane, 1996)</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Suitable downscaling techniques, either dynamical or statistical, are required to refine the projection at a finer spatial resolution. Statistical downscaling uses observations of the modeled phenomenon during a reference period to build a statistical relationship and then apply it to future events </w:t>
      </w:r>
      <w:r w:rsidRPr="008E4EFB">
        <w:rPr>
          <w:rFonts w:ascii="Times New Roman" w:eastAsia="Times New Roman" w:hAnsi="Times New Roman" w:cs="Times New Roman"/>
          <w:sz w:val="24"/>
          <w:szCs w:val="24"/>
        </w:rPr>
        <w:fldChar w:fldCharType="begin"/>
      </w:r>
      <w:r w:rsidR="0004467C" w:rsidRPr="008E4EFB">
        <w:rPr>
          <w:rFonts w:ascii="Times New Roman" w:eastAsia="Times New Roman" w:hAnsi="Times New Roman" w:cs="Times New Roman"/>
          <w:sz w:val="24"/>
          <w:szCs w:val="24"/>
        </w:rPr>
        <w:instrText xml:space="preserve"> ADDIN ZOTERO_ITEM CSL_CITATION {"citationID":"ZLY6quzK","properties":{"formattedCitation":"(Lei Zhang et al., 2020)","plainCitation":"(Lei Zhang et al., 2020)","noteIndex":0},"citationItems":[{"id":2119,"uris":["http://zotero.org/users/3110659/items/K6D4SXEJ"],"itemData":{"id":2119,"type":"article-journal","abstract":"Abstract In aiming for better access to climate change information and for providing climate service, it is important to obtain reliable high-resolution temperature simulations. Systematic comparisons are still deficient between statistical and dynamic downscaling techniques because of their inherent unavoidable uncertainties. In this paper, 20 global climate models (GCMs) and one regional climate model [Providing Regional Climates to Impact Studies (PRECIS)] are employed to evaluate their capabilities in reproducing average trends of mean temperature (Tm), maximum temperature (Tmax), minimum temperature (Tmin), diurnal temperature range (DTR), and extreme events represented by frost days (FD) and heat-wave days (HD) across China. It is shown generally that bias of temperatures from GCMs relative to observations is over ±1°C across more than one-half of mainland China. PRECIS demonstrates better representation of temperatures (except for HD) relative to GCMs. There is relatively better performance in Huanghuai, Jianghuai, Jianghan, south Yangzi River, and South China, whereas estimation is not as good in Xinjiang, the eastern part of northwest China, and the Tibetan Plateau. Bias-correction spatial disaggregation is used to downscale GCMs outputs, and bias correction is applied for PRECIS outputs, which demonstrate better improvement to a bias within ±0.2°C for Tm, Tmax, Tmin, and DTR and ±2 days for FD and HD. Furthermore, such improvement is also verified by the evidence of increased spatial correlation coefficient and symmetrical uncertainty, decreased root-mean-square error, and lower standard deviation for reproductions. It is seen from comprehensive ranking metrics that different downscaled models show the most improvement across different climatic regions, implying that optional ensembles of models should be adopted to provide sufficient high-quality climate information.","container-title":"Journal of Applied Meteorology and Climatology","DOI":"10.1175/JAMC-D-19-0048.1","ISSN":"1558-8424, 1558-8432","issue":"2","language":"EN","note":"publisher: American Meteorological Society\nsection: Journal of Applied Meteorology and Climatology","page":"207-235","source":"journals.ametsoc.org","title":"Comparison of Statistical and Dynamic Downscaling Techniques in Generating High-Resolution Temperatures in China from CMIP5 GCMs","volume":"59","author":[{"family":"Zhang","given":"Lei"},{"family":"Xu","given":"YinLong"},{"family":"Meng","given":"ChunChun"},{"family":"Li","given":"XinHua"},{"family":"Liu","given":"Huan"},{"family":"Wang","given":"ChangGui"}],"issued":{"date-parts":[["2020",2,1]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04467C" w:rsidRPr="008E4EFB">
        <w:rPr>
          <w:rFonts w:ascii="Times New Roman" w:hAnsi="Times New Roman" w:cs="Times New Roman"/>
          <w:sz w:val="24"/>
          <w:szCs w:val="24"/>
        </w:rPr>
        <w:t>(Lei Zhang et al., 2020)</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It is computationally inexpensive and widely used but limited only to variables with long-term historic observations. It also relies on the premise that the relationship between observed and modeled events will remain unchanged in the future, which may not hold as climate change disrupts previously consistent processes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{"citationID":"XsqiFDJU","properties":{"formattedCitation":"(Rastogi et al., 2022)","plainCitation":"(Rastogi et al., 2022)","noteIndex":0},"citationItems":[{"id":2287,"uris":["http://zotero.org/users/3110659/items/AZYKMKVY"],"itemData":{"id":2287,"type":"article-journal","abstract":"We present an intercomparison of a suite of high-resolution downscaled climate projections based on a six-member General Circulation Model (GCM) ensemble from Coupled Models Intercomparison Project (CMIP6). The CMIP6 GCMs have been downscaled using dynamical and statistical downscaling techniques based on two meteorological reference observations over the conterminous United States. We use the regional climate model, RegCM4, for dynamical downscaling, double bias correction constructed analogs method for statistical downscaling, and Daymet and Livneh datasets as the reference observations for statistical training and bias-correction. We evaluate the performances of downscaled data in both historical and future periods under the SSP585 scenario. While dynamical downscaling improves the simulation of some performance evaluation indices, it adds an extra bias in others, highlighting the need for statistical correction before its use in impact assessments. Downscaled datasets after bias-correction compare exceptionally well with observations. However, the choice of downscaling techniques and the underlying reference observations influence the hydroclimate characteristics of downscaled data. For instance, the statistical downscaling generally preserves the GCMs climate change signal but overestimates the frequency of hot extremes. Similarly, simulated future changes are sensitive to the choice of reference observations, particularly for precipitation extremes that exhibit a higher projected increase in the ensembles trained and/or corrected by Daymet than Livneh. Overall, these results demonstrate that multiple factors, including downscaling techniques and reference observations, can substantially influence the outcome of downscaled climate projections and stress the need for a comprehensive understanding of such method-based uncertainties.","container-title":"Earth's Future","DOI":"10.1029/2022EF002734","ISSN":"2328-4277","issue":"8","language":"en","note":"_eprint: https://onlinelibrary.wiley.com/doi/pdf/10.1029/2022EF002734","page":"e2022EF002734","source":"Wiley Online Library","title":"How May the Choice of Downscaling Techniques and Meteorological Reference Observations Affect Future Hydroclimate Projections?","volume":"10","author":[{"family":"Rastogi","given":"Deeksha"},{"family":"Kao","given":"Shih-Chieh"},{"family":"Ashfaq","given":"Moetasim"}],"issued":{"date-parts":[["2022"]]}}}],"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(Rastogi et al., 2022)</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Dynamical downscaling uses regional climate models to incorporate the effects of climate processes with respect to future emission scenarios to estimate local impacts. It is more computationally intensive and requires several sub-daily GCM output. Using a new dataset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{"citationID":"03D3asGG","properties":{"formattedCitation":"(Rastogi et al., 2022)","plainCitation":"(Rastogi et al., 2022)","noteIndex":0},"citationItems":[{"id":2287,"uris":["http://zotero.org/users/3110659/items/AZYKMKVY"],"itemData":{"id":2287,"type":"article-journal","abstract":"We present an intercomparison of a suite of high-resolution downscaled climate projections based on a six-member General Circulation Model (GCM) ensemble from Coupled Models Intercomparison Project (CMIP6). The CMIP6 GCMs have been downscaled using dynamical and statistical downscaling techniques based on two meteorological reference observations over the conterminous United States. We use the regional climate model, RegCM4, for dynamical downscaling, double bias correction constructed analogs method for statistical downscaling, and Daymet and Livneh datasets as the reference observations for statistical training and bias-correction. We evaluate the performances of downscaled data in both historical and future periods under the SSP585 scenario. While dynamical downscaling improves the simulation of some performance evaluation indices, it adds an extra bias in others, highlighting the need for statistical correction before its use in impact assessments. Downscaled datasets after bias-correction compare exceptionally well with observations. However, the choice of downscaling techniques and the underlying reference observations influence the hydroclimate characteristics of downscaled data. For instance, the statistical downscaling generally preserves the GCMs climate change signal but overestimates the frequency of hot extremes. Similarly, simulated future changes are sensitive to the choice of reference observations, particularly for precipitation extremes that exhibit a higher projected increase in the ensembles trained and/or corrected by Daymet than Livneh. Overall, these results demonstrate that multiple factors, including downscaling techniques and reference observations, can substantially influence the outcome of downscaled climate projections and stress the need for a comprehensive understanding of such method-based uncertainties.","container-title":"Earth's Future","DOI":"10.1029/2022EF002734","ISSN":"2328-4277","issue":"8","language":"en","note":"_eprint: https://onlinelibrary.wiley.com/doi/pdf/10.1029/2022EF002734","page":"e2022EF002734","source":"Wiley Online Library","title":"How May the Choice of Downscaling Techniques and Meteorological Reference Observations Affect Future Hydroclimate Projections?","volume":"10","author":[{"family":"Rastogi","given":"Deeksha"},{"family":"Kao","given":"Shih-Chieh"},{"family":"Ashfaq","given":"Moetasim"}],"issued":{"date-parts":[["2022"]]}}}],"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(Rastogi et al., 2022)</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that provides both statistically and dynamically downscaled CMIP6 outputs, we explore how regional heat waves are projected in the US by the latest GCMs and the differences due to the choice of downscaling method. </w:t>
      </w:r>
    </w:p>
    <w:p w14:paraId="7B4DA319" w14:textId="19256295" w:rsidR="00652E13" w:rsidRPr="008E4EFB" w:rsidRDefault="00652E13"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The IPCC defines a heat wave as an extreme weather event associated with climate change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{"citationID":"IfToeIah","properties":{"formattedCitation":"(Intergovernmental Panel on Climate Change, 2012)","plainCitation":"(Intergovernmental Panel on Climate Change, 2012)","noteIndex":0},"citationItems":[{"id":338,"uris":["http://zotero.org/users/3110659/items/F9W9584Q"],"itemData":{"id":338,"type":"report","collection-title":"Special Report of Working Groups I and II of the Intergovernmental Panel on Climate Change","event-place":"Cambridge, UK and New York, NY, USA","page":"582","publisher":"Cambridge University Press","publisher-place":"Cambridge, UK and New York, NY, USA","title":"Managing the Risks of Extreme Events and Disasters to Advance Climate Change Adaptation.","author":[{"family":"Intergovernmental Panel on Climate Change","given":""}],"collection-editor":[{"family":"Field","given":"Christopher B."},{"family":"Barros","given":"Vicente"},{"family":"Stocker","given":"Thomas F."},{"family":"Dahe","given":"Qin"},{"family":"Dokken","given":"David Jon"},{"family":"Ebi","given":"Kristie L."},{"family":"Mastrandrea","given":"Michael D."},{"family":"Mach","given":"Katharine J."},{"family":"Plattner","given":"Gian-Kasper"},{"family":"Allen","given":"Simon K."},{"family":"Tignor","given":"Melinda"},{"family":"Midgley","given":"Pauline M."}],"issued":{"date-parts":[["2012"]]}}}],"schema":"https://github.com/citation-style-language/schema/raw/master/csl-citation.json"}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(Intergovernmental Panel on Climate Change, 2012)</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There are numerous ways to quantify heat waves according to the research purpose and domain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{"citationID":"xvCGy7Gn","properties":{"formattedCitation":"(European Drought Observatory, 2018; Langlois et al., 2013; Lavaysse et al., 2018; Mazdiyasni et al., 2019; J. Nairn et al., 2009; J. R. Nairn &amp; Fawcett, 2015; Raei et al., 2018; Zuo et al., 2015)","plainCitation":"(European Drought Observatory, 2018; Langlois et al., 2013; Lavaysse et al., 2018; Mazdiyasni et al., 2019; J. Nairn et al., 2009; J. R. Nairn &amp; Fawcett, 2015; Raei et al., 2018; Zuo et al., 2015)","noteIndex":0},"citationItems":[{"id":408,"uris":["http://zotero.org/users/3110659/items/SW34JJUB"],"itemData":{"id":408,"type":"article-journal","abstract":"Extremes of climate are not uncommon in Australia and heatwaves are not infrequent. Periods of high ambient temperature may result in clusters of heat related deaths, which may place strain on forensic facilities. This paper describes the formulation of the Excess Heat Factor using meteorological data to provide a means of predicting death resulting from periods of extreme heat stress. The 2009 South Australian heatwave had the highest ranked Excess Heat Factor in Adelaide's records. There were 58 heat related deaths, with the bulk of the heat related deaths following the peak Excess Heat Factor value (144 °C2). The 2008 heatwave had a lower peak Excess Heat Factor value (36 °C2); there was only one heat related death, which followed the peak in the Excess Heat Factor. It is proposed that calculation of the Excess Heat Factor from meteorological data could provide a means to predict and identify heat related deaths resulting from extreme weather conditions.","container-title":"Journal of Forensic and Legal Medicine","DOI":"10.1016/j.jflm.2012.12.005","ISSN":"1752-928X","issue":"5","journalAbbreviation":"Journal of Forensic and Legal Medicine","language":"en","page":"408-411","source":"ScienceDirect","title":"Using the Excess Heat Factor (EHF) to predict the risk of heat related deaths","volume":"20","author":[{"family":"Langlois","given":"Neil"},{"family":"Herbst","given":"Jonathon"},{"family":"Mason","given":"Kerryn"},{"family":"Nairn","given":"John"},{"family":"Byard","given":"Roger W."}],"issued":{"date-parts":[["2013",7,1]]}}},{"id":431,"uris":["http://zotero.org/users/3110659/items/3FER2RWK"],"itemData":{"id":431,"type":"article-journal","abstract":"Heat waves have significant impacts on both ecosystems and human beings. This is compounded by future climate scenarios which indicate more frequent and severe heat waves in certain locations. There are members of communities that are more vulnerable to the effects of heat waves such as the elderly and infants and this presents particular challenges for the future. Hence it is timely to undertake a critical and systematic review of the effects of heat waves and mechanisms to mitigate their effects. There are significant implications associated with heat waves such as extra power consumption, community health, water consumption and quality, and additional costs within the natural and built environments. One of the critical issues is peak electricity demand which is closely linked with factors such as building occupant health and costs to consumers. Utilization of renewable and sustainable energy helps to mitigate this specific issue. Common policy instruments to deal with risks associated with heat waves include heat impact assessment and heat warning system. Similarly, building design should take impacts of heat waves into consideration such as dwelling adaptation. This review provides useful inputs to both policy making and industry practice on improving the resilience of urban and regional areas in the event of extreme weather conditions such as heat waves in the future.","container-title":"Journal of Cleaner Production","DOI":"10.1016/j.jclepro.2014.12.078","ISSN":"0959-6526","journalAbbreviation":"Journal of Cleaner Production","language":"en","page":"1-12","source":"ScienceDirect","title":"Impacts of heat waves and corresponding measures: a review","title-short":"Impacts of heat waves and corresponding measures","volume":"92","author":[{"family":"Zuo","given":"Jian"},{"family":"Pullen","given":"Stephen"},{"family":"Palmer","given":"Jasmine"},{"family":"Bennetts","given":"Helen"},{"family":"Chileshe","given":"Nicholas"},{"family":"Ma","given":"Tony"}],"issued":{"date-parts":[["2015",4,1]]}}},{"id":410,"uris":["http://zotero.org/users/3110659/items/5SEV69UV"],"itemData":{"id":410,"type":"document","abstract":"Heatwaves are one form of severe weather expected to become worse in Australia under global warming (Solomon et al. 2007). In Australia, heatwaves are defined by the achievement of a minimum sequence of consecutive days with daily maximum temperatures (Tmax) reaching a designated threshold. Definitions that","publisher":"Australian Bureau of Meteorology","source":"CiteSeer","title":"Australian Bureau of Meteorology","author":[{"family":"Nairn","given":"John"},{"family":"Fawcett","given":"Robert"},{"family":"Ray","given":"Darren"}],"issued":{"date-parts":[["2009"]]}}},{"id":404,"uris":["http://zotero.org/users/3110659/items/CV7KFT79"],"itemData":{"id":404,"type":"article-journal","container-title":"Internation Journal of Environmental Research and Public Health","ISSN":"1660-4601","issue":"12","page":"227-253","title":"The Excess Heat Factor: A Metric for Heatwave Intesity and its Use in Classifying Heatwave Severity","author":[{"family":"Nairn","given":"John R."},{"family":"Fawcett","given":"Robert J. B."}],"issued":{"date-parts":[["2015"]]}}},{"id":371,"uris":["http://zotero.org/users/3110659/items/YZKLSZJT"],"itemData":{"id":371,"type":"article-journal","abstract":"Atmospheric warming is projected to intensify heat wave events, as quantified by multiple descriptors, including intensity, duration, and frequency. While most studies investigate one feature at a time, heat wave characteristics are often interdependent and ignoring the relationships between them can lead to substantial biases in frequency (hazard) analyses. We propose a multivariate approach to construct heat wave intensity, duration, frequency (HIDF) curves, which enables the concurrent analysis of all heat wave properties. Here we show how HIDF curves can be used in various locations to quantitatively describe the likelihood of heat waves with different intensities and durations. We then employ HIDF curves to attribute changes in heat waves to anthropogenic warming by comparing GCM simulations with and without anthropogenic emissions. For example, in Los Angeles, CA, HIDF analysis shows that we can attribute the 21% increase in the likelihood of a four-day heat wave (temperature &gt; 31 °C) to anthropogenic emissions.","container-title":"Scientific Reports","DOI":"10.1038/s41598-019-50643-w","ISSN":"2045-2322","issue":"1","journalAbbreviation":"Sci Rep","language":"en","license":"2019 The Author(s)","note":"number: 1\npublisher: Nature Publishing Group","page":"14117","source":"www.nature.com","title":"Heat wave Intensity Duration Frequency Curve: A Multivariate Approach for Hazard and Attribution Analysis","title-short":"Heat wave Intensity Duration Frequency Curve","volume":"9","author":[{"family":"Mazdiyasni","given":"Omid"},{"family":"Sadegh","given":"Mojtaba"},{"family":"Chiang","given":"Felicia"},{"family":"AghaKouchak","given":"Amir"}],"issued":{"date-parts":[["2019",10,1]]}}},{"id":389,"uris":["http://zotero.org/users/3110659/items/DX422V8H"],"itemData":{"id":389,"type":"article-journal","abstract":"Heatwaves are extended periods of unusually high temperatures with significant societal and environmental impacts. Despite their significance, there is not a generalized definition for heatwaves. In this paper, we introduce a multi-method global heatwave and warm-spell data record and analysis toolbox (named GHWR). In addition to a comprehensive long-term global data record of heatwaves, GHWR allows processing and extracting heatwave records for any location efficiently. We use traditional constant temperature threshold methods, as well as spatially and temporally localized threshold approaches to identify heatwaves. GHWR includes binary (0/1) occurrence records of heatwaves/warm-spells, and annual summary files with detailed information on their frequency, duration, magnitude and amplitude. GHWR also introduces the standardized heat index (SHI) as a generalized statistical metric to identify heatwave/warm-spells. SHI has direct association with the probability distribution function of long-term daily temperatures for any given calendar day and spatial grid. Finally, GHWR offers a unique opportunity for users to select the type of heatwave/warm-spell information from a plethora of methods based on their needs and applications.","container-title":"Scientific Data","DOI":"10.1038/sdata.2018.206","ISSN":"2052-4463","issue":"1","journalAbbreviation":"Sci Data","language":"en","license":"2018 The Author(s)","note":"number: 1\npublisher: Nature Publishing Group","page":"180206","source":"www.nature.com","title":"GHWR, a multi-method global heatwave and warm-spell record and toolbox","volume":"5","author":[{"family":"Raei","given":"Ehsan"},{"family":"Nikoo","given":"Mohammad Reza"},{"family":"AghaKouchak","given":"Amir"},{"family":"Mazdiyasni","given":"Omid"},{"family":"Sadegh","given":"Mojtaba"}],"issued":{"date-parts":[["2018",10,30]]}}},{"id":403,"uris":["http://zotero.org/users/3110659/items/279ZBST4"],"itemData":{"id":403,"type":"report","genre":"Factsheet","page":"5","publisher":"European Comission","title":"Heat and Cold Wave Index","URL":"https://edo.jrc.ec.europa.eu/documents/factsheets/factsheet_heatColdWaveIndex.pdf","author":[{"family":"European Drought Observatory","given":""}],"accessed":{"date-parts":[["2022",3,10]]},"issued":{"date-parts":[["2018"]]}}},{"id":398,"uris":["http://zotero.org/users/3110659/items/BAEMGSYX"],"itemData":{"id":398,"type":"article-journal","abstract":"&lt;p&gt;&lt;strong class=\"journal-contentHeaderColor\"&gt;Abstract.&lt;/strong&gt; Extreme-temperature anomalies such as heat and cold waves may have strong impacts on human activities and health. The heat waves in western Europe in 2003 and in Russia in 2010, or the cold wave in southeastern Europe in 2012, generated a considerable amount of economic loss and resulted in the death of several thousands of people. Providing an operational system to monitor extreme-temperature anomalies in Europe is thus of prime importance to help decision makers and emergency services to be responsive to an unfolding extreme event. &lt;br&gt;&lt;br&gt; In this study, the development and the validation of a monitoring system of extreme-temperature anomalies are presented. The first part of the study describes the methodology based on the persistence of events exceeding a percentile threshold. The method is applied to three different observational datasets, in order to assess the robustness and highlight uncertainties in the observations. The climatology of extreme events from the last 21 years is then analysed to highlight the spatial and temporal variability of the hazard, and discrepancies amongst the observational datasets are discussed. In the last part of the study, the products derived from this study are presented and discussed with respect to previous studies. The results highlight the accuracy of the developed index and the statistical robustness of the distribution used to calculate the return periods.&lt;/p&gt;","container-title":"Natural Hazards and Earth System Sciences","DOI":"10.5194/nhess-18-91-2018","ISSN":"1561-8633","issue":"1","language":"English","note":"publisher: Copernicus GmbH","page":"91-104","source":"nhess.copernicus.org","title":"Towards a monitoring system of temperature extremes in Europe","volume":"18","author":[{"family":"Lavaysse","given":"Christophe"},{"family":"Cammalleri","given":"Carmelo"},{"family":"Dosio","given":"Alessandro"},{"family":"Schrier","given":"Gerard","non-dropping-particle":"van der"},{"family":"Toreti","given":"Andrea"},{"family":"Vogt","given":"Jürgen"}],"issued":{"date-parts":[["2018",1,5]]}}}],"schema":"https://github.com/citation-style-language/schema/raw/master/csl-citation.json"}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(European Drought Observatory, 2018; Langlois et al., 2013; Lavaysse et al., 2018; Mazdiyasni et al., 2019; J. Nairn et al., 2009; J. R. Nairn &amp; Fawcett, 2015; Raei et al., 2018; Zuo et al., 2015)</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The Heat Wave Duration Index (HWDI) defines a heat wave as the total period greater than five consecutive days with a maximum temperature greater than 5⁰ C above the historical normal daily maximum temperature value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{"citationID":"k9bheY4S","properties":{"formattedCitation":"(Frich et al., 2002)","plainCitation":"(Frich et al., 2002)","noteIndex":0},"citationItems":[{"id":342,"uris":["http://zotero.org/users/3110659/items/RIYYXPB7"],"itemData":{"id":342,"type":"article-journal","abstract":"A new global dataset of derived indicators has been compiled to clarify whether frequency and/or severity of climatic extremes changed during the second half of the 20th century. This period provides the best spatial coverage of homogenous daily\nseries, which can be used for calculating the proportion of global land area exhibiting a significant change in extreme or severe weather. The authors chose 10 indicators of extreme climatic events, defined from a larger selection, that could be applied\nto a large variety of climates. It was assumed that data producers were more inclined to release derived data in the form of annual indicator time series than releasing their original daily observations. The indicators are based on daily maximum and\nminimum temperature series, as well as daily totals of precipitation, and represent changes in all seasons of the year. Only time series which had 40 yr or more of almost complete records were used. A total of about 3000 indicator time series were\nextracted from national climate archives and collated into the unique dataset described here. Global maps showing significant changes from one multi-decadal period to another during the interval from 1946 to 1999 were produced. Coherent spatial patterns\nof statistically significant changes emerge, particularly an increase in warm summer nights, a decrease in the number of frost days and a decrease in intra-annual extreme temperature range. All but one of the temperature-based indicators show a\nsignificant change. Indicators based on daily precipitation data show more mixed patterns of change but significant increases have been seen in the extreme amount derived from wet spells and number of heavy rainfall events. We can conclude that a\nsignificant proportion of the global land area was increasingly affected by a significant change in climatic extremes during the second half of the 20th century. These clear signs of change are very robust; however, large areas are still not represented,\nespecially Africa and South America.","container-title":"Climate Research","DOI":"10.3354/cr019193","ISSN":"0936-577X, 1616-1572","issue":"3","language":"en","page":"193-212","source":"www.int-res.com","title":"Observed coherent changes in climatic extremes during the second half of the twentieth century","volume":"19","author":[{"family":"Frich","given":"P."},{"family":"Alexander","given":"L. V."},{"family":"Della-Marta","given":"P."},{"family":"Gleason","given":"B."},{"family":"Haylock","given":"M."},{"family":"Tank","given":"A. M. G. Klein"},{"family":"Peterson","given":"T."}],"issued":{"date-parts":[["2002",1,16]]}}}],"schema":"https://github.com/citation-style-language/schema/raw/master/csl-citation.json"}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(Frich et al., 2002)</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While it is a useful approach for exploring deviations from normal values, a fixed threshold is not applicable in all regions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{"citationID":"NsJNfkja","properties":{"formattedCitation":"(Kiktev et al., 2003)","plainCitation":"(Kiktev et al., 2003)","noteIndex":0},"citationItems":[{"id":392,"uris":["http://zotero.org/users/3110659/items/T6UEZXFX"],"itemData":{"id":392,"type":"article-journal","abstract":"Abstract Gridded trends of annual values of various climate extreme indices were estimated for 1950 to 1995, presenting a clearer picture of the patterns of trends in climate extremes than has been seen with raw station data. The gridding also allows one, for the first time, to compare these observed trends with those simulated by a suite of climate model runs forced by observed changes in sea surface temperatures, sea ice extent, and various combinations of human-induced forcings. Bootstrapping techniques are used to assess the uncertainty in the gridded trend estimates and the field significance of the patterns of observed trends. The findings mainly confirm earlier, less objectively derived, results based on station data. There have been significant decreases in the number of frost days and increases in the number of very warm nights over much of the Northern Hemisphere. Regions of significant increases in rainfall extremes and decreases in the number of consecutive dry days are smaller in extent. However, patterns of trends in annual maximum 5-day rainfall totals were not significant. Comparisons of the observed trend estimates with those simulated by the climate model indicate that the inclusion of anthropogenic effects in the model integrations, in particular increasing greenhouse gases, significantly improves the simulation of changing extremes in temperatures. This analysis provides good evidence that human-induced forcing has recently played an important role in extreme climate. The model shows little skill in simulating changing precipitation extremes.","container-title":"Journal of Climate","DOI":"10.1175/1520-0442(2003)016&lt;3560:COMAOT&gt;2.0.CO;2","ISSN":"0894-8755, 1520-0442","issue":"22","language":"EN","note":"publisher: American Meteorological Society\nsection: Journal of Climate","page":"3560-3571","source":"journals.ametsoc.org","title":"Comparison of Modeled and Observed Trends in Indices of Daily Climate Extremes","volume":"16","author":[{"family":"Kiktev","given":"Dmitry"},{"family":"Sexton","given":"David M. H."},{"family":"Alexander","given":"Lisa"},{"family":"Folland","given":"Chris K."}],"issued":{"date-parts":[["2003",11,15]]}}}],"schema":"https://github.com/citation-style-language/schema/raw/master/csl-citation.json"}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(Kiktev et al., 2003)</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The Heat Wave Magnitude Index (HWMI) defines a heat wave as at least three consecutive days where the daily maximum temperature exceeds the 90th percentile threshold of the average of a 31-day reference window during 1981-2020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{"citationID":"TSqdWLNw","properties":{"formattedCitation":"(Russo et al., 2014)","plainCitation":"(Russo et al., 2014)","noteIndex":0},"citationItems":[{"id":339,"uris":["http://zotero.org/users/3110659/items/ZP5GRD32"],"itemData":{"id":339,"type":"article-journal","abstract":"AbstractAn extreme heat wave occurred in Russia in the summer of 2010. It had serious impacts on humans and natural ecosystems, it was the strongest recorded globally in recent decades and exceeded in amplitude and spatial extent the previous hottest European summer in 2003. Earlier studies have not succeeded in comparing the magnitude of heat waves across continents and in time. This study introduces a new Heat Wave Magnitude Index that can be compared over space and time. The index is based on the analysis of daily maximum temperature in order to classify the strongest heat waves that occurred worldwide during the three study periods 1980–1990, 1991–2001, and 2002–2012. In addition, multimodel ensemble outputs from the Coupled Model Intercomparison Project Phase 5 are used to project future occurrence and severity of heat waves, under different Representative Concentration Pathways, adopted by the Intergovernmental Panel on Climate Change for its Fifth Assessment Report (AR5). Results show that the percentage of global area affected by heat waves has increased in recent decades. Moreover, model predictions reveal an increase in the probability of occurrence of extreme and very extreme heat waves in the coming years, in particular, by the end of this century, under the most severe IPCC AR5 scenario, events of the same severity as that in Russia in the summer of 2010 will become the norm and are projected to occur as often as every 2 years for regions such as southern Europe, North America, South America, Africa, and Indonesia.","container-title":"Journal of Geophysical Research: Atmospheres","DOI":"10.1002/2014JD022098","ISSN":"2169-8996","issue":"22","language":"en","note":"_eprint: https://onlinelibrary.wiley.com/doi/pdf/10.1002/2014JD022098","page":"12,500-12,512","source":"Wiley Online Library","title":"Magnitude of extreme heat waves in present climate and their projection in a warming world","volume":"119","author":[{"family":"Russo","given":"Simone"},{"family":"Dosio","given":"Alessandro"},{"family":"Graversen","given":"Rune G."},{"family":"Sillmann","given":"Jana"},{"family":"Carrao","given":"Hugo"},{"family":"Dunbar","given":"Martha B."},{"family":"Singleton","given":"Andrew"},{"family":"Montagna","given":"Paolo"},{"family":"Barbola","given":"Paulo"},{"family":"Vogt","given":"Jürgen V."}],"issued":{"date-parts":[["2014"]]}}}],"schema":"https://github.com/citation-style-language/schema/raw/master/csl-citation.json"}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(Russo et al., 2014)</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Researchers used a similar definition to analyze heat wave occurrences with varying numbers of consecutive days, temperature scales, thresholds, and reference windows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{"citationID":"1QS7poQ5","properties":{"formattedCitation":"(Fischer &amp; Sch\\uc0\\u228{}r, 2010; M. Luo &amp; Lau, 2020; Perkins &amp; Alexander, 2013)","plainCitation":"(Fischer &amp; Schär, 2010; M. Luo &amp; Lau, 2020; Perkins &amp; Alexander, 2013)","noteIndex":0},"citationItems":[{"id":395,"uris":["http://zotero.org/users/3110659/items/ANSASJL8"],"itemData":{"id":395,"type":"article-journal","abstract":"Climate-change projections suggest that European summer heatwaves will become more frequent and severe during this century. An analysis of a set of high-resolution regional climate simulations reveals consistent geographical patterns in these changes, with the most severe health impacts in southern European river basins and along the Mediterranean coasts.","container-title":"Nature Geoscience","DOI":"10.1038/ngeo866","ISSN":"1752-0908","issue":"6","journalAbbreviation":"Nature Geosci","language":"en","license":"2010 Nature Publishing Group","note":"number: 6\npublisher: Nature Publishing Group","page":"398-403","source":"www.nature.com","title":"Consistent geographical patterns of changes in high-impact European heatwaves","volume":"3","author":[{"family":"Fischer","given":"E. M."},{"family":"Schär","given":"C."}],"issued":{"date-parts":[["2010",6]]}}},{"id":416,"uris":["http://zotero.org/users/3110659/items/JSFT4VJ2"],"itemData":{"id":416,"type":"article-journal","abstract":"Understanding the variations of extreme weather/climate events is important to improve the seasonal forecast skill of such harmful events. Previous studies have linked boreal summer hot extremes to decaying El Niño-Southern Oscillation (ENSO) events at the interannual scale, but how these hot extreme episodes respond to developing ENSO events remains unclear. Using observational analyses, we demonstrate strong linkages between developing ENSO and extreme heat events in northern continents. In particular, heat extremes in North America, Eastern Europe–Central Asia and Northeast Asia tend to be more frequent during La Niña developing summers and less frequent during El Niño developing phases. Associated atmospheric changes reveal that developing ENSO events feature a circumglobal teleconnection (CGT) pattern over the mid-latitudes. In the La Niña developing summer, this CGT pattern exhibits enhanced geopotential height and anomalous anticyclones over North Pacific, North America, Eastern Europe–Central Asia and Northeastern Asia, and the jet stream generally shifts northward. The atmospheric circulation changes lead to more persistent weather conditions that favor extreme heat events in mid-latitudes. Conversely, opposite changes associated with developing El Niño can inhibit heat extremes in the above locations. The responses of heat extremes to different types (i.e., conventional Eastern Pacific and Modoki Central Pacific) and durations (1 and 2 year) of ENSO events are also discussed.","container-title":"Environmental Research Letters","DOI":"10.1088/1748-9326/ab7d07","ISSN":"1748-9326","issue":"7","journalAbbreviation":"Environ. Res. Lett.","language":"en","note":"publisher: IOP Publishing","page":"074042","source":"Institute of Physics","title":"Summer heat extremes in northern continents linked to developing ENSO events","volume":"15","author":[{"family":"Luo","given":"Ming"},{"family":"Lau","given":"Ngar-Cheung"}],"issued":{"date-parts":[["2020",7]]}}},{"id":413,"uris":["http://zotero.org/users/3110659/items/3X2J3W46"],"itemData":{"id":413,"type":"article-journal","abstract":"Abstract Despite their adverse impacts, definitions and measurements of heat waves are ambiguous and inconsistent, generally being endemic to only the group affected, or the respective study reporting the analysis. The present study addresses this issue by employing a set of three heat wave definitions, derived from surveying heat-related indices in the climate science literature. The definitions include three or more consecutive days above one of the following: the 90th percentile for maximum temperature, the 90th percentile for minimum temperature, and positive extreme heat factor (EHF) conditions. Additionally, each index is studied using a multiaspect framework measuring heat wave number, duration, participating days, and the peak and mean magnitudes. Observed climatologies and trends computed by Sen's Kendall slope estimator are presented for the Australian continent for two time periods (1951–2008 and 1971–2008). Trends in all aspects and definitions are smaller in magnitude but more significant for 1951–2008 than for 1971–2008. Considerable similarities exist in trends of the yearly number of days participating in a heat wave and yearly heat wave frequency, suggesting that the number of available heat wave days drives the number of events. Larger trends in the hottest part of a heat wave suggest that heat wave intensity is increasing faster than the mean magnitude. Although the direct results of this study cannot be inferred for other regions, the methodology has been designed as such that it is widely applicable. Furthermore, it includes a range of definitions that may be useful for a wide range of systems impacted by heat waves.","container-title":"Journal of Climate","DOI":"10.1175/JCLI-D-12-00383.1","ISSN":"0894-8755, 1520-0442","issue":"13","language":"EN","note":"publisher: American Meteorological Society\nsection: Journal of Climate","page":"4500-4517","source":"journals.ametsoc.org","title":"On the Measurement of Heat Waves","volume":"26","author":[{"family":"Perkins","given":"S. E."},{"family":"Alexander","given":"L. V."}],"issued":{"date-parts":[["2013",7,1]]}}}],"schema":"https://github.com/citation-style-language/schema/raw/master/csl-citation.json"}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(Fischer &amp; Schär, 2010; M. Luo &amp; Lau, 2020; Perkins &amp; Alexander, 2013)</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Because the length of the reference window and the percentile threshold can easily be </w:t>
      </w:r>
      <w:r w:rsidRPr="008E4EFB">
        <w:rPr>
          <w:rFonts w:ascii="Times New Roman" w:eastAsia="Times New Roman" w:hAnsi="Times New Roman" w:cs="Times New Roman"/>
          <w:sz w:val="24"/>
          <w:szCs w:val="24"/>
        </w:rPr>
        <w:lastRenderedPageBreak/>
        <w:t xml:space="preserve">changed, we use </w:t>
      </w:r>
      <w:proofErr w:type="gramStart"/>
      <w:r w:rsidRPr="008E4EFB">
        <w:rPr>
          <w:rFonts w:ascii="Times New Roman" w:eastAsia="Times New Roman" w:hAnsi="Times New Roman" w:cs="Times New Roman"/>
          <w:sz w:val="24"/>
          <w:szCs w:val="24"/>
        </w:rPr>
        <w:t>the HWMI</w:t>
      </w:r>
      <w:proofErr w:type="gramEnd"/>
      <w:r w:rsidRPr="008E4EFB">
        <w:rPr>
          <w:rFonts w:ascii="Times New Roman" w:eastAsia="Times New Roman" w:hAnsi="Times New Roman" w:cs="Times New Roman"/>
          <w:sz w:val="24"/>
          <w:szCs w:val="24"/>
        </w:rPr>
        <w:t xml:space="preserve"> to reach a more comprehensive view of future heat waves by varying the percentile threshold and reference window time frame. </w:t>
      </w:r>
    </w:p>
    <w:p w14:paraId="11913D76" w14:textId="11652BA3" w:rsidR="00652E13" w:rsidRPr="008E4EFB" w:rsidRDefault="00652E13"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While we do not explicitly focus on winter heat waves in </w:t>
      </w:r>
      <w:r w:rsidR="00BE3B41" w:rsidRPr="008E4EFB">
        <w:rPr>
          <w:rFonts w:ascii="Times New Roman" w:eastAsia="Times New Roman" w:hAnsi="Times New Roman" w:cs="Times New Roman"/>
          <w:sz w:val="24"/>
          <w:szCs w:val="24"/>
        </w:rPr>
        <w:t>my</w:t>
      </w:r>
      <w:r w:rsidRPr="008E4EFB">
        <w:rPr>
          <w:rFonts w:ascii="Times New Roman" w:eastAsia="Times New Roman" w:hAnsi="Times New Roman" w:cs="Times New Roman"/>
          <w:sz w:val="24"/>
          <w:szCs w:val="24"/>
        </w:rPr>
        <w:t xml:space="preserve"> index comparison, </w:t>
      </w:r>
      <w:r w:rsidR="00BE3B41" w:rsidRPr="008E4EFB">
        <w:rPr>
          <w:rFonts w:ascii="Times New Roman" w:eastAsia="Times New Roman" w:hAnsi="Times New Roman" w:cs="Times New Roman"/>
          <w:sz w:val="24"/>
          <w:szCs w:val="24"/>
        </w:rPr>
        <w:t>I</w:t>
      </w:r>
      <w:r w:rsidRPr="008E4EFB">
        <w:rPr>
          <w:rFonts w:ascii="Times New Roman" w:eastAsia="Times New Roman" w:hAnsi="Times New Roman" w:cs="Times New Roman"/>
          <w:sz w:val="24"/>
          <w:szCs w:val="24"/>
        </w:rPr>
        <w:t xml:space="preserve"> still include them in </w:t>
      </w:r>
      <w:r w:rsidR="00BE3B41" w:rsidRPr="008E4EFB">
        <w:rPr>
          <w:rFonts w:ascii="Times New Roman" w:eastAsia="Times New Roman" w:hAnsi="Times New Roman" w:cs="Times New Roman"/>
          <w:sz w:val="24"/>
          <w:szCs w:val="24"/>
        </w:rPr>
        <w:t>my</w:t>
      </w:r>
      <w:r w:rsidRPr="008E4EFB">
        <w:rPr>
          <w:rFonts w:ascii="Times New Roman" w:eastAsia="Times New Roman" w:hAnsi="Times New Roman" w:cs="Times New Roman"/>
          <w:sz w:val="24"/>
          <w:szCs w:val="24"/>
        </w:rPr>
        <w:t xml:space="preserve"> analysis rather than limiting </w:t>
      </w:r>
      <w:r w:rsidR="00BE3B41" w:rsidRPr="008E4EFB">
        <w:rPr>
          <w:rFonts w:ascii="Times New Roman" w:eastAsia="Times New Roman" w:hAnsi="Times New Roman" w:cs="Times New Roman"/>
          <w:sz w:val="24"/>
          <w:szCs w:val="24"/>
        </w:rPr>
        <w:t>my</w:t>
      </w:r>
      <w:r w:rsidRPr="008E4EFB">
        <w:rPr>
          <w:rFonts w:ascii="Times New Roman" w:eastAsia="Times New Roman" w:hAnsi="Times New Roman" w:cs="Times New Roman"/>
          <w:sz w:val="24"/>
          <w:szCs w:val="24"/>
        </w:rPr>
        <w:t xml:space="preserve"> work to the more commonly studied summer heat waves. Because winter heat waves (or “warm spells”) receive less attention compared to summer heat waves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{"citationID":"TmSy5ZjE","properties":{"formattedCitation":"(Staddon et al., 2014)","plainCitation":"(Staddon et al., 2014)","noteIndex":0},"citationItems":[{"id":1965,"uris":["http://zotero.org/users/3110659/items/NZSRVQXI"],"itemData":{"id":1965,"type":"article-journal","abstract":"Recent reports suggest that anthropogenic climate change is likely to decrease winter mortality in temperature countries as winters warm. Research now finds that the link between winter temperatures and excess winter deaths in England and Wales, over the period 1951–2011, is significant only until the mid 1970s, other factors explaining any variation in excess winter mortality since then.","container-title":"Nature Climate Change","DOI":"10.1038/nclimate2121","ISSN":"1758-6798","issue":"3","journalAbbreviation":"Nature Clim Change","language":"en","license":"2014 Nature Publishing Group","note":"number: 3\npublisher: Nature Publishing Group","page":"190-194","source":"www.nature.com","title":"Climate warming will not decrease winter mortality","volume":"4","author":[{"family":"Staddon","given":"Philip L."},{"family":"Montgomery","given":"Hugh E."},{"family":"Depledge","given":"Michael H."}],"issued":{"date-parts":[["2014",3]]}}}],"schema":"https://github.com/citation-style-language/schema/raw/master/csl-citation.json"}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(Staddon et al., 2014)</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the negative side effects of warm winters can be underestimated. Biogeochemical and carbon cycles can be interrupted by these warm spells and this results in increased nitrogen leaching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{"citationID":"JAuzFUBr","properties":{"formattedCitation":"(Kreyling et al., 2015)","plainCitation":"(Kreyling et al., 2015)","noteIndex":0},"citationItems":[{"id":1970,"uris":["http://zotero.org/users/3110659/items/9XAJBURJ"],"itemData":{"id":1970,"type":"article-journal","abstract":"Leaching of nitrogen (N) from natural ecosystems poses serious environmental problems. Extreme events such as winter warm spells could exacerbate N leaching by disrupting biogeochemical cycles and will become more frequent with the projected climate change.","container-title":"Plant and Soil","DOI":"10.1007/s11104-015-2587-1","ISSN":"1573-5036","issue":"1","journalAbbreviation":"Plant Soil","language":"en","page":"85-96","source":"Springer Link","title":"Nitrogen leaching is enhanced after a winter warm spell but mainly controlled by vegetation composition in temperate zone mesocosms","volume":"396","author":[{"family":"Kreyling","given":"Juergen"},{"family":"Schuerings","given":"Jan"},{"family":"Malyshev","given":"Andrey V."},{"family":"Vogt","given":"Lukas"},{"family":"Werner","given":"Christiane"},{"family":"Jentsch","given":"Anke"}],"issued":{"date-parts":[["2015",11,1]]}}}],"schema":"https://github.com/citation-style-language/schema/raw/master/csl-citation.json"}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(Kreyling et al., 2015)</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and carbon loss from respiration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{"citationID":"9CK1H2Ob","properties":{"formattedCitation":"(Z. Liu et al., 2020)","plainCitation":"(Z. Liu et al., 2020)","noteIndex":0},"citationItems":[{"id":1975,"uris":["http://zotero.org/users/3110659/items/9I7MT3WQ"],"itemData":{"id":1975,"type":"article-journal","abstract":"Arctic and boreal ecosystems play an important role in the global carbon (C) budget, and whether they act as a future net C sink or source depends on climate and environmental change. Here, we used complementary in situ measurements, model simulations, and satellite observations to investigate the net carbon dioxide (CO2) seasonal cycle and its climatic and environmental controls across Alaska and northwestern Canada during the anomalously warm winter to spring conditions of 2015 and 2016 (relative to 2010–2014). In the warm spring, we found that photosynthesis was enhanced more than respiration, leading to greater CO2 uptake. However, photosynthetic enhancement from spring warming was partially offset by greater ecosystem respiration during the preceding anomalously warm winter, resulting in nearly neutral effects on the annual net CO2 balance. Eddy covariance CO2 flux measurements showed that air temperature has a primary influence on net CO2 exchange in winter and spring, while soil moisture has a primary control on net CO2 exchange in the fall. The net CO2 exchange was generally more moisture limited in the boreal region than in the Arctic tundra. Our analysis indicates complex seasonal interactions of underlying C cycle processes in response to changing climate and hydrology that may not manifest in changes in net annual CO2 exchange. Therefore, a better understanding of the seasonal response of C cycle processes may provide important insights for predicting future carbon–climate feedbacks and their consequences on atmospheric CO2 dynamics in the northern high latitudes.","container-title":"Global Change Biology","DOI":"10.1111/gcb.14863","ISSN":"1365-2486","issue":"2","language":"en","note":"_eprint: https://onlinelibrary.wiley.com/doi/pdf/10.1111/gcb.14863","page":"682-696","source":"Wiley Online Library","title":"Increased high-latitude photosynthetic carbon gain offset by respiration carbon loss during an anomalous warm winter to spring transition","volume":"26","author":[{"family":"Liu","given":"Zhihua"},{"family":"Kimball","given":"John S."},{"family":"Parazoo","given":"Nicholas C."},{"family":"Ballantyne","given":"Ashley P."},{"family":"Wang","given":"Wen J."},{"family":"Madani","given":"Nima"},{"family":"Pan","given":"Caleb G."},{"family":"Watts","given":"Jennifer D."},{"family":"Reichle","given":"Rolf H."},{"family":"Sonnentag","given":"Oliver"},{"family":"Marsh","given":"Philip"},{"family":"Hurkuck","given":"Miriam"},{"family":"Helbig","given":"Manuel"},{"family":"Quinton","given":"William L."},{"family":"Zona","given":"Donatella"},{"family":"Ueyama","given":"Masahito"},{"family":"Kobayashi","given":"Hideki"},{"family":"Euskirchen","given":"Eugénie S."}],"issued":{"date-parts":[["2020"]]}}}],"schema":"https://github.com/citation-style-language/schema/raw/master/csl-citation.json"}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(Z. Liu et al., 2020)</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which feeds into a positive feedback loop of worsening climate change. Additionally, increased glacial ablation (where warmer weather causes a rain-on-snow melting event) caused by heat waves can influence the yearly snow accumulation of the highly seasonal precipitation regime, which is a challenge for farming domestic food staples that rely on a steady water supply </w:t>
      </w:r>
      <w:r w:rsidRPr="008E4EFB">
        <w:rPr>
          <w:rFonts w:ascii="Times New Roman" w:eastAsia="Times New Roman" w:hAnsi="Times New Roman" w:cs="Times New Roman"/>
          <w:sz w:val="24"/>
          <w:szCs w:val="24"/>
        </w:rPr>
        <w:fldChar w:fldCharType="begin"/>
      </w:r>
      <w:r w:rsidRPr="008E4EFB">
        <w:rPr>
          <w:rFonts w:ascii="Times New Roman" w:eastAsia="Times New Roman" w:hAnsi="Times New Roman" w:cs="Times New Roman"/>
          <w:sz w:val="24"/>
          <w:szCs w:val="24"/>
        </w:rPr>
        <w:instrText xml:space="preserve"> ADDIN ZOTERO_ITEM CSL_CITATION {"citationID":"ckgIPxQ8","properties":{"formattedCitation":"(Br\\uc0\\u225{}s et al., 2021; Colucci et al., 2017; Dierauer et al., 2019; Watanabe et al., 2020)","plainCitation":"(Brás et al., 2021; Colucci et al., 2017; Dierauer et al., 2019; Watanabe et al., 2020)","noteIndex":0},"citationItems":[{"id":1972,"uris":["http://zotero.org/users/3110659/items/D86WNNM8"],"itemData":{"id":1972,"type":"article-journal","abstract":"We document the occurrence in December 2015 of unprecedented high monthly mean temperatures in the observational record of mountain sites in the eastern Alps. For the first time in the last 150 years mean December temperature exceeded 0 °C at elevations between 2100 and 2500 m, with December mean anomalies exceeding 6.5 °C with respect to the 1971–2000 mean. Along with the absence of snow cover, such temperatures might have lead to unprecedented winter ablation of glaciers in this elevation range. Smaller temperature anomalies occurred in surrounding low elevation sites, highlighting the key role of topography in this event. Specifically, strong inversions associated with the very stable synoptic conditions during the month amplified the anomalies at the high elevations of the mountain glacier sites. We analyze the processes underlying this exceptional event and place this anomaly within the context of future warming scenarios over the region.","container-title":"Scientific Reports","DOI":"10.1038/s41598-017-07415-1","ISSN":"2045-2322","issue":"1","journalAbbreviation":"Sci Rep","language":"en","license":"2017 The Author(s)","note":"number: 1\npublisher: Nature Publishing Group","page":"7090","source":"www.nature.com","title":"Unprecedented heat wave in December 2015 and potential for winter glacier ablation in the eastern Alps","volume":"7","author":[{"family":"Colucci","given":"Renato R."},{"family":"Giorgi","given":"Filippo"},{"family":"Torma","given":"Csaba"}],"issued":{"date-parts":[["2017",8,2]]}}},{"id":2147,"uris":["http://zotero.org/users/3110659/items/EJULU9L4"],"itemData":{"id":2147,"type":"article-journal","abstract":"In western North America (WNA), mountain snowpack supplies much of the water used for irrigation, municipal, and industrial uses. Thus, snow droughts (a lack of snow accumulation in winter) can have drastic ecological and socioeconomic impacts. In this study, the historical (1951–2013) frequency, severity, and risk (frequency × severity) of dry, warm, and warm and dry snow droughts are quantified at the grid-cell and ecoregion scale for snow-dominated regions in the western United States and southwestern Canada (sWNA). Based on multiple linear regression analysis, relationships between mean winter temperature, snow drought risk, and snow water equivalent sensitivity are explored. Piecewise linear regression is used to identify temperature thresholds for mapping temperature-related snow drought susceptibility. Results highlight spatial differences in snow drought regimes across sWNA and reveal that temperature thresholds exist at −3.1 °C (±0.3 °C) and 1.4 °C (±0.3 °C), above which the warm snow drought risk increases more rapidly. Approximately 3% of the nonglaciated snow storage in this region has high susceptibility to temperature-related snow drought, representing 11 km3 of water, or approximately one third the capacity of Lake Mead. Under a +2 °C climate scenario, an additional 8% (28 km3) of this snow storage volume will transition to high susceptibility.","container-title":"Water Resources Research","DOI":"10.1029/2018WR023229","ISSN":"1944-7973","issue":"4","language":"en","note":"_eprint: https://onlinelibrary.wiley.com/doi/pdf/10.1029/2018WR023229","page":"3076-3091","source":"Wiley Online Library","title":"Snow Drought Risk and Susceptibility in the Western United States and Southwestern Canada","volume":"55","author":[{"family":"Dierauer","given":"Jennifer R."},{"family":"Allen","given":"Diana M."},{"family":"Whitfield","given":"Paul H."}],"issued":{"date-parts":[["2019"]]}}},{"id":2144,"uris":["http://zotero.org/users/3110659/items/XRTL6JCC"],"itemData":{"id":2144,"type":"article-journal","abstract":"This study highlights the severity of the low snow water equivalent (SWE) and remarkably high temperatures in 2020 in Japan, where reductions in SWE have significant impacts on society due to its importance for water resources. A continuous 60-year land surface simulation forced by reanalysis data revealed that the low SWE in many river basins in the southern snowy region of mainland Japan are the most severe on record. The impact of the remarkably high temperatures in 2020 on the low SWE was investigated by considering the relationships among SWE, temperature, and precipitation. The main difference between the 2020 case and prior periods of low SWE is the record-breaking high temperatures. Despite the fact that SWE was the lowest in 2020, precipitation was much higher than that in 2019, which was one of the lowest SWE on record pre-2020. The results indicate the possibility that even more serious low-SWE periods will be caused if lower precipitation and higher temperatures occur simultaneously.","container-title":"Scientific Reports","DOI":"10.1038/s41598-020-75440-8","ISSN":"2045-2322","issue":"1","journalAbbreviation":"Sci Rep","language":"en","license":"2020 The Author(s)","note":"number: 1\npublisher: Nature Publishing Group","page":"18541","source":"www.nature.com","title":"Snow water scarcity induced by record-breaking warm winter in 2020 in Japan","volume":"10","author":[{"family":"Watanabe","given":"Satoshi"},{"family":"Kotsuki","given":"Shunji"},{"family":"Kanae","given":"Shinjiro"},{"family":"Tanaka","given":"Kenji"},{"family":"Higuchi","given":"Atsushi"}],"issued":{"date-parts":[["2020",10,29]]}}},{"id":2285,"uris":["http://zotero.org/users/3110659/items/HH74C4EM"],"itemData":{"id":2285,"type":"article-journal","abstract":"Extreme weather disasters (EWDs) can jeopardize domestic food supply and disrupt commodity markets. However, historical impacts on European crop production associated with droughts, heatwaves, floods, and cold waves are not well understood—especially in view of potential adverse trends in the severity of impacts due to climate change. Here, we combine observational agricultural data (FAOSTAT) with an extreme weather disaster database (EM-DAT) between 1961 and 2018 to evaluate European crop production responses to EWD. Using a compositing approach (superposed epoch analysis), we show that historical droughts and heatwaves reduced European cereal yields on average by 9% and 7.3%, respectively, associated with a wide range of responses (inter-quartile range +2% to −23%; +2% to −17%). Non-cereal yields declined by 3.8% and 3.1% during the same set of events. Cold waves led to cereal and non-cereal yield declines by 1.3% and 2.6%, while flood impacts were marginal and not statistically significant. Production losses are largely driven by yield declines, with no significant changes in harvested area. While all four event frequencies significantly increased over time, the severity of heatwave and drought impacts on crop production roughly tripled over the last 50 years, from −2.2% (1964–1990) to −7.3% (1991–2015). Drought-related cereal production losses are shown to intensify by more than 3% yr−1. Both the trend in frequency and severity can possibly be explained by changes in the vulnerability of the exposed system and underlying climate change impacts.","container-title":"Environmental Research Letters","DOI":"10.1088/1748-9326/abf004","ISSN":"1748-9326","issue":"6","journalAbbreviation":"Environ. Res. Lett.","language":"en","note":"publisher: IOP Publishing","page":"065012","source":"Institute of Physics","title":"Severity of drought and heatwave crop losses tripled over the last five decades in Europe","volume":"16","author":[{"family":"Brás","given":"Teresa Armada"},{"family":"Seixas","given":"Júlia"},{"family":"Carvalhais","given":"Nuno"},{"family":"Jägermeyr","given":"Jonas"}],"issued":{"date-parts":[["2021",6]]}}}],"schema":"https://github.com/citation-style-language/schema/raw/master/csl-citation.json"}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(Brás et al., 2021; Colucci et al., 2017; Dierauer et al., 2019; Watanabe et al., 2020)</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w:t>
      </w:r>
    </w:p>
    <w:p w14:paraId="36860C3F" w14:textId="11097241" w:rsidR="002C3414" w:rsidRPr="008E4EFB" w:rsidRDefault="002C3414"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This research aims to understand how regional heat waves, an urgent climate hazard, may evolve across the Conterminous US (CONUS) in the near-term future using a newly released dataset with downscaled CMIP6 projection. Through the comparison of heat wave indices derived from gridded meteorological observations, raw and downscaled CMIP6 GCMs, we evaluate the differences between projections due to the choice of downscaling method through the lens of heat waves. </w:t>
      </w:r>
      <w:r w:rsidR="00853B17" w:rsidRPr="008E4EFB">
        <w:rPr>
          <w:rFonts w:ascii="Times New Roman" w:eastAsia="Times New Roman" w:hAnsi="Times New Roman" w:cs="Times New Roman"/>
          <w:sz w:val="24"/>
          <w:szCs w:val="24"/>
        </w:rPr>
        <w:t>My</w:t>
      </w:r>
      <w:r w:rsidRPr="008E4EFB">
        <w:rPr>
          <w:rFonts w:ascii="Times New Roman" w:eastAsia="Times New Roman" w:hAnsi="Times New Roman" w:cs="Times New Roman"/>
          <w:sz w:val="24"/>
          <w:szCs w:val="24"/>
        </w:rPr>
        <w:t xml:space="preserve"> work emphasizes the importance of fine spatial and temporal resolution for regional-scale projections and demonstrates that dynamical downscaling, though computationally intensive, can lead to more reliable results for the purpose of human health, ecosystem, crop damages, and other regionally focused impact assessments. </w:t>
      </w:r>
    </w:p>
    <w:p w14:paraId="3F3C2640" w14:textId="2E33BAC6" w:rsidR="003D1E3D" w:rsidRPr="008E4EFB" w:rsidRDefault="003D1E3D" w:rsidP="00DC4266">
      <w:pPr>
        <w:pStyle w:val="Style3"/>
        <w:numPr>
          <w:ilvl w:val="1"/>
          <w:numId w:val="30"/>
        </w:numPr>
        <w:spacing w:before="0" w:line="360" w:lineRule="auto"/>
        <w:rPr>
          <w:rFonts w:cs="Times New Roman"/>
          <w:szCs w:val="24"/>
        </w:rPr>
      </w:pPr>
      <w:bookmarkStart w:id="67" w:name="_Toc179917988"/>
      <w:r w:rsidRPr="008E4EFB">
        <w:rPr>
          <w:rFonts w:cs="Times New Roman"/>
          <w:szCs w:val="24"/>
        </w:rPr>
        <w:t>Methods and Data</w:t>
      </w:r>
      <w:bookmarkEnd w:id="67"/>
    </w:p>
    <w:p w14:paraId="52CF918B" w14:textId="77777777" w:rsidR="00820C7D" w:rsidRPr="008E4EFB" w:rsidRDefault="00820C7D"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Three gridded meteorological observation datasets are used in this study. They include: </w:t>
      </w:r>
    </w:p>
    <w:p w14:paraId="000F557F" w14:textId="6B278C37" w:rsidR="00820C7D" w:rsidRPr="008E4EFB" w:rsidRDefault="00820C7D" w:rsidP="00DC4266">
      <w:pPr>
        <w:numPr>
          <w:ilvl w:val="0"/>
          <w:numId w:val="17"/>
        </w:numPr>
        <w:spacing w:after="0" w:line="360" w:lineRule="auto"/>
        <w:contextualSpacing/>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Daymet: Daymet version 4 is available through Oak Ridge National Laboratory (ORNL) Distributed Active Archive Center (DAAC) (https://daymet.ornl.gov/). It provides 1-km horizontal resolution daily gridded surface meteorological variables in North America from 1980 until the present. Daymet is produced by assimilating ground-based observations through multivariate spatial regression </w:t>
      </w:r>
      <w:r w:rsidRPr="008E4EFB">
        <w:rPr>
          <w:rFonts w:ascii="Times New Roman" w:eastAsia="Times New Roman" w:hAnsi="Times New Roman" w:cs="Times New Roman"/>
          <w:sz w:val="24"/>
          <w:szCs w:val="24"/>
        </w:rPr>
        <w:fldChar w:fldCharType="begin"/>
      </w:r>
      <w:r w:rsidR="0059488F" w:rsidRPr="008E4EFB">
        <w:rPr>
          <w:rFonts w:ascii="Times New Roman" w:eastAsia="Times New Roman" w:hAnsi="Times New Roman" w:cs="Times New Roman"/>
          <w:sz w:val="24"/>
          <w:szCs w:val="24"/>
        </w:rPr>
        <w:instrText xml:space="preserve"> ADDIN ZOTERO_ITEM CSL_CITATION {"citationID":"m14e7Z2V","properties":{"formattedCitation":"(M. M. Thornton et al., 2020)","plainCitation":"(M. M. Thornton et al., 2020)","noteIndex":0},"citationItems":[{"id":356,"uris":["http://zotero.org/users/3110659/items/NGJV37AP"],"itemData":{"id":356,"type":"document","language":"en","note":"DOI: 10.3334/ORNLDAAC/1840","publisher":"ORNL Distributed Active Archive Center","title":"Daymet: Daily Surface Weather Data on a 1-km Grid for North America, Version 4","URL":"https://daac.ornl.gov/cgi-bin/dsviewer.pl?ds_id=1840","author":[{"family":"Thornton","given":"M.M."},{"family":"Shrestha","given":"R."},{"family":"Wei","given":"Y."},{"family":"Thornton","given":"P.E."},{"family":"Kao","given":"S."},{"family":"Wilson","given":"B.E."}],"issued":{"date-parts":[["2020"]]}}}],"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59488F" w:rsidRPr="008E4EFB">
        <w:rPr>
          <w:rFonts w:ascii="Times New Roman" w:hAnsi="Times New Roman" w:cs="Times New Roman"/>
          <w:sz w:val="24"/>
          <w:szCs w:val="24"/>
        </w:rPr>
        <w:t>(M. M. Thornton et al., 2020)</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w:t>
      </w:r>
      <w:r w:rsidRPr="008E4EFB">
        <w:rPr>
          <w:rFonts w:ascii="Times New Roman" w:eastAsia="Times New Roman" w:hAnsi="Times New Roman" w:cs="Times New Roman"/>
          <w:sz w:val="24"/>
          <w:szCs w:val="24"/>
        </w:rPr>
        <w:lastRenderedPageBreak/>
        <w:t>Daymet has served as the reference meteorologic observation for both dynamically and statistically downscaled CMIP6 GCMs used in this study.</w:t>
      </w:r>
    </w:p>
    <w:p w14:paraId="674F8E00" w14:textId="7150FF3B" w:rsidR="00820C7D" w:rsidRPr="008E4EFB" w:rsidRDefault="00820C7D" w:rsidP="00DC4266">
      <w:pPr>
        <w:numPr>
          <w:ilvl w:val="0"/>
          <w:numId w:val="17"/>
        </w:numPr>
        <w:spacing w:after="0" w:line="360" w:lineRule="auto"/>
        <w:contextualSpacing/>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NClimGrid: National Ocean and Atmospheric Administration (NOAA) Daily U.S. Climate Gridded Dataset (NClimGrid) aggregates measurements from the Global Historical Climatology Network-Daily (GHCN-Daily) dataset to provide daily gridded meteorological observations at 1/24° horizontal resolution across the CONUS. Similar to Daymet, the gridded dataset is also created through interpolation between station locations and over differing elevations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{"citationID":"LMLoP4Z1","properties":{"formattedCitation":"(Vose et al., 2014)","plainCitation":"(Vose et al., 2014)","noteIndex":0},"citationItems":[{"id":2291,"uris":["http://zotero.org/users/3110659/items/9YUZP4FN"],"itemData":{"id":2291,"type":"article-journal","abstract":"Abstract This paper describes an improved edition of the climate division dataset for the conterminous United States (i.e., version 2). The first improvement is to the input data, which now include additional station networks, quality assurance reviews, and temperature bias adjustments. The second improvement is to the suite of climatic elements, which now includes both maximum and minimum temperatures. The third improvement is to the computational approach, which now employs climatologically aided interpolation to address topographic and network variability. Version 2 exhibits substantial differences from version 1 over the period 1895–2012. For example, divisional averages in version 2 tend to be cooler and wetter, particularly in mountainous areas of the western United States. Division-level trends in temperature and precipitation display greater spatial consistency in version 2. National-scale temperature trends in version 2 are comparable to those in the U.S. Historical Climatology Network whereas version 1 exhibits less warming as a result of historical changes in observing practices. Divisional errors in version 2 are likely less than 0.5°C for temperature and 20 mm for precipitation at the start of the record, falling rapidly thereafter. Overall, these results indicate that version 2 can supersede version 1 in both operational climate monitoring and applied climatic research.","container-title":"Journal of Applied Meteorology and Climatology","DOI":"10.1175/JAMC-D-13-0248.1","ISSN":"1558-8424, 1558-8432","issue":"5","language":"EN","note":"publisher: American Meteorological Society\nsection: Journal of Applied Meteorology and Climatology","page":"1232-1251","source":"journals.ametsoc.org","title":"Improved Historical Temperature and Precipitation Time Series for U.S. Climate Divisions","volume":"53","author":[{"family":"Vose","given":"Russell S."},{"family":"Applequist","given":"Scott"},{"family":"Squires","given":"Mike"},{"family":"Durre","given":"Imke"},{"family":"Menne","given":"Matthew J."},{"family":"Williams","given":"Claude N."},{"family":"Fenimore","given":"Chris"},{"family":"Gleason","given":"Karin"},{"family":"Arndt","given":"Derek"}],"issued":{"date-parts":[["2014",5,1]]}}}],"schema":"https://github.com/citation-style-language/schema/raw/master/csl-citation.json"}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(Vose et al., 2014)</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w:t>
      </w:r>
    </w:p>
    <w:p w14:paraId="72077DED" w14:textId="1270C86B" w:rsidR="00820C7D" w:rsidRPr="008E4EFB" w:rsidRDefault="00820C7D" w:rsidP="00DC4266">
      <w:pPr>
        <w:numPr>
          <w:ilvl w:val="0"/>
          <w:numId w:val="17"/>
        </w:numPr>
        <w:spacing w:after="0" w:line="360" w:lineRule="auto"/>
        <w:contextualSpacing/>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PRISM: The Parameter-elevation Relationships on Independent Slopes Model (PRISM) is another widely used gridded meteorological observation dataset. The publicly available PRISM provides 1/24° horizontal resolution daily gridded surface meteorological variables in the CONUS from 1980 until the present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{"citationID":"Jz67VFYy","properties":{"formattedCitation":"(Daly et al., 2008)","plainCitation":"(Daly et al., 2008)","noteIndex":0},"citationItems":[{"id":2298,"uris":["http://zotero.org/users/3110659/items/M7S6D8W5"],"itemData":{"id":2298,"type":"article-journal","abstract":"Spatial climate data sets of 1971–2000 mean monthly precipitation and minimum and maximum temperature were developed for the conterminous United States. These 30-arcsec (</w:instrText>
      </w:r>
      <w:r w:rsidR="00B864BC" w:rsidRPr="008E4EFB">
        <w:rPr>
          <w:rFonts w:ascii="Cambria Math" w:eastAsia="Times New Roman" w:hAnsi="Cambria Math" w:cs="Cambria Math"/>
          <w:sz w:val="24"/>
          <w:szCs w:val="24"/>
        </w:rPr>
        <w:instrText>∼</w:instrText>
      </w:r>
      <w:r w:rsidR="00B864BC" w:rsidRPr="008E4EFB">
        <w:rPr>
          <w:rFonts w:ascii="Times New Roman" w:eastAsia="Times New Roman" w:hAnsi="Times New Roman" w:cs="Times New Roman"/>
          <w:sz w:val="24"/>
          <w:szCs w:val="24"/>
        </w:rPr>
        <w:instrText xml:space="preserve">800-m) grids are the ofﬁcial spatial climate data sets of the U.S. Department of Agriculture. The PRISM (Parameter-elevation Relationships on Independent Slopes Model) interpolation method was used to develop data sets that reﬂected, as closely as possible, the current state of knowledge of spatial climate patterns in the United States. PRISM calculates a climate–elevation regression for each digital elevation model (DEM) grid cell, and stations entering the regression are assigned weights based primarily on the physiographic similarity of the station to the grid cell. Factors considered are location, elevation, coastal proximity, topographic facet orientation, vertical atmospheric layer, topographic position, and orographic effectiveness of the terrain. Surface stations used in the analysis numbered nearly 13 000 for precipitation and 10 000 for temperature. Station data were spatially quality controlled, and short-period-of-record averages adjusted to better reﬂect the 1971–2000 period.","container-title":"International Journal of Climatology","DOI":"10.1002/joc.1688","ISSN":"08998418, 10970088","issue":"15","journalAbbreviation":"Int. J. Climatol.","language":"en","page":"2031-2064","source":"DOI.org (Crossref)","title":"Physiographically sensitive mapping of climatological temperature and precipitation across the conterminous United States","volume":"28","author":[{"family":"Daly","given":"Christopher"},{"family":"Halbleib","given":"Michael"},{"family":"Smith","given":"Joseph I."},{"family":"Gibson","given":"Wayne P."},{"family":"Doggett","given":"Matthew K."},{"family":"Taylor","given":"George H."},{"family":"Curtis","given":"Jan"},{"family":"Pasteris","given":"Phillip P."}],"issued":{"date-parts":[["2008",12]]}}}],"schema":"https://github.com/citation-style-language/schema/raw/master/csl-citation.json"}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(Daly et al., 2008)</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It is available from the PRISM Climate Group at Oregon State University.</w:t>
      </w:r>
    </w:p>
    <w:p w14:paraId="2476D21A" w14:textId="27629F78" w:rsidR="00820C7D" w:rsidRPr="008E4EFB" w:rsidRDefault="00820C7D"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It should be noted that while these gridded meteorological observation datasets were derived from station-based observations (such as GHCN-Daily), given their different algorithm, local differences can be expected. For instance, the differences among Daymet and PRISM and other commonly used gridded datasets have been compared in prior studies</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{"citationID":"9zqR11Wr","properties":{"formattedCitation":"(Behnke et al., 2016; Timmermans et al., 2019)","plainCitation":"(Behnke et al., 2016; Timmermans et al., 2019)","noteIndex":0},"citationItems":[{"id":2300,"uris":["http://zotero.org/users/3110659/items/LJX3C7HG"],"itemData":{"id":2300,"type":"article-journal","abstract":"Noting a strong imperative to understand precipitation extremes, and that considerable uncertainty affects observational data sets, this paper compares the representation of extremes in a number of widely used daily gridded products, derived from rain gauge data, satellite retrieval and reanalysis for the conterminous United States. Analysis is based upon the concept of “tail dependence” arising in multivariate extreme value theory, and we infer the level of temporal dependence in the joint tail of the precipitation probability distribution for pairwise comparisons of products. In this way, we consider the range of products more like an ensemble and examine the relationships between members, and do not attempt to define, or compare products to, some ground truth. Linear correlation between products is also computed. Considerable discrepancy between groups of products, both annually and seasonally, is linked to source data and complex terrain. In particular, products based on rain gauge data showed remarkable similarity, but differed considerably, showing almost total loss of extremal dependence during DJF in mountainous regions, when compared with satellite products. Additionally, simulated re-forecasts revealed reasonable temporal agreement with large scale generated extremes. The diversity and extent of discrepancies identified across all products raises important questions about their use, and we urge caution, particularly for products derived from satellite data.","container-title":"Climate Dynamics","DOI":"10.1007/s00382-018-4537-0","ISSN":"0930-7575, 1432-0894","issue":"11","journalAbbreviation":"Clim Dyn","language":"en","page":"6651-6670","source":"DOI.org (Crossref)","title":"An evaluation of the consistency of extremes in gridded precipitation data sets","volume":"52","author":[{"family":"Timmermans","given":"Ben"},{"family":"Wehner","given":"Michael"},{"family":"Cooley","given":"Daniel"},{"family":"O’Brien","given":"Travis"},{"family":"Krishnan","given":"Harinarayan"}],"issued":{"date-parts":[["2019",6]]}}},{"id":2301,"uris":["http://zotero.org/users/3110659/items/C4MAI4AT"],"itemData":{"id":2301,"type":"article-journal","abstract":"Weather and climate affect many ecological processes, making spatially continuous yet fine-resolution weather data desirable for ecological research and predictions. Numerous downscaled weather data sets exist, but little attempt has been made to evaluate them systematically. Here we address this shortcoming by focusing on four major questions: (1) How accurate are downscaled, gridded climate data sets in terms of temperature and precipitation estimates? (2) Are there significant regional differences in accuracy among data sets? (3) How accurate are their mean values compared with extremes? (4) Does their accuracy depend on spatial resolution? We compared eight widely used downscaled data sets that provide gridded daily weather data for recent decades across the United States. We found considerable differences among data sets and between downscaled and weather station data. Temperature is represented more accurately than precipitation, and climate averages are more accurate than weather extremes. The data set exhibiting the best agreement with station data varies among ecoregions. Surprisingly, the accuracy of the data sets does not depend on spatial resolution. Although some inherent differences among data sets and weather station data are to be expected, our findings highlight how much different interpolation methods affect downscaled weather data, even for local comparisons with nearby weather stations located inside a grid cell. More broadly, our results highlight the need for careful consideration among different available data sets in terms of which variables they describe best, where they perform best, and their resolution, when selecting a downscaled weather data set for a given ecological application.","container-title":"Ecological Applications","DOI":"10.1002/15-1061","ISSN":"1939-5582","issue":"5","language":"en","note":"_eprint: https://onlinelibrary.wiley.com/doi/pdf/10.1002/15-1061","page":"1338-1351","source":"Wiley Online Library","title":"Evaluation of downscaled, gridded climate data for the conterminous United States","volume":"26","author":[{"family":"Behnke","given":"R."},{"family":"Vavrus","given":"S."},{"family":"Allstadt","given":"A."},{"family":"Albright","given":"T."},{"family":"Thogmartin","given":"W. E."},{"family":"Radeloff","given":"V. C."}],"issued":{"date-parts":[["2016"]]}}}],"schema":"https://github.com/citation-style-language/schema/raw/master/csl-citation.json"}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(Behnke et al., 2016; Timmermans et al., 2019)</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To avoid biased results driven by a specific dataset, we hence calculated heat wave indices from all three datasets for the purpose of model evaluation and comparison.</w:t>
      </w:r>
    </w:p>
    <w:p w14:paraId="7D670396" w14:textId="79DE3050" w:rsidR="00820C7D" w:rsidRPr="008E4EFB" w:rsidRDefault="00820C7D"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For climate projections, six CMIP6 GCMs under SSP5-RCP8.5 (</w:t>
      </w:r>
      <w:r w:rsidRPr="007F0D68">
        <w:rPr>
          <w:rFonts w:ascii="Times New Roman" w:eastAsia="Times New Roman" w:hAnsi="Times New Roman" w:cs="Times New Roman"/>
          <w:b/>
          <w:bCs/>
          <w:sz w:val="24"/>
          <w:szCs w:val="24"/>
        </w:rPr>
        <w:t>Table S</w:t>
      </w:r>
      <w:r w:rsidR="00CD3752">
        <w:rPr>
          <w:rFonts w:ascii="Times New Roman" w:eastAsia="Times New Roman" w:hAnsi="Times New Roman" w:cs="Times New Roman"/>
          <w:b/>
          <w:bCs/>
          <w:sz w:val="24"/>
          <w:szCs w:val="24"/>
        </w:rPr>
        <w:t>5</w:t>
      </w:r>
      <w:r w:rsidR="00DC5C6D" w:rsidRPr="007F0D68">
        <w:rPr>
          <w:rFonts w:ascii="Times New Roman" w:eastAsia="Times New Roman" w:hAnsi="Times New Roman" w:cs="Times New Roman"/>
          <w:b/>
          <w:bCs/>
          <w:sz w:val="24"/>
          <w:szCs w:val="24"/>
        </w:rPr>
        <w:t>.</w:t>
      </w:r>
      <w:r w:rsidRPr="007F0D68">
        <w:rPr>
          <w:rFonts w:ascii="Times New Roman" w:eastAsia="Times New Roman" w:hAnsi="Times New Roman" w:cs="Times New Roman"/>
          <w:b/>
          <w:bCs/>
          <w:sz w:val="24"/>
          <w:szCs w:val="24"/>
        </w:rPr>
        <w:t>1</w:t>
      </w:r>
      <w:r w:rsidRPr="008E4EFB">
        <w:rPr>
          <w:rFonts w:ascii="Times New Roman" w:eastAsia="Times New Roman" w:hAnsi="Times New Roman" w:cs="Times New Roman"/>
          <w:sz w:val="24"/>
          <w:szCs w:val="24"/>
        </w:rPr>
        <w:t xml:space="preserve">) were selected given their model performance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{"citationID":"t4trOg50","properties":{"formattedCitation":"(Ashfaq et al., 2022)","plainCitation":"(Ashfaq et al., 2022)","noteIndex":0},"citationItems":[{"id":2356,"uris":["http://zotero.org/users/3110659/items/NILPR6EZ"],"itemData":{"id":2356,"type":"article-journal","abstract":"Despite the necessity of Global Climate Models (GCMs) sub-selection in downscaling studies, an objective approach for their selection is currently lacking. Building on the previously established concepts in GCMs evaluation frameworks, we develop a weighted averaging technique to remove the redundancy in the evaluation criteria and rank 37 GCMs from the sixth phase of the Coupled Models Intercomparison Project over the contiguous United States. GCMs are rated based on their average performance across 66 evaluation measures in the historical period (1981–2014) after each metric is weighted between zero and one, depending on its uniqueness. The robustness of the outcome is tested by repeating the process with the empirical orthogonal function analysis in which each GCM is ranked based on its sum of distances from the reference in the principal component space. The two methodologies work in contrasting ways to remove the metrics redundancy but eventually develop similar GCMs rankings. A disparity in GCMs' behavior related to their sensitivity to the size of the evaluation suite is observed, highlighting the need for comprehensive multi-variable GCMs evaluation at varying timescales for determining their skillfulness over a region. The sub-selection goal is to use a representative set of skillful models over the region of interest without substantial overlap in their future climate responses and modeling errors in representing historical climate. Additional analyses of GCMs' independence and spread in their future projections provide the necessary information to objectively select GCMs while keeping all aspects of necessity in view.","container-title":"Journal of Geophysical Research: Atmospheres","DOI":"10.1029/2022JD036659","ISSN":"2169-8996","issue":"21","language":"en","note":"_eprint: https://onlinelibrary.wiley.com/doi/pdf/10.1029/2022JD036659","page":"e2022JD036659","source":"Wiley Online Library","title":"Evaluation of CMIP6 GCMs Over the CONUS for Downscaling Studies","volume":"127","author":[{"family":"Ashfaq","given":"Moetasim"},{"family":"Rastogi","given":"Deeksha"},{"family":"Kitson","given":"Joy"},{"family":"Abid","given":"Muhammad Adnan"},{"family":"Kao","given":"Shih-Chieh"}],"issued":{"date-parts":[["2022"]]}}}],"schema":"https://github.com/citation-style-language/schema/raw/master/csl-citation.json"}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(Ashfaq et al., 2022)</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and availability of 6-hourly data to support dynamical downscaling. Dynamical downscaling was done using the fourth version of the Regional Climate Model system (RegCM4) which relies on physics-based models and provides a large suite of physically consistent variables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{"citationID":"hXLNjumV","properties":{"formattedCitation":"(Coppola et al., 2021)","plainCitation":"(Coppola et al., 2021)","noteIndex":0},"citationItems":[{"id":2258,"uris":["http://zotero.org/users/3110659/items/NWIHGTJV"],"itemData":{"id":2258,"type":"article-journal","abstract":"&lt;p&gt;&lt;strong class=\"journal-contentHeaderColor\"&gt;Abstract.&lt;/strong&gt; We describe the development of a non-hydrostatic version of the regional climate model RegCM4, called RegCM4-NH, for use at convection-permitting resolutions. The non-hydrostatic dynamical core of the Mesoscale Model MM5 is introduced in the RegCM4, with some modifications to increase stability and applicability of the model to long-term climate simulations. Newly available explicit microphysics schemes are also described, and three case studies of intense convection events are carried out in order to illustrate the performance of the model. They are all run at a convection-permitting grid spacing of 3 km over domains in northern California, Texas and the Lake Victoria region, without the use of parameterized cumulus convection. A substantial improvement is found in several aspects of the simulations compared to corresponding coarser-resolution (12 km) runs completed with the hydrostatic version of the model employing parameterized convection. RegCM4-NH is currently being used in different projects for regional climate simulations at convection-permitting resolutions and is intended to be a resource for users of the RegCM modeling system.&lt;/p&gt;","container-title":"Geoscientific Model Development","DOI":"10.5194/gmd-14-7705-2021","ISSN":"1991-959X","issue":"12","language":"English","note":"publisher: Copernicus GmbH","page":"7705-7723","source":"gmd.copernicus.org","title":"Non-Hydrostatic RegCM4 (RegCM4-NH): model description and case studies over multiple domains","title-short":"Non-Hydrostatic RegCM4 (RegCM4-NH)","volume":"14","author":[{"family":"Coppola","given":"Erika"},{"family":"Stocchi","given":"Paolo"},{"family":"Pichelli","given":"Emanuela"},{"family":"Torres Alavez","given":"Jose Abraham"},{"family":"Glazer","given":"Russell"},{"family":"Giuliani","given":"Graziano"},{"family":"Di Sante","given":"Fabio"},{"family":"Nogherotto","given":"Rita"},{"family":"Giorgi","given":"Filippo"}],"issued":{"date-parts":[["2021",12,21]]}}}],"schema":"https://github.com/citation-style-language/schema/raw/master/csl-citation.json"}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(Coppola et al., 2021)</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and it refines the horizontal resolution from GCM’s original resolution (&gt;150km) to 25km across the CONUS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{"citationID":"sFhCtb4i","properties":{"formattedCitation":"(Rastogi et al., 2022)","plainCitation":"(Rastogi et al., 2022)","noteIndex":0},"citationItems":[{"id":2287,"uris":["http://zotero.org/users/3110659/items/AZYKMKVY"],"itemData":{"id":2287,"type":"article-journal","abstract":"We present an intercomparison of a suite of high-resolution downscaled climate projections based on a six-member General Circulation Model (GCM) ensemble from Coupled Models Intercomparison Project (CMIP6). The CMIP6 GCMs have been downscaled using dynamical and statistical downscaling techniques based on two meteorological reference observations over the conterminous United States. We use the regional climate model, RegCM4, for dynamical downscaling, double bias correction constructed analogs method for statistical downscaling, and Daymet and Livneh datasets as the reference observations for statistical training and bias-correction. We evaluate the performances of downscaled data in both historical and future periods under the SSP585 scenario. While dynamical downscaling improves the simulation of some performance evaluation indices, it adds an extra bias in others, highlighting the need for statistical correction before its use in impact assessments. Downscaled datasets after bias-correction compare exceptionally well with observations. However, the choice of downscaling techniques and the underlying reference observations influence the hydroclimate characteristics of downscaled data. For instance, the statistical downscaling generally preserves the GCMs climate change signal but overestimates the frequency of hot extremes. Similarly, simulated future changes are sensitive to the choice of reference observations, particularly for precipitation extremes that exhibit a higher projected increase in the ensembles trained and/or corrected by Daymet than Livneh. Overall, these results demonstrate that multiple factors, including downscaling techniques and reference observations, can substantially influence the outcome of downscaled climate projections and stress the need for a comprehensive understanding of such method-based uncertainties.","container-title":"Earth's Future","DOI":"10.1029/2022EF002734","ISSN":"2328-4277","issue":"8","language":"en","note":"_eprint: https://onlinelibrary.wiley.com/doi/pdf/10.1029/2022EF002734","page":"e2022EF002734","source":"Wiley Online Library","title":"How May the Choice of Downscaling Techniques and Meteorological Reference Observations Affect Future Hydroclimate Projections?","volume":"10","author":[{"family":"Rastogi","given":"Deeksha"},{"family":"Kao","given":"Shih-Chieh"},{"family":"Ashfaq","given":"Moetasim"}],"issued":{"date-parts":[["2022"]]}}}],"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(Rastogi et al., 2022)</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A daily bias-correction was then performed on RegCM4 output using Daymet observations and it further refines the spatial resolution from 25km to 1/24º (~4km). For comparison, statistical downscaling was done using Double Bias Correction Constructed Analogs (DBCCA) which is a method that leverages empirical relationships between global climate models and observations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{"citationID":"Vienb3en","properties":{"formattedCitation":"(Maurer &amp; Pierce, 2014; Rastogi et al., 2022; Werner &amp; Cannon, 2016)","plainCitation":"(Maurer &amp; Pierce, 2014; Rastogi et al., 2022; Werner &amp; Cannon, 2016)","noteIndex":0},"citationItems":[{"id":361,"uris":["http://zotero.org/users/3110659/items/8SI66MBV"],"itemData":{"id":361,"type":"article-journal","abstract":"&lt;p&gt;&lt;strong class=\"journal-contentHeaderColor\"&gt;Abstract.&lt;/strong&gt; Gridded statistical downscaling methods are the main means of preparing climate model data to drive distributed hydrological models. Past work on the validation of climate downscaling methods has focused on temperature and precipitation, with less attention paid to the ultimate outputs from hydrological models. Also, as attention shifts towards projections of extreme events, downscaling comparisons now commonly assess methods in terms of climate extremes, but hydrologic extremes are less well explored. Here, we test the ability of gridded downscaling models to replicate historical properties of climate and hydrologic extremes, as measured in terms of temporal sequencing (i.e. correlation tests) and distributional properties (i.e. tests for equality of probability distributions). Outputs from seven downscaling methods – bias correction constructed analogues (BCCA), double BCCA (DBCCA), BCCA with quantile mapping reordering (BCCAQ), bias correction spatial disaggregation (BCSD), BCSD using minimum/maximum temperature (BCSDX), the climate imprint delta method (CI), and bias corrected CI (BCCI) &amp;ndash; are used to drive the Variable Infiltration Capacity (VIC) model over the snow-dominated Peace River basin, British Columbia. Outputs are tested using split-sample validation on 26 climate extremes indices (ClimDEX) and two hydrologic extremes indices (3-day peak flow and 7-day peak flow). To characterize observational uncertainty, four atmospheric reanalyses are used as climate model surrogates and two gridded observational data sets are used as downscaling target data. The skill of the downscaling methods generally depended on reanalysis and gridded observational data set. However, CI failed to reproduce the distribution and BCSD and BCSDX the timing of winter 7-day low-flow events, regardless of reanalysis or observational data set. Overall, DBCCA passed the greatest number of tests for the ClimDEX indices, while BCCAQ, which is designed to more accurately resolve event-scale spatial gradients, passed the greatest number of tests for hydrologic extremes. Non-stationarity in the observational/reanalysis data sets complicated the evaluation of downscaling performance. Comparing temporal homogeneity and trends in climate indices and hydrological model outputs calculated from downscaled reanalyses and gridded observations was useful for diagnosing the reliability of the various historical data sets. We recommend that such analyses be conducted before such data are used to construct future hydro-climatic change scenarios.&lt;/p&gt;","container-title":"Hydrology and Earth System Sciences","DOI":"10.5194/hess-20-1483-2016","ISSN":"1027-5606","issue":"4","language":"English","note":"publisher: Copernicus GmbH","page":"1483-1508","source":"hess.copernicus.org","title":"Hydrologic extremes – an intercomparison of multiple gridded statistical downscaling methods","volume":"20","author":[{"family":"Werner","given":"Arelia T."},{"family":"Cannon","given":"Alex J."}],"issued":{"date-parts":[["2016",4,19]]}}},{"id":358,"uris":["http://zotero.org/users/3110659/items/E3WSU3FQ"],"itemData":{"id":358,"type":"article-journal","abstract":"&lt;p&gt;&lt;strong class=\"journal-contentHeaderColor\"&gt;Abstract.&lt;/strong&gt; When applied to remove climate model biases in precipitation, quantile mapping can in some settings modify the simulated difference in mean precipitation between two eras. This has important implications when the precipitation is used to drive an impacts model that is sensitive to changes in precipitation. The tendency of quantile mapping to alter model-predicted changes is demonstrated using synthetic precipitation distributions and elucidated with a simple theoretical analysis, which shows that the alteration of model-predicted changes can be controlled by the ratio of model to observed variance. To further evaluate the effects of quantile mapping in a more realistic setting, we use daily precipitation output from 11 atmospheric general circulation models (AGCMs), forced by observed sea surface temperatures, over the conterminous United States to compare precipitation differences before and after quantile mapping bias correction. The effectiveness of the bias correction is not assessed, only its effect on precipitation differences. The change in seasonal mean (winter, DJF, and summer, JJA) precipitation between two historical periods is compared to examine whether the bias correction tends to amplify or diminish an AGCM's simulated precipitation change. In some cases the trend modification can be as large as the original simulated change, though the areas where this occurs varies among AGCMs so the ensemble median shows smaller trend modification. Results show that quantile mapping improves the correspondence with observed changes in some locations and degrades it in others. While not representative of a future where natural precipitation variability is much smaller than that due to external forcing, these results suggest that at least for the next several decades the influence of quantile mapping on seasonal precipitation trends does not systematically degrade projected differences.&lt;/p&gt;","container-title":"Hydrology and Earth System Sciences","DOI":"10.5194/hess-18-915-2014","ISSN":"1027-5606","issue":"3","language":"English","note":"publisher: Copernicus GmbH","page":"915-925","source":"hess.copernicus.org","title":"Bias correction can modify climate model simulated precipitation changes without adverse effect on the ensemble mean","volume":"18","author":[{"family":"Maurer","given":"E. P."},{"family":"Pierce","given":"D. W."}],"issued":{"date-parts":[["2014",3,7]]}}},{"id":2287,"uris":["http://zotero.org/users/3110659/items/AZYKMKVY"],"itemData":{"id":2287,"type":"article-journal","abstract":"We present an intercomparison of a suite of high-resolution downscaled climate projections based on a six-member General Circulation Model (GCM) ensemble from Coupled Models Intercomparison Project (CMIP6). The CMIP6 GCMs have been downscaled using dynamical and statistical downscaling techniques based on two meteorological reference observations over the conterminous United States. We use the regional climate model, RegCM4, for dynamical downscaling, double bias correction constructed analogs method for statistical downscaling, and Daymet and Livneh datasets as the reference observations for statistical training and bias-correction. We evaluate the performances of downscaled data in both historical and future periods under the SSP585 scenario. While dynamical downscaling improves the simulation of some performance evaluation indices, it adds an extra bias in others, highlighting the need for statistical correction before its use in impact assessments. Downscaled datasets after bias-correction compare exceptionally well with observations. However, the choice of downscaling techniques and the underlying reference observations influence the hydroclimate characteristics of downscaled data. For instance, the statistical downscaling generally preserves the GCMs climate change signal but overestimates the frequency of hot extremes. Similarly, simulated future changes are sensitive to the choice of reference observations, particularly for precipitation extremes that exhibit a higher projected increase in the ensembles trained and/or corrected by Daymet than Livneh. Overall, these results demonstrate that multiple factors, including downscaling techniques and reference observations, can substantially influence the outcome of downscaled climate projections and stress the need for a comprehensive understanding of such method-based uncertainties.","container-title":"Earth's Future","DOI":"10.1029/2022EF002734","ISSN":"2328-4277","issue":"8","language":"en","note":"_eprint: https://onlinelibrary.wiley.com/doi/pdf/10.1029/2022EF002734","page":"e2022EF002734","source":"Wiley Online Library","title":"How May the Choice of Downscaling Techniques and Meteorological Reference Observations Affect Future Hydroclimate Projections?","volume":"10","author":[{"family":"Rastogi","given":"Deeksha"},{"family":"Kao","given":"Shih-Chieh"},{"family":"Ashfaq","given":"Moetasim"}],"issued":{"date-parts":[["2022"]]}}}],"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 xml:space="preserve">(Maurer &amp; Pierce, 2014; Rastogi et al., 2022; Werner &amp; </w:t>
      </w:r>
      <w:r w:rsidR="00B864BC" w:rsidRPr="008E4EFB">
        <w:rPr>
          <w:rFonts w:ascii="Times New Roman" w:hAnsi="Times New Roman" w:cs="Times New Roman"/>
          <w:sz w:val="24"/>
          <w:szCs w:val="24"/>
        </w:rPr>
        <w:lastRenderedPageBreak/>
        <w:t>Cannon, 2016)</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It provides an output at the same 1/24º (~4km) horizontal resolution for inter-comparison.</w:t>
      </w:r>
    </w:p>
    <w:p w14:paraId="74019104" w14:textId="0841F056" w:rsidR="00820C7D" w:rsidRPr="008E4EFB" w:rsidRDefault="00820C7D"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The entire CONUS was divided into nine climate regions as defined by the National Center for Environmental Information (NCEI, </w:t>
      </w:r>
      <w:hyperlink r:id="rId43">
        <w:r w:rsidRPr="008E4EFB">
          <w:rPr>
            <w:rFonts w:ascii="Times New Roman" w:eastAsia="Times New Roman" w:hAnsi="Times New Roman" w:cs="Times New Roman"/>
            <w:sz w:val="24"/>
            <w:szCs w:val="24"/>
            <w:u w:val="single"/>
          </w:rPr>
          <w:t>https://www.ncei.noaa.gov/</w:t>
        </w:r>
      </w:hyperlink>
      <w:r w:rsidRPr="008E4EFB">
        <w:rPr>
          <w:rFonts w:ascii="Times New Roman" w:eastAsia="Times New Roman" w:hAnsi="Times New Roman" w:cs="Times New Roman"/>
          <w:sz w:val="24"/>
          <w:szCs w:val="24"/>
        </w:rPr>
        <w:t xml:space="preserve">, </w:t>
      </w:r>
      <w:r w:rsidRPr="00822EDA">
        <w:rPr>
          <w:rFonts w:ascii="Times New Roman" w:eastAsia="Times New Roman" w:hAnsi="Times New Roman" w:cs="Times New Roman"/>
          <w:b/>
          <w:bCs/>
          <w:sz w:val="24"/>
          <w:szCs w:val="24"/>
        </w:rPr>
        <w:t>Figure S</w:t>
      </w:r>
      <w:r w:rsidR="00CD3752">
        <w:rPr>
          <w:rFonts w:ascii="Times New Roman" w:eastAsia="Times New Roman" w:hAnsi="Times New Roman" w:cs="Times New Roman"/>
          <w:b/>
          <w:bCs/>
          <w:sz w:val="24"/>
          <w:szCs w:val="24"/>
        </w:rPr>
        <w:t>5</w:t>
      </w:r>
      <w:r w:rsidR="0048256B" w:rsidRPr="00822EDA">
        <w:rPr>
          <w:rFonts w:ascii="Times New Roman" w:eastAsia="Times New Roman" w:hAnsi="Times New Roman" w:cs="Times New Roman"/>
          <w:b/>
          <w:bCs/>
          <w:sz w:val="24"/>
          <w:szCs w:val="24"/>
        </w:rPr>
        <w:t>.</w:t>
      </w:r>
      <w:r w:rsidRPr="00822EDA">
        <w:rPr>
          <w:rFonts w:ascii="Times New Roman" w:eastAsia="Times New Roman" w:hAnsi="Times New Roman" w:cs="Times New Roman"/>
          <w:b/>
          <w:bCs/>
          <w:sz w:val="24"/>
          <w:szCs w:val="24"/>
        </w:rPr>
        <w:t>1</w:t>
      </w:r>
      <w:r w:rsidRPr="008E4EFB">
        <w:rPr>
          <w:rFonts w:ascii="Times New Roman" w:eastAsia="Times New Roman" w:hAnsi="Times New Roman" w:cs="Times New Roman"/>
          <w:sz w:val="24"/>
          <w:szCs w:val="24"/>
        </w:rPr>
        <w:t>). We calculated an ensemble mean of the six CMIP6 models (</w:t>
      </w:r>
      <w:r w:rsidRPr="007F0D68">
        <w:rPr>
          <w:rFonts w:ascii="Times New Roman" w:eastAsia="Times New Roman" w:hAnsi="Times New Roman" w:cs="Times New Roman"/>
          <w:b/>
          <w:bCs/>
          <w:sz w:val="24"/>
          <w:szCs w:val="24"/>
        </w:rPr>
        <w:t>Table S</w:t>
      </w:r>
      <w:r w:rsidR="00CD3752">
        <w:rPr>
          <w:rFonts w:ascii="Times New Roman" w:eastAsia="Times New Roman" w:hAnsi="Times New Roman" w:cs="Times New Roman"/>
          <w:b/>
          <w:bCs/>
          <w:sz w:val="24"/>
          <w:szCs w:val="24"/>
        </w:rPr>
        <w:t>5</w:t>
      </w:r>
      <w:r w:rsidR="00DC5C6D" w:rsidRPr="007F0D68">
        <w:rPr>
          <w:rFonts w:ascii="Times New Roman" w:eastAsia="Times New Roman" w:hAnsi="Times New Roman" w:cs="Times New Roman"/>
          <w:b/>
          <w:bCs/>
          <w:sz w:val="24"/>
          <w:szCs w:val="24"/>
        </w:rPr>
        <w:t>.</w:t>
      </w:r>
      <w:r w:rsidRPr="007F0D68">
        <w:rPr>
          <w:rFonts w:ascii="Times New Roman" w:eastAsia="Times New Roman" w:hAnsi="Times New Roman" w:cs="Times New Roman"/>
          <w:b/>
          <w:bCs/>
          <w:sz w:val="24"/>
          <w:szCs w:val="24"/>
        </w:rPr>
        <w:t>1</w:t>
      </w:r>
      <w:r w:rsidRPr="008E4EFB">
        <w:rPr>
          <w:rFonts w:ascii="Times New Roman" w:eastAsia="Times New Roman" w:hAnsi="Times New Roman" w:cs="Times New Roman"/>
          <w:sz w:val="24"/>
          <w:szCs w:val="24"/>
        </w:rPr>
        <w:t xml:space="preserve">) using raw and downscaled outputs for both historical (1980–2019) and near-term future (2020–2059) periods for the entire study area. We then calculated the heat wave magnitude index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{"citationID":"RUeRoBuf","properties":{"formattedCitation":"(Russo et al., 2014)","plainCitation":"(Russo et al., 2014)","noteIndex":0},"citationItems":[{"id":339,"uris":["http://zotero.org/users/3110659/items/ZP5GRD32"],"itemData":{"id":339,"type":"article-journal","abstract":"AbstractAn extreme heat wave occurred in Russia in the summer of 2010. It had serious impacts on humans and natural ecosystems, it was the strongest recorded globally in recent decades and exceeded in amplitude and spatial extent the previous hottest European summer in 2003. Earlier studies have not succeeded in comparing the magnitude of heat waves across continents and in time. This study introduces a new Heat Wave Magnitude Index that can be compared over space and time. The index is based on the analysis of daily maximum temperature in order to classify the strongest heat waves that occurred worldwide during the three study periods 1980–1990, 1991–2001, and 2002–2012. In addition, multimodel ensemble outputs from the Coupled Model Intercomparison Project Phase 5 are used to project future occurrence and severity of heat waves, under different Representative Concentration Pathways, adopted by the Intergovernmental Panel on Climate Change for its Fifth Assessment Report (AR5). Results show that the percentage of global area affected by heat waves has increased in recent decades. Moreover, model predictions reveal an increase in the probability of occurrence of extreme and very extreme heat waves in the coming years, in particular, by the end of this century, under the most severe IPCC AR5 scenario, events of the same severity as that in Russia in the summer of 2010 will become the norm and are projected to occur as often as every 2 years for regions such as southern Europe, North America, South America, Africa, and Indonesia.","container-title":"Journal of Geophysical Research: Atmospheres","DOI":"10.1002/2014JD022098","ISSN":"2169-8996","issue":"22","language":"en","note":"_eprint: https://onlinelibrary.wiley.com/doi/pdf/10.1002/2014JD022098","page":"12,500-12,512","source":"Wiley Online Library","title":"Magnitude of extreme heat waves in present climate and their projection in a warming world","volume":"119","author":[{"family":"Russo","given":"Simone"},{"family":"Dosio","given":"Alessandro"},{"family":"Graversen","given":"Rune G."},{"family":"Sillmann","given":"Jana"},{"family":"Carrao","given":"Hugo"},{"family":"Dunbar","given":"Martha B."},{"family":"Singleton","given":"Andrew"},{"family":"Montagna","given":"Paolo"},{"family":"Barbola","given":"Paulo"},{"family":"Vogt","given":"Jürgen V."}],"issued":{"date-parts":[["2014"]]}}}],"schema":"https://github.com/citation-style-language/schema/raw/master/csl-citation.json"}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(Russo et al., 2014)</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for each of the 9 regions by year and used the daily maximum temperatures during the 40-year reference period to calculate the 85th, 90th, 95th, and 97.5th percentiles with 11-, 15-, and 31-day windows. Each heat wave event was only classified </w:t>
      </w:r>
      <w:proofErr w:type="gramStart"/>
      <w:r w:rsidRPr="008E4EFB">
        <w:rPr>
          <w:rFonts w:ascii="Times New Roman" w:eastAsia="Times New Roman" w:hAnsi="Times New Roman" w:cs="Times New Roman"/>
          <w:sz w:val="24"/>
          <w:szCs w:val="24"/>
        </w:rPr>
        <w:t>as such</w:t>
      </w:r>
      <w:proofErr w:type="gramEnd"/>
      <w:r w:rsidRPr="008E4EFB">
        <w:rPr>
          <w:rFonts w:ascii="Times New Roman" w:eastAsia="Times New Roman" w:hAnsi="Times New Roman" w:cs="Times New Roman"/>
          <w:sz w:val="24"/>
          <w:szCs w:val="24"/>
        </w:rPr>
        <w:t xml:space="preserve"> if it lasted at least 3 consecutive days. We also calculated a multi-model mean for humidity and minimum temperature by year for each downscaling approach. </w:t>
      </w:r>
    </w:p>
    <w:p w14:paraId="7B254CA5" w14:textId="77777777" w:rsidR="00820C7D" w:rsidRPr="008E4EFB" w:rsidRDefault="00820C7D"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We also performed a </w:t>
      </w:r>
      <w:proofErr w:type="gramStart"/>
      <w:r w:rsidRPr="008E4EFB">
        <w:rPr>
          <w:rFonts w:ascii="Times New Roman" w:eastAsia="Times New Roman" w:hAnsi="Times New Roman" w:cs="Times New Roman"/>
          <w:sz w:val="24"/>
          <w:szCs w:val="24"/>
        </w:rPr>
        <w:t>Student’s</w:t>
      </w:r>
      <w:proofErr w:type="gramEnd"/>
      <w:r w:rsidRPr="008E4EFB">
        <w:rPr>
          <w:rFonts w:ascii="Times New Roman" w:eastAsia="Times New Roman" w:hAnsi="Times New Roman" w:cs="Times New Roman"/>
          <w:sz w:val="24"/>
          <w:szCs w:val="24"/>
        </w:rPr>
        <w:t xml:space="preserve"> t-test to compare the difference in average daily maximum temperature in by season and downscaling method for the future time period (2020-2059) compared to the reference period (1980–2019).</w:t>
      </w:r>
    </w:p>
    <w:p w14:paraId="471762E8" w14:textId="740AEA95" w:rsidR="0044437F" w:rsidRPr="008E4EFB" w:rsidRDefault="0044437F" w:rsidP="00DC4266">
      <w:pPr>
        <w:pStyle w:val="Style3"/>
        <w:numPr>
          <w:ilvl w:val="1"/>
          <w:numId w:val="30"/>
        </w:numPr>
        <w:spacing w:before="0" w:line="360" w:lineRule="auto"/>
        <w:rPr>
          <w:rFonts w:cs="Times New Roman"/>
          <w:szCs w:val="24"/>
        </w:rPr>
      </w:pPr>
      <w:bookmarkStart w:id="68" w:name="_Toc179917989"/>
      <w:r w:rsidRPr="008E4EFB">
        <w:rPr>
          <w:rFonts w:cs="Times New Roman"/>
          <w:szCs w:val="24"/>
        </w:rPr>
        <w:t>Comparison with Historical Models and Observations</w:t>
      </w:r>
      <w:bookmarkEnd w:id="68"/>
    </w:p>
    <w:p w14:paraId="26180DD4" w14:textId="72989F2B" w:rsidR="0044437F" w:rsidRPr="008E4EFB" w:rsidRDefault="0044437F" w:rsidP="00822EDA">
      <w:pPr>
        <w:pBdr>
          <w:top w:val="nil"/>
          <w:left w:val="nil"/>
          <w:bottom w:val="nil"/>
          <w:right w:val="nil"/>
          <w:between w:val="nil"/>
        </w:pBd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Because this work focuses on fine-resolution data for a regional approach, the US was divided into 9 climate regions (</w:t>
      </w:r>
      <w:r w:rsidRPr="00427197">
        <w:rPr>
          <w:rFonts w:ascii="Times New Roman" w:eastAsia="Times New Roman" w:hAnsi="Times New Roman" w:cs="Times New Roman"/>
          <w:b/>
          <w:bCs/>
          <w:sz w:val="24"/>
          <w:szCs w:val="24"/>
        </w:rPr>
        <w:t>Figure S</w:t>
      </w:r>
      <w:r w:rsidR="00CD3752">
        <w:rPr>
          <w:rFonts w:ascii="Times New Roman" w:eastAsia="Times New Roman" w:hAnsi="Times New Roman" w:cs="Times New Roman"/>
          <w:b/>
          <w:bCs/>
          <w:sz w:val="24"/>
          <w:szCs w:val="24"/>
        </w:rPr>
        <w:t>5</w:t>
      </w:r>
      <w:r w:rsidR="0048256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1</w:t>
      </w:r>
      <w:r w:rsidRPr="008E4EFB">
        <w:rPr>
          <w:rFonts w:ascii="Times New Roman" w:eastAsia="Times New Roman" w:hAnsi="Times New Roman" w:cs="Times New Roman"/>
          <w:sz w:val="24"/>
          <w:szCs w:val="24"/>
        </w:rPr>
        <w:t>), and each was evaluated separately. Comparing historic heat waves during the baseline period of 1980–2019 to projected future heat waves from 2020–2059 demonstrates that there are important regional variations as well as the expected differences between downscaling approaches (</w:t>
      </w:r>
      <w:r w:rsidRPr="00427197">
        <w:rPr>
          <w:rFonts w:ascii="Times New Roman" w:eastAsia="Times New Roman" w:hAnsi="Times New Roman" w:cs="Times New Roman"/>
          <w:b/>
          <w:bCs/>
          <w:sz w:val="24"/>
          <w:szCs w:val="24"/>
        </w:rPr>
        <w:t xml:space="preserve">Figure </w:t>
      </w:r>
      <w:r w:rsidR="00822EDA">
        <w:rPr>
          <w:rFonts w:ascii="Times New Roman" w:eastAsia="Times New Roman" w:hAnsi="Times New Roman" w:cs="Times New Roman"/>
          <w:b/>
          <w:bCs/>
          <w:sz w:val="24"/>
          <w:szCs w:val="24"/>
        </w:rPr>
        <w:t>5</w:t>
      </w:r>
      <w:r w:rsidR="0048256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1</w:t>
      </w:r>
      <w:r w:rsidRPr="008E4EFB">
        <w:rPr>
          <w:rFonts w:ascii="Times New Roman" w:eastAsia="Times New Roman" w:hAnsi="Times New Roman" w:cs="Times New Roman"/>
          <w:sz w:val="24"/>
          <w:szCs w:val="24"/>
        </w:rPr>
        <w:t>). Compared to historical averages, the statistical downscaling approach using the DBCCA method projects slightly higher HWMI values than the dynamical downscaling approach using RegCM4 especially at the lowest percentile threshold (85%) (</w:t>
      </w:r>
      <w:r w:rsidRPr="00427197">
        <w:rPr>
          <w:rFonts w:ascii="Times New Roman" w:eastAsia="Times New Roman" w:hAnsi="Times New Roman" w:cs="Times New Roman"/>
          <w:b/>
          <w:bCs/>
          <w:sz w:val="24"/>
          <w:szCs w:val="24"/>
        </w:rPr>
        <w:t xml:space="preserve">Figure </w:t>
      </w:r>
      <w:r w:rsidR="00822EDA">
        <w:rPr>
          <w:rFonts w:ascii="Times New Roman" w:eastAsia="Times New Roman" w:hAnsi="Times New Roman" w:cs="Times New Roman"/>
          <w:b/>
          <w:bCs/>
          <w:sz w:val="24"/>
          <w:szCs w:val="24"/>
        </w:rPr>
        <w:t>5</w:t>
      </w:r>
      <w:r w:rsidR="0048256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1A</w:t>
      </w:r>
      <w:r w:rsidRPr="008E4EFB">
        <w:rPr>
          <w:rFonts w:ascii="Times New Roman" w:eastAsia="Times New Roman" w:hAnsi="Times New Roman" w:cs="Times New Roman"/>
          <w:sz w:val="24"/>
          <w:szCs w:val="24"/>
        </w:rPr>
        <w:t xml:space="preserve">). This is particularly noticeable in the Ohio Valley (OV), Northern Rockies (NR), and Upper Midwest (UM), where the DBCCA ensemble projects an increase of ~3 HWMI, and the RegCM4 ensemble projects an increase of closer to 2. The South (S) is projected to have little change in future HWMI according to the DBCCA ensemble at all threshold levels. At higher percentile thresholds (95%, 97.5%), both DBCCA and RegCM4 ensembles project little increase in 2020–2059 in HWMI (~1) from the historical reference period. According to Russso et al. (2014), who developed the index, a normal heat wave is defined as HWMI ≥ 1, a </w:t>
      </w:r>
    </w:p>
    <w:p w14:paraId="03D753F6" w14:textId="77777777" w:rsidR="0044437F" w:rsidRPr="008E4EFB" w:rsidRDefault="0044437F" w:rsidP="00ED686E">
      <w:pPr>
        <w:pStyle w:val="ListParagraph"/>
        <w:spacing w:line="240" w:lineRule="auto"/>
        <w:ind w:left="360"/>
        <w:jc w:val="center"/>
        <w:rPr>
          <w:rFonts w:ascii="Times New Roman" w:eastAsia="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279559AD" wp14:editId="279E079C">
            <wp:extent cx="4452731" cy="2292966"/>
            <wp:effectExtent l="0" t="0" r="5080" b="0"/>
            <wp:docPr id="878241605" name="Picture 87824160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44"/>
                    <a:stretch>
                      <a:fillRect/>
                    </a:stretch>
                  </pic:blipFill>
                  <pic:spPr>
                    <a:xfrm>
                      <a:off x="0" y="0"/>
                      <a:ext cx="4484020" cy="2309078"/>
                    </a:xfrm>
                    <a:prstGeom prst="rect">
                      <a:avLst/>
                    </a:prstGeom>
                  </pic:spPr>
                </pic:pic>
              </a:graphicData>
            </a:graphic>
          </wp:inline>
        </w:drawing>
      </w:r>
    </w:p>
    <w:p w14:paraId="76BCC4F4" w14:textId="77777777" w:rsidR="0044437F" w:rsidRPr="008E4EFB" w:rsidRDefault="0044437F" w:rsidP="00ED686E">
      <w:pPr>
        <w:pStyle w:val="ListParagraph"/>
        <w:spacing w:line="240" w:lineRule="auto"/>
        <w:ind w:left="360"/>
        <w:jc w:val="center"/>
        <w:rPr>
          <w:rFonts w:ascii="Times New Roman" w:eastAsia="Times New Roman" w:hAnsi="Times New Roman" w:cs="Times New Roman"/>
          <w:sz w:val="24"/>
          <w:szCs w:val="24"/>
        </w:rPr>
      </w:pPr>
      <w:r w:rsidRPr="008E4EFB">
        <w:rPr>
          <w:rFonts w:ascii="Times New Roman" w:hAnsi="Times New Roman" w:cs="Times New Roman"/>
          <w:noProof/>
          <w:sz w:val="24"/>
          <w:szCs w:val="24"/>
        </w:rPr>
        <w:drawing>
          <wp:inline distT="0" distB="0" distL="0" distR="0" wp14:anchorId="7496A344" wp14:editId="52025F5D">
            <wp:extent cx="4484535" cy="2295448"/>
            <wp:effectExtent l="0" t="0" r="0" b="0"/>
            <wp:docPr id="2023361279" name="Picture 202336127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hart&#10;&#10;Description automatically generated"/>
                    <pic:cNvPicPr/>
                  </pic:nvPicPr>
                  <pic:blipFill>
                    <a:blip r:embed="rId45"/>
                    <a:stretch>
                      <a:fillRect/>
                    </a:stretch>
                  </pic:blipFill>
                  <pic:spPr>
                    <a:xfrm>
                      <a:off x="0" y="0"/>
                      <a:ext cx="4527845" cy="2317616"/>
                    </a:xfrm>
                    <a:prstGeom prst="rect">
                      <a:avLst/>
                    </a:prstGeom>
                  </pic:spPr>
                </pic:pic>
              </a:graphicData>
            </a:graphic>
          </wp:inline>
        </w:drawing>
      </w:r>
    </w:p>
    <w:p w14:paraId="6D7F5E60" w14:textId="455A600A" w:rsidR="00A51128" w:rsidRPr="008E4EFB" w:rsidRDefault="00A51128" w:rsidP="00ED686E">
      <w:pPr>
        <w:pStyle w:val="Caption"/>
        <w:rPr>
          <w:rFonts w:ascii="Times New Roman" w:eastAsia="Times New Roman" w:hAnsi="Times New Roman" w:cs="Times New Roman"/>
          <w:i w:val="0"/>
          <w:iCs w:val="0"/>
          <w:color w:val="auto"/>
          <w:sz w:val="24"/>
          <w:szCs w:val="24"/>
        </w:rPr>
      </w:pPr>
      <w:bookmarkStart w:id="69" w:name="_Toc179917567"/>
      <w:bookmarkStart w:id="70" w:name="_Toc179918047"/>
      <w:bookmarkStart w:id="71" w:name="_Toc184062908"/>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5</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1</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A comparison of historic heat waves during 1980–2019 to projected heat waves from 2020–2059.</w:t>
      </w:r>
      <w:r w:rsidRPr="008E4EFB">
        <w:rPr>
          <w:rFonts w:ascii="Times New Roman" w:eastAsia="Times New Roman" w:hAnsi="Times New Roman" w:cs="Times New Roman"/>
          <w:i w:val="0"/>
          <w:iCs w:val="0"/>
          <w:color w:val="auto"/>
          <w:sz w:val="24"/>
          <w:szCs w:val="24"/>
        </w:rPr>
        <w:t xml:space="preserve"> (A) HWMI by region for 2020–2059 for DBCCA and RegCM4 compared to historical averages (1980–2019). (B) The duration of the greatest heat wave event by region 2020–2060 for DBCCA and RegCM4 compared to historical averages (1980–2019). (C)  The start day of the greatest heat wave event by region for 2020–2059 for DBCCA and RegCM4 compared to historical averages (1980–2019). (NE: Northeast, NR: Northern Rockies, NW: Northwest, OV: Ohio Valley, S: South, SE: Southeast, SW: Southwest, UM: Upper Midwest, W: West.)</w:t>
      </w:r>
      <w:bookmarkEnd w:id="69"/>
      <w:bookmarkEnd w:id="70"/>
      <w:bookmarkEnd w:id="71"/>
    </w:p>
    <w:p w14:paraId="76CE9036" w14:textId="77777777" w:rsidR="00A51128" w:rsidRPr="008E4EFB" w:rsidRDefault="00A51128" w:rsidP="00ED686E">
      <w:pPr>
        <w:pStyle w:val="ListParagraph"/>
        <w:spacing w:line="240" w:lineRule="auto"/>
        <w:ind w:left="360"/>
        <w:jc w:val="center"/>
        <w:rPr>
          <w:rFonts w:ascii="Times New Roman" w:eastAsia="Times New Roman" w:hAnsi="Times New Roman" w:cs="Times New Roman"/>
          <w:sz w:val="24"/>
          <w:szCs w:val="24"/>
        </w:rPr>
      </w:pPr>
    </w:p>
    <w:p w14:paraId="42DCB482" w14:textId="77777777" w:rsidR="0044437F" w:rsidRPr="008E4EFB" w:rsidRDefault="0044437F" w:rsidP="00ED686E">
      <w:pPr>
        <w:pStyle w:val="ListParagraph"/>
        <w:spacing w:line="240" w:lineRule="auto"/>
        <w:ind w:left="360"/>
        <w:jc w:val="center"/>
        <w:rPr>
          <w:rFonts w:ascii="Times New Roman" w:eastAsia="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40114FC6" wp14:editId="732E225D">
            <wp:extent cx="4492487" cy="2304320"/>
            <wp:effectExtent l="0" t="0" r="3810" b="1270"/>
            <wp:docPr id="336252189" name="Picture 336252189"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pic:nvPicPr>
                  <pic:blipFill>
                    <a:blip r:embed="rId46"/>
                    <a:stretch>
                      <a:fillRect/>
                    </a:stretch>
                  </pic:blipFill>
                  <pic:spPr>
                    <a:xfrm>
                      <a:off x="0" y="0"/>
                      <a:ext cx="4528040" cy="2322556"/>
                    </a:xfrm>
                    <a:prstGeom prst="rect">
                      <a:avLst/>
                    </a:prstGeom>
                  </pic:spPr>
                </pic:pic>
              </a:graphicData>
            </a:graphic>
          </wp:inline>
        </w:drawing>
      </w:r>
    </w:p>
    <w:p w14:paraId="2805C069" w14:textId="7B9B38C6" w:rsidR="0044437F" w:rsidRPr="008E4EFB" w:rsidRDefault="0044437F" w:rsidP="00ED686E">
      <w:pPr>
        <w:spacing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Figure </w:t>
      </w:r>
      <w:r w:rsidR="00987D24" w:rsidRPr="008E4EFB">
        <w:rPr>
          <w:rFonts w:ascii="Times New Roman" w:eastAsia="Times New Roman" w:hAnsi="Times New Roman" w:cs="Times New Roman"/>
          <w:sz w:val="24"/>
          <w:szCs w:val="24"/>
        </w:rPr>
        <w:t>5</w:t>
      </w:r>
      <w:r w:rsidR="00136EDD" w:rsidRPr="008E4EFB">
        <w:rPr>
          <w:rFonts w:ascii="Times New Roman" w:eastAsia="Times New Roman" w:hAnsi="Times New Roman" w:cs="Times New Roman"/>
          <w:sz w:val="24"/>
          <w:szCs w:val="24"/>
        </w:rPr>
        <w:t>.</w:t>
      </w:r>
      <w:r w:rsidRPr="008E4EFB">
        <w:rPr>
          <w:rFonts w:ascii="Times New Roman" w:eastAsia="Times New Roman" w:hAnsi="Times New Roman" w:cs="Times New Roman"/>
          <w:sz w:val="24"/>
          <w:szCs w:val="24"/>
        </w:rPr>
        <w:t>1</w:t>
      </w:r>
      <w:r w:rsidR="00A51128" w:rsidRPr="008E4EFB">
        <w:rPr>
          <w:rFonts w:ascii="Times New Roman" w:eastAsia="Times New Roman" w:hAnsi="Times New Roman" w:cs="Times New Roman"/>
          <w:sz w:val="24"/>
          <w:szCs w:val="24"/>
        </w:rPr>
        <w:t xml:space="preserve"> (Continued)</w:t>
      </w:r>
    </w:p>
    <w:p w14:paraId="6023C8D0" w14:textId="77777777" w:rsidR="0048065D" w:rsidRDefault="0048065D" w:rsidP="00DC4266">
      <w:pPr>
        <w:spacing w:after="0" w:line="360" w:lineRule="auto"/>
        <w:rPr>
          <w:rFonts w:ascii="Times New Roman" w:eastAsia="Times New Roman" w:hAnsi="Times New Roman" w:cs="Times New Roman"/>
          <w:sz w:val="24"/>
          <w:szCs w:val="24"/>
        </w:rPr>
      </w:pPr>
    </w:p>
    <w:p w14:paraId="76D045FA" w14:textId="77777777" w:rsidR="007D6DB2" w:rsidRDefault="007D6DB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1C17BCE" w14:textId="77777777" w:rsidR="00822EDA" w:rsidRPr="008E4EFB" w:rsidRDefault="00822EDA" w:rsidP="00822EDA">
      <w:pPr>
        <w:pBdr>
          <w:top w:val="nil"/>
          <w:left w:val="nil"/>
          <w:bottom w:val="nil"/>
          <w:right w:val="nil"/>
          <w:between w:val="nil"/>
        </w:pBd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lastRenderedPageBreak/>
        <w:t xml:space="preserve">moderate heat wave is HWMI ≥ 2, a severe heat wave is HWMI ≥ 3, and an extreme heat wave is HWMI ≥ 4. </w:t>
      </w:r>
    </w:p>
    <w:p w14:paraId="76B74967" w14:textId="77777777" w:rsidR="00822EDA" w:rsidRPr="008E4EFB" w:rsidRDefault="00822EDA" w:rsidP="00822EDA">
      <w:pPr>
        <w:pBdr>
          <w:top w:val="nil"/>
          <w:left w:val="nil"/>
          <w:bottom w:val="nil"/>
          <w:right w:val="nil"/>
          <w:between w:val="nil"/>
        </w:pBd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The change from the reference period in the duration of the greatest heat wave event of the year also varies by region and by downscaling method (</w:t>
      </w:r>
      <w:r w:rsidRPr="00427197">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5</w:t>
      </w:r>
      <w:r w:rsidRPr="00427197">
        <w:rPr>
          <w:rFonts w:ascii="Times New Roman" w:eastAsia="Times New Roman" w:hAnsi="Times New Roman" w:cs="Times New Roman"/>
          <w:b/>
          <w:bCs/>
          <w:sz w:val="24"/>
          <w:szCs w:val="24"/>
        </w:rPr>
        <w:t>.1B</w:t>
      </w:r>
      <w:r w:rsidRPr="008E4EFB">
        <w:rPr>
          <w:rFonts w:ascii="Times New Roman" w:eastAsia="Times New Roman" w:hAnsi="Times New Roman" w:cs="Times New Roman"/>
          <w:sz w:val="24"/>
          <w:szCs w:val="24"/>
        </w:rPr>
        <w:t xml:space="preserve">). The greatest heat wave event is defined as the longest-lasting and most intense heat wave of the year. According to the RegCM4 ensemble, the change in heat wave duration in the Southeast (SE) will be close to 50 days at the 85% threshold but closer to 25 days in the Northern Rockies (NR), Northwest (NW), and West (W). This regional pattern is not seen in the DBCCA projections. Instead, the South (S) will have little change in the duration of the greatest heat wave event, but the Ohio Valley (OV) will experience 50 more days per year at the 85% threshold. </w:t>
      </w:r>
    </w:p>
    <w:p w14:paraId="7087DDC4" w14:textId="77777777" w:rsidR="00822EDA" w:rsidRPr="008E4EFB" w:rsidRDefault="00822EDA" w:rsidP="00822EDA">
      <w:pPr>
        <w:pBdr>
          <w:top w:val="nil"/>
          <w:left w:val="nil"/>
          <w:bottom w:val="nil"/>
          <w:right w:val="nil"/>
          <w:between w:val="nil"/>
        </w:pBd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At the lower thresholds (85%, 90%), the DBCCA and RegCM4 ensembles project an earlier start date of the greatest heat wave event in a year compared to the reference period (</w:t>
      </w:r>
      <w:r w:rsidRPr="00427197">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5</w:t>
      </w:r>
      <w:r w:rsidRPr="00427197">
        <w:rPr>
          <w:rFonts w:ascii="Times New Roman" w:eastAsia="Times New Roman" w:hAnsi="Times New Roman" w:cs="Times New Roman"/>
          <w:b/>
          <w:bCs/>
          <w:sz w:val="24"/>
          <w:szCs w:val="24"/>
        </w:rPr>
        <w:t>.1C</w:t>
      </w:r>
      <w:r w:rsidRPr="008E4EFB">
        <w:rPr>
          <w:rFonts w:ascii="Times New Roman" w:eastAsia="Times New Roman" w:hAnsi="Times New Roman" w:cs="Times New Roman"/>
          <w:sz w:val="24"/>
          <w:szCs w:val="24"/>
        </w:rPr>
        <w:t xml:space="preserve">). A start date of 30 days earlier (such as the Northwest (NW) from the DBCCA ensemble and the Northern Rockies (NR) from the RegCM4 ensemble) represents a shift to earlier and hotter seasons. However, at the highest thresholds (95%, 97.5%), both the ensembles project a change of 150 days, or about 5 months later. This is not a seasonal shift but a fundamental regime change, meaning that the start date of the greatest heat wave is shifting from winter “warm spells” during the reference period to summer heat waves. However, these warm winter spells are not as long or intense as the summer heat waves because they are no longer counted at higher thresholds. The only region not demonstrating this pattern is the South (S), from the DBCCA ensemble. Instead, the pattern is reversed, with the lower thresholds associated with a 1–2-month delay in start date and higher thresholds associated with a 10–15 day earlier start date. Note that this is the start date of the hottest and longest-lasting heat wave of the year, not the start date of the year's first heat wave, and the number of heat waves in a year is accounted for with the HWMI. </w:t>
      </w:r>
    </w:p>
    <w:p w14:paraId="659289CA" w14:textId="6D803A13" w:rsidR="00754C05" w:rsidRPr="00822EDA" w:rsidRDefault="0044437F" w:rsidP="00822EDA">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For the purpose of model validation, the CMIP6-DBCCA and CMIP6-RegCM4 ensembles are compared to three gridded observational datasets (Daymet, NClimGrid, and PRISM) for the historic reference period of 1980–2019 (</w:t>
      </w:r>
      <w:r w:rsidRPr="00427197">
        <w:rPr>
          <w:rFonts w:ascii="Times New Roman" w:eastAsia="Times New Roman" w:hAnsi="Times New Roman" w:cs="Times New Roman"/>
          <w:b/>
          <w:bCs/>
          <w:sz w:val="24"/>
          <w:szCs w:val="24"/>
        </w:rPr>
        <w:t xml:space="preserve">Figure </w:t>
      </w:r>
      <w:r w:rsidR="00FE3C56">
        <w:rPr>
          <w:rFonts w:ascii="Times New Roman" w:eastAsia="Times New Roman" w:hAnsi="Times New Roman" w:cs="Times New Roman"/>
          <w:b/>
          <w:bCs/>
          <w:sz w:val="24"/>
          <w:szCs w:val="24"/>
        </w:rPr>
        <w:t>4</w:t>
      </w:r>
      <w:r w:rsidR="000148B8"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2</w:t>
      </w:r>
      <w:r w:rsidRPr="008E4EFB">
        <w:rPr>
          <w:rFonts w:ascii="Times New Roman" w:eastAsia="Times New Roman" w:hAnsi="Times New Roman" w:cs="Times New Roman"/>
          <w:sz w:val="24"/>
          <w:szCs w:val="24"/>
        </w:rPr>
        <w:t xml:space="preserve">). CMIP6-Raw is the original 6-model ensemble remapped at 1⁰ resolution using bilinear interpolation with no downscaling. In </w:t>
      </w:r>
      <w:r w:rsidRPr="00FE3C56">
        <w:rPr>
          <w:rFonts w:ascii="Times New Roman" w:eastAsia="Times New Roman" w:hAnsi="Times New Roman" w:cs="Times New Roman"/>
          <w:b/>
          <w:bCs/>
          <w:sz w:val="24"/>
          <w:szCs w:val="24"/>
        </w:rPr>
        <w:t xml:space="preserve">Figure </w:t>
      </w:r>
      <w:r w:rsidR="000148B8" w:rsidRPr="00FE3C56">
        <w:rPr>
          <w:rFonts w:ascii="Times New Roman" w:eastAsia="Times New Roman" w:hAnsi="Times New Roman" w:cs="Times New Roman"/>
          <w:b/>
          <w:bCs/>
          <w:sz w:val="24"/>
          <w:szCs w:val="24"/>
        </w:rPr>
        <w:t>4.</w:t>
      </w:r>
      <w:r w:rsidRPr="00FE3C56">
        <w:rPr>
          <w:rFonts w:ascii="Times New Roman" w:eastAsia="Times New Roman" w:hAnsi="Times New Roman" w:cs="Times New Roman"/>
          <w:b/>
          <w:bCs/>
          <w:sz w:val="24"/>
          <w:szCs w:val="24"/>
        </w:rPr>
        <w:t>2A</w:t>
      </w:r>
      <w:r w:rsidRPr="008E4EFB">
        <w:rPr>
          <w:rFonts w:ascii="Times New Roman" w:eastAsia="Times New Roman" w:hAnsi="Times New Roman" w:cs="Times New Roman"/>
          <w:sz w:val="24"/>
          <w:szCs w:val="24"/>
        </w:rPr>
        <w:t xml:space="preserve">, all data were regridded to a 1⁰ resolution, and in </w:t>
      </w:r>
      <w:r w:rsidRPr="00FE3C56">
        <w:rPr>
          <w:rFonts w:ascii="Times New Roman" w:eastAsia="Times New Roman" w:hAnsi="Times New Roman" w:cs="Times New Roman"/>
          <w:b/>
          <w:bCs/>
          <w:sz w:val="24"/>
          <w:szCs w:val="24"/>
        </w:rPr>
        <w:t xml:space="preserve">Figure </w:t>
      </w:r>
      <w:r w:rsidR="000148B8" w:rsidRPr="00FE3C56">
        <w:rPr>
          <w:rFonts w:ascii="Times New Roman" w:eastAsia="Times New Roman" w:hAnsi="Times New Roman" w:cs="Times New Roman"/>
          <w:b/>
          <w:bCs/>
          <w:sz w:val="24"/>
          <w:szCs w:val="24"/>
        </w:rPr>
        <w:t>4.</w:t>
      </w:r>
      <w:r w:rsidRPr="00FE3C56">
        <w:rPr>
          <w:rFonts w:ascii="Times New Roman" w:eastAsia="Times New Roman" w:hAnsi="Times New Roman" w:cs="Times New Roman"/>
          <w:b/>
          <w:bCs/>
          <w:sz w:val="24"/>
          <w:szCs w:val="24"/>
        </w:rPr>
        <w:t>2B</w:t>
      </w:r>
      <w:r w:rsidRPr="008E4EFB">
        <w:rPr>
          <w:rFonts w:ascii="Times New Roman" w:eastAsia="Times New Roman" w:hAnsi="Times New Roman" w:cs="Times New Roman"/>
          <w:sz w:val="24"/>
          <w:szCs w:val="24"/>
        </w:rPr>
        <w:t>, the model projections are compared directly at their original resolution (</w:t>
      </w:r>
      <w:r w:rsidRPr="007F0D68">
        <w:rPr>
          <w:rFonts w:ascii="Times New Roman" w:eastAsia="Times New Roman" w:hAnsi="Times New Roman" w:cs="Times New Roman"/>
          <w:b/>
          <w:bCs/>
          <w:sz w:val="24"/>
          <w:szCs w:val="24"/>
        </w:rPr>
        <w:t>Table S</w:t>
      </w:r>
      <w:r w:rsidR="00FE3C56">
        <w:rPr>
          <w:rFonts w:ascii="Times New Roman" w:eastAsia="Times New Roman" w:hAnsi="Times New Roman" w:cs="Times New Roman"/>
          <w:b/>
          <w:bCs/>
          <w:sz w:val="24"/>
          <w:szCs w:val="24"/>
        </w:rPr>
        <w:t>4</w:t>
      </w:r>
      <w:r w:rsidR="000148B8" w:rsidRPr="007F0D68">
        <w:rPr>
          <w:rFonts w:ascii="Times New Roman" w:eastAsia="Times New Roman" w:hAnsi="Times New Roman" w:cs="Times New Roman"/>
          <w:b/>
          <w:bCs/>
          <w:sz w:val="24"/>
          <w:szCs w:val="24"/>
        </w:rPr>
        <w:t>.</w:t>
      </w:r>
      <w:r w:rsidRPr="007F0D68">
        <w:rPr>
          <w:rFonts w:ascii="Times New Roman" w:eastAsia="Times New Roman" w:hAnsi="Times New Roman" w:cs="Times New Roman"/>
          <w:b/>
          <w:bCs/>
          <w:sz w:val="24"/>
          <w:szCs w:val="24"/>
        </w:rPr>
        <w:t>2</w:t>
      </w:r>
      <w:r w:rsidRPr="008E4EFB">
        <w:rPr>
          <w:rFonts w:ascii="Times New Roman" w:eastAsia="Times New Roman" w:hAnsi="Times New Roman" w:cs="Times New Roman"/>
          <w:sz w:val="24"/>
          <w:szCs w:val="24"/>
        </w:rPr>
        <w:t xml:space="preserve">). In the Southwest (SW), Ohio Valley </w:t>
      </w:r>
      <w:bookmarkStart w:id="72" w:name="_Toc179917568"/>
      <w:bookmarkStart w:id="73" w:name="_Toc179918048"/>
      <w:bookmarkStart w:id="74" w:name="_Toc184062909"/>
    </w:p>
    <w:p w14:paraId="07131DC3" w14:textId="1A1E3584" w:rsidR="00754C05" w:rsidRDefault="00754C05" w:rsidP="00754C05">
      <w:pPr>
        <w:pStyle w:val="Caption"/>
        <w:rPr>
          <w:rFonts w:ascii="Times New Roman" w:eastAsia="Times New Roman" w:hAnsi="Times New Roman" w:cs="Times New Roman"/>
          <w:i w:val="0"/>
          <w:iCs w:val="0"/>
          <w:color w:val="auto"/>
          <w:sz w:val="24"/>
          <w:szCs w:val="24"/>
        </w:rPr>
      </w:pPr>
      <w:r w:rsidRPr="008E4EFB">
        <w:rPr>
          <w:rFonts w:ascii="Times New Roman" w:hAnsi="Times New Roman" w:cs="Times New Roman"/>
          <w:i w:val="0"/>
          <w:iCs w:val="0"/>
          <w:color w:val="auto"/>
          <w:sz w:val="24"/>
          <w:szCs w:val="24"/>
        </w:rPr>
        <w:lastRenderedPageBreak/>
        <w:t>Figure 5</w:t>
      </w:r>
      <w:r>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Figure \* ARABIC \s 1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2</w:t>
      </w:r>
      <w:r>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Maximum daily temperature in the US, from 1980–2019</w:t>
      </w:r>
      <w:r w:rsidRPr="008E4EFB">
        <w:rPr>
          <w:rFonts w:ascii="Times New Roman" w:eastAsia="Times New Roman" w:hAnsi="Times New Roman" w:cs="Times New Roman"/>
          <w:i w:val="0"/>
          <w:iCs w:val="0"/>
          <w:color w:val="auto"/>
          <w:sz w:val="24"/>
          <w:szCs w:val="24"/>
        </w:rPr>
        <w:t>. A) Each model or observational output was regridded to the CMIP6 resolution (1⁰x1⁰). B) Each model or observational output was kept at its original resolution.</w:t>
      </w:r>
      <w:bookmarkEnd w:id="72"/>
      <w:bookmarkEnd w:id="73"/>
      <w:bookmarkEnd w:id="74"/>
    </w:p>
    <w:p w14:paraId="07722609" w14:textId="77777777" w:rsidR="00754C05" w:rsidRDefault="00754C05" w:rsidP="00754C05"/>
    <w:p w14:paraId="7FFE48EE" w14:textId="77777777" w:rsidR="00754C05" w:rsidRDefault="00754C05" w:rsidP="00754C05"/>
    <w:p w14:paraId="2888025E" w14:textId="77777777" w:rsidR="00754C05" w:rsidRDefault="00754C05" w:rsidP="00754C05"/>
    <w:p w14:paraId="2988F0D2" w14:textId="77777777" w:rsidR="00754C05" w:rsidRDefault="00754C05" w:rsidP="00754C05"/>
    <w:p w14:paraId="545F59E9" w14:textId="77777777" w:rsidR="00754C05" w:rsidRDefault="00754C05" w:rsidP="00754C05"/>
    <w:p w14:paraId="1C68A421" w14:textId="77777777" w:rsidR="00754C05" w:rsidRDefault="00754C05" w:rsidP="00754C05"/>
    <w:p w14:paraId="7A173DD7" w14:textId="77777777" w:rsidR="00754C05" w:rsidRDefault="00754C05" w:rsidP="00754C05"/>
    <w:p w14:paraId="35D37FD4" w14:textId="77777777" w:rsidR="00754C05" w:rsidRDefault="00754C05" w:rsidP="00754C05"/>
    <w:p w14:paraId="43245AAB" w14:textId="77777777" w:rsidR="00754C05" w:rsidRDefault="00754C05" w:rsidP="00754C05"/>
    <w:p w14:paraId="643D9598" w14:textId="77777777" w:rsidR="00754C05" w:rsidRDefault="00754C05" w:rsidP="00754C05"/>
    <w:p w14:paraId="1B327DBB" w14:textId="77777777" w:rsidR="00754C05" w:rsidRDefault="00754C05" w:rsidP="00754C05"/>
    <w:p w14:paraId="69EBB510" w14:textId="77777777" w:rsidR="00754C05" w:rsidRDefault="00754C05" w:rsidP="00754C05"/>
    <w:p w14:paraId="6F1D3CEC" w14:textId="77777777" w:rsidR="00754C05" w:rsidRPr="00754C05" w:rsidRDefault="00754C05" w:rsidP="00754C05"/>
    <w:p w14:paraId="1B97F182" w14:textId="77777777" w:rsidR="0044437F" w:rsidRPr="008E4EFB" w:rsidRDefault="0044437F" w:rsidP="00ED686E">
      <w:pPr>
        <w:pStyle w:val="ListParagraph"/>
        <w:spacing w:before="240" w:line="240" w:lineRule="auto"/>
        <w:ind w:left="360"/>
        <w:rPr>
          <w:rFonts w:ascii="Times New Roman" w:hAnsi="Times New Roman" w:cs="Times New Roman"/>
          <w:noProof/>
          <w:sz w:val="24"/>
          <w:szCs w:val="24"/>
        </w:rPr>
      </w:pPr>
      <w:r w:rsidRPr="008E4EFB">
        <w:rPr>
          <w:rFonts w:ascii="Times New Roman" w:eastAsia="Times New Roman" w:hAnsi="Times New Roman" w:cs="Times New Roman"/>
          <w:noProof/>
          <w:sz w:val="24"/>
          <w:szCs w:val="24"/>
        </w:rPr>
        <w:lastRenderedPageBreak/>
        <w:drawing>
          <wp:inline distT="0" distB="0" distL="0" distR="0" wp14:anchorId="4BE935E8" wp14:editId="4CC5E351">
            <wp:extent cx="5883215" cy="4063567"/>
            <wp:effectExtent l="0" t="0" r="0" b="3175"/>
            <wp:docPr id="50955794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57940" name="Picture 1" descr="A screenshot of a graph&#10;&#10;Description automatically generated"/>
                    <pic:cNvPicPr/>
                  </pic:nvPicPr>
                  <pic:blipFill>
                    <a:blip r:embed="rId47"/>
                    <a:stretch>
                      <a:fillRect/>
                    </a:stretch>
                  </pic:blipFill>
                  <pic:spPr>
                    <a:xfrm>
                      <a:off x="0" y="0"/>
                      <a:ext cx="5883215" cy="4063567"/>
                    </a:xfrm>
                    <a:prstGeom prst="rect">
                      <a:avLst/>
                    </a:prstGeom>
                  </pic:spPr>
                </pic:pic>
              </a:graphicData>
            </a:graphic>
          </wp:inline>
        </w:drawing>
      </w:r>
      <w:r w:rsidRPr="008E4EFB">
        <w:rPr>
          <w:rFonts w:ascii="Times New Roman" w:hAnsi="Times New Roman" w:cs="Times New Roman"/>
          <w:noProof/>
          <w:sz w:val="24"/>
          <w:szCs w:val="24"/>
        </w:rPr>
        <w:t xml:space="preserve"> </w:t>
      </w:r>
    </w:p>
    <w:p w14:paraId="3BAE14CE" w14:textId="0EC505AB" w:rsidR="00754C05" w:rsidRPr="00754C05" w:rsidRDefault="0044437F" w:rsidP="00754C05">
      <w:pPr>
        <w:pStyle w:val="ListParagraph"/>
        <w:spacing w:before="240" w:line="240" w:lineRule="auto"/>
        <w:ind w:left="360"/>
        <w:rPr>
          <w:rFonts w:ascii="Times New Roman" w:eastAsia="Times New Roman" w:hAnsi="Times New Roman" w:cs="Times New Roman"/>
          <w:sz w:val="24"/>
          <w:szCs w:val="24"/>
        </w:rPr>
      </w:pPr>
      <w:r w:rsidRPr="008E4EFB">
        <w:rPr>
          <w:rFonts w:ascii="Times New Roman" w:hAnsi="Times New Roman" w:cs="Times New Roman"/>
          <w:noProof/>
          <w:sz w:val="24"/>
          <w:szCs w:val="24"/>
        </w:rPr>
        <w:drawing>
          <wp:inline distT="0" distB="0" distL="0" distR="0" wp14:anchorId="5EAE72B1" wp14:editId="6572C917">
            <wp:extent cx="5943600" cy="4105275"/>
            <wp:effectExtent l="0" t="0" r="0" b="9525"/>
            <wp:docPr id="190524170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241709" name="Picture 1" descr="A screenshot of a graph&#10;&#10;Description automatically generated"/>
                    <pic:cNvPicPr/>
                  </pic:nvPicPr>
                  <pic:blipFill>
                    <a:blip r:embed="rId48"/>
                    <a:stretch>
                      <a:fillRect/>
                    </a:stretch>
                  </pic:blipFill>
                  <pic:spPr>
                    <a:xfrm>
                      <a:off x="0" y="0"/>
                      <a:ext cx="5943600" cy="4105275"/>
                    </a:xfrm>
                    <a:prstGeom prst="rect">
                      <a:avLst/>
                    </a:prstGeom>
                  </pic:spPr>
                </pic:pic>
              </a:graphicData>
            </a:graphic>
          </wp:inline>
        </w:drawing>
      </w:r>
      <w:bookmarkStart w:id="75" w:name="_Toc179917990"/>
    </w:p>
    <w:p w14:paraId="0EE51925" w14:textId="75D039D7" w:rsidR="00822EDA" w:rsidRDefault="00822EDA" w:rsidP="00822EDA">
      <w:pPr>
        <w:spacing w:after="0" w:line="360" w:lineRule="auto"/>
      </w:pPr>
      <w:r w:rsidRPr="008E4EFB">
        <w:rPr>
          <w:rFonts w:ascii="Times New Roman" w:eastAsia="Times New Roman" w:hAnsi="Times New Roman" w:cs="Times New Roman"/>
          <w:sz w:val="24"/>
          <w:szCs w:val="24"/>
        </w:rPr>
        <w:lastRenderedPageBreak/>
        <w:t xml:space="preserve">(OV), and Northwest (NW), aggregation does not change that CMIP6 projects significantly lower maximum temperature estimates than the other model outputs and observations (P&lt;0.05). In the Northeast (NE), Northern Rockies (NR), West (W), South (S), and Upper Midwest (UM) the CMIP6 average maximum temperature is significantly higher than the original resolution DBCCA, RegCM4, and Daymet values but is significantly lower than the regridded values (P&lt;0.05). In the Southeast (SE) the CMIP6-Raw ensemble </w:t>
      </w:r>
      <w:proofErr w:type="gramStart"/>
      <w:r w:rsidRPr="008E4EFB">
        <w:rPr>
          <w:rFonts w:ascii="Times New Roman" w:eastAsia="Times New Roman" w:hAnsi="Times New Roman" w:cs="Times New Roman"/>
          <w:sz w:val="24"/>
          <w:szCs w:val="24"/>
        </w:rPr>
        <w:t>mean</w:t>
      </w:r>
      <w:proofErr w:type="gramEnd"/>
      <w:r w:rsidRPr="008E4EFB">
        <w:rPr>
          <w:rFonts w:ascii="Times New Roman" w:eastAsia="Times New Roman" w:hAnsi="Times New Roman" w:cs="Times New Roman"/>
          <w:sz w:val="24"/>
          <w:szCs w:val="24"/>
        </w:rPr>
        <w:t xml:space="preserve"> at 1⁰ resolution is significantly higher than the original resolution DBCCA, RegCM4, and Daymet means whereas aggregation to 1⁰ shifts the DBCCA and RegCM4 means to be significantly lower than the CMIP6-Raw ensemble </w:t>
      </w:r>
      <w:proofErr w:type="gramStart"/>
      <w:r w:rsidRPr="008E4EFB">
        <w:rPr>
          <w:rFonts w:ascii="Times New Roman" w:eastAsia="Times New Roman" w:hAnsi="Times New Roman" w:cs="Times New Roman"/>
          <w:sz w:val="24"/>
          <w:szCs w:val="24"/>
        </w:rPr>
        <w:t>mean</w:t>
      </w:r>
      <w:proofErr w:type="gramEnd"/>
      <w:r w:rsidRPr="008E4EFB">
        <w:rPr>
          <w:rFonts w:ascii="Times New Roman" w:eastAsia="Times New Roman" w:hAnsi="Times New Roman" w:cs="Times New Roman"/>
          <w:sz w:val="24"/>
          <w:szCs w:val="24"/>
        </w:rPr>
        <w:t xml:space="preserve"> and the </w:t>
      </w:r>
      <w:proofErr w:type="spellStart"/>
      <w:r w:rsidRPr="008E4EFB">
        <w:rPr>
          <w:rFonts w:ascii="Times New Roman" w:eastAsia="Times New Roman" w:hAnsi="Times New Roman" w:cs="Times New Roman"/>
          <w:sz w:val="24"/>
          <w:szCs w:val="24"/>
        </w:rPr>
        <w:t>NClimGrid</w:t>
      </w:r>
      <w:proofErr w:type="spellEnd"/>
      <w:r w:rsidRPr="008E4EFB">
        <w:rPr>
          <w:rFonts w:ascii="Times New Roman" w:eastAsia="Times New Roman" w:hAnsi="Times New Roman" w:cs="Times New Roman"/>
          <w:sz w:val="24"/>
          <w:szCs w:val="24"/>
        </w:rPr>
        <w:t xml:space="preserve"> and PRISM means to be significantly higher (P&lt;0.05). </w:t>
      </w:r>
      <w:r w:rsidRPr="00822EDA">
        <w:rPr>
          <w:rFonts w:ascii="Times New Roman" w:eastAsia="Times New Roman" w:hAnsi="Times New Roman" w:cs="Times New Roman"/>
          <w:b/>
          <w:bCs/>
          <w:sz w:val="24"/>
          <w:szCs w:val="24"/>
        </w:rPr>
        <w:t>Table S</w:t>
      </w:r>
      <w:r w:rsidR="00CD3752">
        <w:rPr>
          <w:rFonts w:ascii="Times New Roman" w:eastAsia="Times New Roman" w:hAnsi="Times New Roman" w:cs="Times New Roman"/>
          <w:b/>
          <w:bCs/>
          <w:sz w:val="24"/>
          <w:szCs w:val="24"/>
        </w:rPr>
        <w:t>5</w:t>
      </w:r>
      <w:r w:rsidRPr="00822EDA">
        <w:rPr>
          <w:rFonts w:ascii="Times New Roman" w:eastAsia="Times New Roman" w:hAnsi="Times New Roman" w:cs="Times New Roman"/>
          <w:b/>
          <w:bCs/>
          <w:sz w:val="24"/>
          <w:szCs w:val="24"/>
        </w:rPr>
        <w:t>.2</w:t>
      </w:r>
      <w:r w:rsidRPr="008E4EFB">
        <w:rPr>
          <w:rFonts w:ascii="Times New Roman" w:eastAsia="Times New Roman" w:hAnsi="Times New Roman" w:cs="Times New Roman"/>
          <w:sz w:val="24"/>
          <w:szCs w:val="24"/>
        </w:rPr>
        <w:t xml:space="preserve"> lists the original horizontal grid spacing before all the datasets are regridded to 1⁰ for comparison in </w:t>
      </w:r>
      <w:r w:rsidRPr="00822EDA">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5</w:t>
      </w:r>
      <w:r w:rsidRPr="00822EDA">
        <w:rPr>
          <w:rFonts w:ascii="Times New Roman" w:eastAsia="Times New Roman" w:hAnsi="Times New Roman" w:cs="Times New Roman"/>
          <w:b/>
          <w:bCs/>
          <w:sz w:val="24"/>
          <w:szCs w:val="24"/>
        </w:rPr>
        <w:t>.2A</w:t>
      </w:r>
      <w:r w:rsidRPr="008E4EFB">
        <w:rPr>
          <w:rFonts w:ascii="Times New Roman" w:eastAsia="Times New Roman" w:hAnsi="Times New Roman" w:cs="Times New Roman"/>
          <w:sz w:val="24"/>
          <w:szCs w:val="24"/>
        </w:rPr>
        <w:t>.</w:t>
      </w:r>
    </w:p>
    <w:p w14:paraId="5E8ACC77" w14:textId="23625860" w:rsidR="0044437F" w:rsidRPr="008E4EFB" w:rsidRDefault="00A25FC1" w:rsidP="00822EDA">
      <w:pPr>
        <w:pStyle w:val="Style3"/>
        <w:numPr>
          <w:ilvl w:val="0"/>
          <w:numId w:val="0"/>
        </w:numPr>
        <w:pBdr>
          <w:top w:val="nil"/>
          <w:left w:val="nil"/>
          <w:bottom w:val="nil"/>
          <w:right w:val="nil"/>
          <w:between w:val="nil"/>
        </w:pBdr>
        <w:spacing w:before="0" w:line="360" w:lineRule="auto"/>
        <w:rPr>
          <w:rFonts w:eastAsia="Times New Roman" w:cs="Times New Roman"/>
          <w:szCs w:val="24"/>
        </w:rPr>
      </w:pPr>
      <w:r w:rsidRPr="008E4EFB">
        <w:rPr>
          <w:rFonts w:cs="Times New Roman"/>
          <w:szCs w:val="24"/>
        </w:rPr>
        <w:t xml:space="preserve">5.4 </w:t>
      </w:r>
      <w:r w:rsidR="0044437F" w:rsidRPr="008E4EFB">
        <w:rPr>
          <w:rFonts w:cs="Times New Roman"/>
          <w:szCs w:val="24"/>
        </w:rPr>
        <w:t>Dynamical versus Statistical Downscaling</w:t>
      </w:r>
      <w:bookmarkEnd w:id="75"/>
    </w:p>
    <w:p w14:paraId="0DD2CA40" w14:textId="6D5005CD" w:rsidR="00F822A2" w:rsidRDefault="0044437F" w:rsidP="00822EDA">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The HWMI is driven by maximum temperature, by definition (see Methods). The projected annual maximum temperature for each downscaling ensemble is shown in </w:t>
      </w:r>
      <w:r w:rsidRPr="00822EDA">
        <w:rPr>
          <w:rFonts w:ascii="Times New Roman" w:eastAsia="Times New Roman" w:hAnsi="Times New Roman" w:cs="Times New Roman"/>
          <w:b/>
          <w:bCs/>
          <w:sz w:val="24"/>
          <w:szCs w:val="24"/>
        </w:rPr>
        <w:t>Figure S</w:t>
      </w:r>
      <w:r w:rsidR="00CD3752">
        <w:rPr>
          <w:rFonts w:ascii="Times New Roman" w:eastAsia="Times New Roman" w:hAnsi="Times New Roman" w:cs="Times New Roman"/>
          <w:b/>
          <w:bCs/>
          <w:sz w:val="24"/>
          <w:szCs w:val="24"/>
        </w:rPr>
        <w:t>5</w:t>
      </w:r>
      <w:r w:rsidR="00A35910" w:rsidRPr="00822EDA">
        <w:rPr>
          <w:rFonts w:ascii="Times New Roman" w:eastAsia="Times New Roman" w:hAnsi="Times New Roman" w:cs="Times New Roman"/>
          <w:b/>
          <w:bCs/>
          <w:sz w:val="24"/>
          <w:szCs w:val="24"/>
        </w:rPr>
        <w:t>.</w:t>
      </w:r>
      <w:r w:rsidRPr="00822EDA">
        <w:rPr>
          <w:rFonts w:ascii="Times New Roman" w:eastAsia="Times New Roman" w:hAnsi="Times New Roman" w:cs="Times New Roman"/>
          <w:b/>
          <w:bCs/>
          <w:sz w:val="24"/>
          <w:szCs w:val="24"/>
        </w:rPr>
        <w:t>3</w:t>
      </w:r>
      <w:r w:rsidRPr="008E4EFB">
        <w:rPr>
          <w:rFonts w:ascii="Times New Roman" w:eastAsia="Times New Roman" w:hAnsi="Times New Roman" w:cs="Times New Roman"/>
          <w:sz w:val="24"/>
          <w:szCs w:val="24"/>
        </w:rPr>
        <w:t>. Notably, the trends and year-to-year variation are very similar, although the DBCCA tends to project slightly higher temperatures in the 2050s. Looking at annual averages over the entire CONUS, it is not immediately apparent that the two approaches are fundamentally different. However, at a seasonal scale, there are definite spatial differences (</w:t>
      </w:r>
      <w:r w:rsidRPr="00427197">
        <w:rPr>
          <w:rFonts w:ascii="Times New Roman" w:eastAsia="Times New Roman" w:hAnsi="Times New Roman" w:cs="Times New Roman"/>
          <w:b/>
          <w:bCs/>
          <w:sz w:val="24"/>
          <w:szCs w:val="24"/>
        </w:rPr>
        <w:t xml:space="preserve">Figure </w:t>
      </w:r>
      <w:r w:rsidR="00822EDA">
        <w:rPr>
          <w:rFonts w:ascii="Times New Roman" w:eastAsia="Times New Roman" w:hAnsi="Times New Roman" w:cs="Times New Roman"/>
          <w:b/>
          <w:bCs/>
          <w:sz w:val="24"/>
          <w:szCs w:val="24"/>
        </w:rPr>
        <w:t>5</w:t>
      </w:r>
      <w:r w:rsidR="00A35910"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3</w:t>
      </w:r>
      <w:r w:rsidRPr="008E4EFB">
        <w:rPr>
          <w:rFonts w:ascii="Times New Roman" w:eastAsia="Times New Roman" w:hAnsi="Times New Roman" w:cs="Times New Roman"/>
          <w:sz w:val="24"/>
          <w:szCs w:val="24"/>
        </w:rPr>
        <w:t xml:space="preserve">). While both the DBCCA and RegCM4 downscaled ensembles demonstrate increased warming across all seasons, the DBCCA ensembles for spring, summer, and fall are markedly different from the RegCM4 projections. The DBCCA spring and summer projections appear to be overestimating the increase in 2050s temperatures compared to the RegCM4 projections, with greater warming in the northern and western US. In the fall, however, RegCM4 projects greater warming by the 2050s across much of the northern US.  </w:t>
      </w:r>
    </w:p>
    <w:p w14:paraId="561B82BC" w14:textId="539CE5BC" w:rsidR="00F822A2" w:rsidRDefault="005564E7" w:rsidP="00822EDA">
      <w:pPr>
        <w:spacing w:after="0" w:line="360" w:lineRule="auto"/>
        <w:rPr>
          <w:rFonts w:ascii="Times New Roman" w:eastAsia="Times New Roman" w:hAnsi="Times New Roman" w:cs="Times New Roman"/>
          <w:sz w:val="24"/>
          <w:szCs w:val="24"/>
        </w:rPr>
      </w:pPr>
      <w:r w:rsidRPr="005564E7">
        <w:rPr>
          <w:rFonts w:ascii="Times New Roman" w:eastAsia="Times New Roman" w:hAnsi="Times New Roman" w:cs="Times New Roman"/>
          <w:b/>
          <w:bCs/>
          <w:sz w:val="24"/>
          <w:szCs w:val="24"/>
        </w:rPr>
        <w:t>Figure 5.4</w:t>
      </w:r>
      <w:r w:rsidRPr="008E4EFB">
        <w:rPr>
          <w:rFonts w:ascii="Times New Roman" w:eastAsia="Times New Roman" w:hAnsi="Times New Roman" w:cs="Times New Roman"/>
          <w:sz w:val="24"/>
          <w:szCs w:val="24"/>
        </w:rPr>
        <w:t xml:space="preserve"> compares future heat wave characteristics in dynamical and statistical downscaling ensembles using 4 different percentile thresholds and 3 different reference windows. When averaged annually across the entire US, both RegCM4 and DBCCA reveal similar patterns of increasing intensity and duration of heat waves in the near future. The HWMI will increase steadily for all percentile thresholds and reference windows (</w:t>
      </w:r>
      <w:r w:rsidRPr="00427197">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5</w:t>
      </w:r>
      <w:r w:rsidRPr="00427197">
        <w:rPr>
          <w:rFonts w:ascii="Times New Roman" w:eastAsia="Times New Roman" w:hAnsi="Times New Roman" w:cs="Times New Roman"/>
          <w:b/>
          <w:bCs/>
          <w:sz w:val="24"/>
          <w:szCs w:val="24"/>
        </w:rPr>
        <w:t>.4A</w:t>
      </w:r>
      <w:r w:rsidRPr="008E4EFB">
        <w:rPr>
          <w:rFonts w:ascii="Times New Roman" w:eastAsia="Times New Roman" w:hAnsi="Times New Roman" w:cs="Times New Roman"/>
          <w:sz w:val="24"/>
          <w:szCs w:val="24"/>
        </w:rPr>
        <w:t xml:space="preserve">). The longer reference timeframe of 31 days has no noticeable smoothing effect on the year-to-year variation in HWMI compared to the shorter reference windows. </w:t>
      </w:r>
      <w:r w:rsidR="00F822A2">
        <w:rPr>
          <w:rFonts w:ascii="Times New Roman" w:eastAsia="Times New Roman" w:hAnsi="Times New Roman" w:cs="Times New Roman"/>
          <w:sz w:val="24"/>
          <w:szCs w:val="24"/>
        </w:rPr>
        <w:br w:type="page"/>
      </w:r>
    </w:p>
    <w:p w14:paraId="6AA5A4A2" w14:textId="77777777" w:rsidR="0044437F" w:rsidRPr="006918B4" w:rsidRDefault="0044437F" w:rsidP="006918B4">
      <w:pPr>
        <w:spacing w:line="240" w:lineRule="auto"/>
        <w:jc w:val="both"/>
        <w:rPr>
          <w:rFonts w:ascii="Times New Roman" w:eastAsia="Times New Roman" w:hAnsi="Times New Roman" w:cs="Times New Roman"/>
          <w:sz w:val="24"/>
          <w:szCs w:val="24"/>
        </w:rPr>
      </w:pPr>
      <w:r w:rsidRPr="008E4EFB">
        <w:rPr>
          <w:noProof/>
        </w:rPr>
        <w:lastRenderedPageBreak/>
        <w:drawing>
          <wp:inline distT="0" distB="0" distL="0" distR="0" wp14:anchorId="7F995A8F" wp14:editId="69BA0B5C">
            <wp:extent cx="5943600" cy="3609340"/>
            <wp:effectExtent l="0" t="0" r="0" b="0"/>
            <wp:docPr id="549447131"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47131" name="Picture 1" descr="A map of the united states&#10;&#10;Description automatically generated"/>
                    <pic:cNvPicPr/>
                  </pic:nvPicPr>
                  <pic:blipFill>
                    <a:blip r:embed="rId49"/>
                    <a:stretch>
                      <a:fillRect/>
                    </a:stretch>
                  </pic:blipFill>
                  <pic:spPr>
                    <a:xfrm>
                      <a:off x="0" y="0"/>
                      <a:ext cx="5943600" cy="3609340"/>
                    </a:xfrm>
                    <a:prstGeom prst="rect">
                      <a:avLst/>
                    </a:prstGeom>
                  </pic:spPr>
                </pic:pic>
              </a:graphicData>
            </a:graphic>
          </wp:inline>
        </w:drawing>
      </w:r>
    </w:p>
    <w:p w14:paraId="6FA9BB35" w14:textId="77777777" w:rsidR="0044437F" w:rsidRPr="006918B4" w:rsidRDefault="0044437F" w:rsidP="006918B4">
      <w:pPr>
        <w:spacing w:line="240" w:lineRule="auto"/>
        <w:rPr>
          <w:rFonts w:ascii="Times New Roman" w:eastAsia="Times New Roman" w:hAnsi="Times New Roman" w:cs="Times New Roman"/>
          <w:sz w:val="24"/>
          <w:szCs w:val="24"/>
        </w:rPr>
      </w:pPr>
      <w:r w:rsidRPr="008E4EFB">
        <w:rPr>
          <w:noProof/>
        </w:rPr>
        <w:drawing>
          <wp:inline distT="0" distB="0" distL="0" distR="0" wp14:anchorId="1CD6EB8B" wp14:editId="7C16EACA">
            <wp:extent cx="5943600" cy="3639820"/>
            <wp:effectExtent l="0" t="0" r="0" b="0"/>
            <wp:docPr id="1757206019"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06019" name="Picture 1" descr="A map of the united states&#10;&#10;Description automatically generated"/>
                    <pic:cNvPicPr/>
                  </pic:nvPicPr>
                  <pic:blipFill>
                    <a:blip r:embed="rId50"/>
                    <a:stretch>
                      <a:fillRect/>
                    </a:stretch>
                  </pic:blipFill>
                  <pic:spPr>
                    <a:xfrm>
                      <a:off x="0" y="0"/>
                      <a:ext cx="5943600" cy="3639820"/>
                    </a:xfrm>
                    <a:prstGeom prst="rect">
                      <a:avLst/>
                    </a:prstGeom>
                  </pic:spPr>
                </pic:pic>
              </a:graphicData>
            </a:graphic>
          </wp:inline>
        </w:drawing>
      </w:r>
    </w:p>
    <w:p w14:paraId="6DE02EFA" w14:textId="6E0E3214" w:rsidR="00066293" w:rsidRPr="005564E7" w:rsidRDefault="00F822A2" w:rsidP="005564E7">
      <w:pPr>
        <w:pStyle w:val="Caption"/>
        <w:rPr>
          <w:rFonts w:ascii="Times New Roman" w:eastAsia="Times New Roman" w:hAnsi="Times New Roman" w:cs="Times New Roman"/>
          <w:i w:val="0"/>
          <w:iCs w:val="0"/>
          <w:color w:val="auto"/>
          <w:sz w:val="24"/>
          <w:szCs w:val="24"/>
        </w:rPr>
      </w:pPr>
      <w:bookmarkStart w:id="76" w:name="_Toc179917569"/>
      <w:bookmarkStart w:id="77" w:name="_Toc179918049"/>
      <w:bookmarkStart w:id="78" w:name="_Toc184062910"/>
      <w:r w:rsidRPr="008E4EFB">
        <w:rPr>
          <w:rFonts w:ascii="Times New Roman" w:hAnsi="Times New Roman" w:cs="Times New Roman"/>
          <w:i w:val="0"/>
          <w:iCs w:val="0"/>
          <w:color w:val="auto"/>
          <w:sz w:val="24"/>
          <w:szCs w:val="24"/>
        </w:rPr>
        <w:t xml:space="preserve">Figure </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STYLEREF 1 \s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5</w:t>
      </w:r>
      <w:r>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Figure \* ARABIC \s 1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3</w:t>
      </w:r>
      <w:r>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Seasonal maximum temperature difference by decade. </w:t>
      </w:r>
      <w:r w:rsidRPr="008E4EFB">
        <w:rPr>
          <w:rFonts w:ascii="Times New Roman" w:eastAsia="Times New Roman" w:hAnsi="Times New Roman" w:cs="Times New Roman"/>
          <w:i w:val="0"/>
          <w:iCs w:val="0"/>
          <w:color w:val="auto"/>
          <w:sz w:val="24"/>
          <w:szCs w:val="24"/>
        </w:rPr>
        <w:t>The difference in average daily maximum temperature in degrees C by season for each future period and downscaling method compared to the reference period of 1980–2019. Stippling indicates statistical significance at the 95% confidence interval under a one-sample, two-sided Student’s t-test.</w:t>
      </w:r>
      <w:bookmarkEnd w:id="76"/>
      <w:bookmarkEnd w:id="77"/>
      <w:bookmarkEnd w:id="78"/>
    </w:p>
    <w:p w14:paraId="4875F4EE" w14:textId="689FB0E9" w:rsidR="00066293" w:rsidRPr="005564E7" w:rsidRDefault="00066293" w:rsidP="005564E7">
      <w:pPr>
        <w:rPr>
          <w:rFonts w:ascii="Times New Roman" w:hAnsi="Times New Roman" w:cs="Times New Roman"/>
          <w:sz w:val="24"/>
          <w:szCs w:val="24"/>
        </w:rPr>
      </w:pPr>
      <w:bookmarkStart w:id="79" w:name="_Toc179917570"/>
      <w:bookmarkStart w:id="80" w:name="_Toc179918050"/>
      <w:bookmarkStart w:id="81" w:name="_Toc184062911"/>
      <w:r>
        <w:rPr>
          <w:rFonts w:ascii="Times New Roman" w:hAnsi="Times New Roman" w:cs="Times New Roman"/>
          <w:i/>
          <w:iCs/>
          <w:sz w:val="24"/>
          <w:szCs w:val="24"/>
        </w:rPr>
        <w:br w:type="page"/>
      </w:r>
      <w:r w:rsidRPr="008E4EFB">
        <w:rPr>
          <w:rFonts w:ascii="Times New Roman" w:hAnsi="Times New Roman" w:cs="Times New Roman"/>
          <w:sz w:val="24"/>
          <w:szCs w:val="24"/>
        </w:rPr>
        <w:lastRenderedPageBreak/>
        <w:t>Figure 5</w:t>
      </w:r>
      <w:r>
        <w:rPr>
          <w:rFonts w:ascii="Times New Roman" w:hAnsi="Times New Roman" w:cs="Times New Roman"/>
          <w:sz w:val="24"/>
          <w:szCs w:val="24"/>
        </w:rPr>
        <w:t>.</w:t>
      </w:r>
      <w:r>
        <w:rPr>
          <w:rFonts w:ascii="Times New Roman" w:hAnsi="Times New Roman" w:cs="Times New Roman"/>
          <w:i/>
          <w:iCs/>
          <w:sz w:val="24"/>
          <w:szCs w:val="24"/>
        </w:rPr>
        <w:fldChar w:fldCharType="begin"/>
      </w:r>
      <w:r>
        <w:rPr>
          <w:rFonts w:ascii="Times New Roman" w:hAnsi="Times New Roman" w:cs="Times New Roman"/>
          <w:sz w:val="24"/>
          <w:szCs w:val="24"/>
        </w:rPr>
        <w:instrText xml:space="preserve"> SEQ Figure \* ARABIC \s 1 </w:instrText>
      </w:r>
      <w:r>
        <w:rPr>
          <w:rFonts w:ascii="Times New Roman" w:hAnsi="Times New Roman" w:cs="Times New Roman"/>
          <w:i/>
          <w:iCs/>
          <w:sz w:val="24"/>
          <w:szCs w:val="24"/>
        </w:rPr>
        <w:fldChar w:fldCharType="separate"/>
      </w:r>
      <w:r>
        <w:rPr>
          <w:rFonts w:ascii="Times New Roman" w:hAnsi="Times New Roman" w:cs="Times New Roman"/>
          <w:noProof/>
          <w:sz w:val="24"/>
          <w:szCs w:val="24"/>
        </w:rPr>
        <w:t>4</w:t>
      </w:r>
      <w:r>
        <w:rPr>
          <w:rFonts w:ascii="Times New Roman" w:hAnsi="Times New Roman" w:cs="Times New Roman"/>
          <w:i/>
          <w:iCs/>
          <w:sz w:val="24"/>
          <w:szCs w:val="24"/>
        </w:rPr>
        <w:fldChar w:fldCharType="end"/>
      </w:r>
      <w:r w:rsidRPr="008E4EFB">
        <w:rPr>
          <w:rFonts w:ascii="Times New Roman" w:hAnsi="Times New Roman" w:cs="Times New Roman"/>
          <w:sz w:val="24"/>
          <w:szCs w:val="24"/>
        </w:rPr>
        <w:t xml:space="preserve"> Heatwave characteristics by percentile threshold and window.</w:t>
      </w:r>
      <w:r w:rsidRPr="008E4EFB">
        <w:rPr>
          <w:rFonts w:ascii="Times New Roman" w:eastAsia="Times New Roman" w:hAnsi="Times New Roman" w:cs="Times New Roman"/>
          <w:sz w:val="24"/>
          <w:szCs w:val="24"/>
        </w:rPr>
        <w:t xml:space="preserve"> (A) HWMI by threshold and window in the US (2020–2059). (B) Predicted start day of the longest and hottest heat wave by threshold and window in the US (2020–2059) (The 97.5 percentile threshold has been removed for clarity, see Figure S</w:t>
      </w:r>
      <w:r w:rsidR="00CD3752">
        <w:rPr>
          <w:rFonts w:ascii="Times New Roman" w:eastAsia="Times New Roman" w:hAnsi="Times New Roman" w:cs="Times New Roman"/>
          <w:sz w:val="24"/>
          <w:szCs w:val="24"/>
        </w:rPr>
        <w:t>5</w:t>
      </w:r>
      <w:r w:rsidRPr="008E4EFB">
        <w:rPr>
          <w:rFonts w:ascii="Times New Roman" w:eastAsia="Times New Roman" w:hAnsi="Times New Roman" w:cs="Times New Roman"/>
          <w:sz w:val="24"/>
          <w:szCs w:val="24"/>
        </w:rPr>
        <w:t>.2 for the full comparison). (C) Predicted duration of the longest and hottest heat wave by threshold and windows in the US (2020–2059).</w:t>
      </w:r>
      <w:bookmarkEnd w:id="79"/>
      <w:bookmarkEnd w:id="80"/>
      <w:bookmarkEnd w:id="81"/>
      <w:r w:rsidRPr="008E4EFB">
        <w:rPr>
          <w:rFonts w:ascii="Times New Roman" w:eastAsia="Times New Roman" w:hAnsi="Times New Roman" w:cs="Times New Roman"/>
          <w:sz w:val="24"/>
          <w:szCs w:val="24"/>
        </w:rPr>
        <w:t xml:space="preserve"> </w:t>
      </w:r>
    </w:p>
    <w:p w14:paraId="11F03D8D" w14:textId="77777777" w:rsidR="00066293" w:rsidRPr="008E4EFB" w:rsidRDefault="00066293" w:rsidP="00DC4266">
      <w:pPr>
        <w:spacing w:after="0" w:line="360" w:lineRule="auto"/>
        <w:rPr>
          <w:rFonts w:ascii="Times New Roman" w:eastAsia="Times New Roman" w:hAnsi="Times New Roman" w:cs="Times New Roman"/>
          <w:sz w:val="24"/>
          <w:szCs w:val="24"/>
        </w:rPr>
      </w:pPr>
    </w:p>
    <w:p w14:paraId="3CDB8235" w14:textId="77777777" w:rsidR="0044437F" w:rsidRPr="008E4EFB" w:rsidRDefault="0044437F" w:rsidP="00ED686E">
      <w:pPr>
        <w:pStyle w:val="ListParagraph"/>
        <w:spacing w:line="240" w:lineRule="auto"/>
        <w:ind w:left="360"/>
        <w:jc w:val="center"/>
        <w:rPr>
          <w:rFonts w:ascii="Times New Roman" w:eastAsia="Times New Roman" w:hAnsi="Times New Roman" w:cs="Times New Roman"/>
          <w:sz w:val="24"/>
          <w:szCs w:val="24"/>
        </w:rPr>
      </w:pPr>
      <w:r w:rsidRPr="008E4EFB">
        <w:rPr>
          <w:rFonts w:ascii="Times New Roman" w:hAnsi="Times New Roman" w:cs="Times New Roman"/>
          <w:noProof/>
          <w:sz w:val="24"/>
          <w:szCs w:val="24"/>
        </w:rPr>
        <w:lastRenderedPageBreak/>
        <w:drawing>
          <wp:inline distT="114300" distB="114300" distL="114300" distR="114300" wp14:anchorId="163A4989" wp14:editId="68E3D385">
            <wp:extent cx="4876800" cy="2714625"/>
            <wp:effectExtent l="0" t="0" r="0" b="9525"/>
            <wp:docPr id="37" name="image12.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37" name="image12.png" descr="Chart&#10;&#10;Description automatically generated"/>
                    <pic:cNvPicPr preferRelativeResize="0"/>
                  </pic:nvPicPr>
                  <pic:blipFill>
                    <a:blip r:embed="rId51"/>
                    <a:srcRect/>
                    <a:stretch>
                      <a:fillRect/>
                    </a:stretch>
                  </pic:blipFill>
                  <pic:spPr>
                    <a:xfrm>
                      <a:off x="0" y="0"/>
                      <a:ext cx="4876800" cy="2714625"/>
                    </a:xfrm>
                    <a:prstGeom prst="rect">
                      <a:avLst/>
                    </a:prstGeom>
                    <a:ln/>
                  </pic:spPr>
                </pic:pic>
              </a:graphicData>
            </a:graphic>
          </wp:inline>
        </w:drawing>
      </w:r>
      <w:r w:rsidRPr="008E4EFB">
        <w:rPr>
          <w:rFonts w:ascii="Times New Roman" w:hAnsi="Times New Roman" w:cs="Times New Roman"/>
          <w:noProof/>
          <w:sz w:val="24"/>
          <w:szCs w:val="24"/>
        </w:rPr>
        <w:drawing>
          <wp:inline distT="114300" distB="114300" distL="114300" distR="114300" wp14:anchorId="5A8420AD" wp14:editId="6BC6D585">
            <wp:extent cx="5067300" cy="2609850"/>
            <wp:effectExtent l="0" t="0" r="0" b="0"/>
            <wp:docPr id="36" name="image3.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36" name="image3.png" descr="Chart&#10;&#10;Description automatically generated"/>
                    <pic:cNvPicPr preferRelativeResize="0"/>
                  </pic:nvPicPr>
                  <pic:blipFill>
                    <a:blip r:embed="rId52"/>
                    <a:srcRect/>
                    <a:stretch>
                      <a:fillRect/>
                    </a:stretch>
                  </pic:blipFill>
                  <pic:spPr>
                    <a:xfrm>
                      <a:off x="0" y="0"/>
                      <a:ext cx="5067300" cy="2609850"/>
                    </a:xfrm>
                    <a:prstGeom prst="rect">
                      <a:avLst/>
                    </a:prstGeom>
                    <a:ln/>
                  </pic:spPr>
                </pic:pic>
              </a:graphicData>
            </a:graphic>
          </wp:inline>
        </w:drawing>
      </w:r>
      <w:r w:rsidRPr="008E4EFB">
        <w:rPr>
          <w:rFonts w:ascii="Times New Roman" w:hAnsi="Times New Roman" w:cs="Times New Roman"/>
          <w:noProof/>
          <w:sz w:val="24"/>
          <w:szCs w:val="24"/>
        </w:rPr>
        <w:drawing>
          <wp:inline distT="114300" distB="114300" distL="114300" distR="114300" wp14:anchorId="361849F5" wp14:editId="64FCB2DF">
            <wp:extent cx="4895850" cy="2705100"/>
            <wp:effectExtent l="0" t="0" r="0" b="0"/>
            <wp:docPr id="40" name="image7.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40" name="image7.png" descr="Chart&#10;&#10;Description automatically generated"/>
                    <pic:cNvPicPr preferRelativeResize="0"/>
                  </pic:nvPicPr>
                  <pic:blipFill>
                    <a:blip r:embed="rId53"/>
                    <a:srcRect/>
                    <a:stretch>
                      <a:fillRect/>
                    </a:stretch>
                  </pic:blipFill>
                  <pic:spPr>
                    <a:xfrm>
                      <a:off x="0" y="0"/>
                      <a:ext cx="4895850" cy="2705100"/>
                    </a:xfrm>
                    <a:prstGeom prst="rect">
                      <a:avLst/>
                    </a:prstGeom>
                    <a:ln/>
                  </pic:spPr>
                </pic:pic>
              </a:graphicData>
            </a:graphic>
          </wp:inline>
        </w:drawing>
      </w:r>
    </w:p>
    <w:p w14:paraId="7D6F5334" w14:textId="6E876825" w:rsidR="005564E7" w:rsidRPr="008E4EFB" w:rsidRDefault="005564E7" w:rsidP="005564E7">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lastRenderedPageBreak/>
        <w:t>According to the RegCM4 ensemble, the average start day of the longest and hottest heat wave event will occur earlier each year (</w:t>
      </w:r>
      <w:r w:rsidRPr="00427197">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5</w:t>
      </w:r>
      <w:r w:rsidRPr="00427197">
        <w:rPr>
          <w:rFonts w:ascii="Times New Roman" w:eastAsia="Times New Roman" w:hAnsi="Times New Roman" w:cs="Times New Roman"/>
          <w:b/>
          <w:bCs/>
          <w:sz w:val="24"/>
          <w:szCs w:val="24"/>
        </w:rPr>
        <w:t>.4B</w:t>
      </w:r>
      <w:r w:rsidRPr="008E4EFB">
        <w:rPr>
          <w:rFonts w:ascii="Times New Roman" w:eastAsia="Times New Roman" w:hAnsi="Times New Roman" w:cs="Times New Roman"/>
          <w:sz w:val="24"/>
          <w:szCs w:val="24"/>
        </w:rPr>
        <w:t xml:space="preserve">). In 2020, the average start date across the US is around </w:t>
      </w:r>
      <w:proofErr w:type="gramStart"/>
      <w:r w:rsidRPr="008E4EFB">
        <w:rPr>
          <w:rFonts w:ascii="Times New Roman" w:eastAsia="Times New Roman" w:hAnsi="Times New Roman" w:cs="Times New Roman"/>
          <w:sz w:val="24"/>
          <w:szCs w:val="24"/>
        </w:rPr>
        <w:t>day 200</w:t>
      </w:r>
      <w:proofErr w:type="gramEnd"/>
      <w:r w:rsidRPr="008E4EFB">
        <w:rPr>
          <w:rFonts w:ascii="Times New Roman" w:eastAsia="Times New Roman" w:hAnsi="Times New Roman" w:cs="Times New Roman"/>
          <w:sz w:val="24"/>
          <w:szCs w:val="24"/>
        </w:rPr>
        <w:t xml:space="preserve"> (mid-July), but by 2059, this date will shift closer to day 175 (late June), almost an entire month earlier. The DBCCA ensemble does not demonstrate this shift to earlier, more extreme temperatures. It projects more inter-annual variability, alternating between start dates in mid-April and June.</w:t>
      </w:r>
    </w:p>
    <w:p w14:paraId="32D7ED99" w14:textId="796924EE" w:rsidR="005564E7" w:rsidRDefault="005564E7" w:rsidP="005564E7">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As the 97.5th percentile threshold (pink lines in </w:t>
      </w:r>
      <w:r w:rsidRPr="005564E7">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5</w:t>
      </w:r>
      <w:r w:rsidRPr="005564E7">
        <w:rPr>
          <w:rFonts w:ascii="Times New Roman" w:eastAsia="Times New Roman" w:hAnsi="Times New Roman" w:cs="Times New Roman"/>
          <w:b/>
          <w:bCs/>
          <w:sz w:val="24"/>
          <w:szCs w:val="24"/>
        </w:rPr>
        <w:t>.4C</w:t>
      </w:r>
      <w:r w:rsidRPr="008E4EFB">
        <w:rPr>
          <w:rFonts w:ascii="Times New Roman" w:eastAsia="Times New Roman" w:hAnsi="Times New Roman" w:cs="Times New Roman"/>
          <w:sz w:val="24"/>
          <w:szCs w:val="24"/>
        </w:rPr>
        <w:t xml:space="preserve">) shows, even the most conservative threshold in both the RegCM4 and DBCCA ensembles predict a steady increase in the duration of the greatest heat waves from fewer than 10 days in the early 2020s to well over 30 days in the 2050s. Under the least conservative threshold, the 85th percentile threshold (blue lines in </w:t>
      </w:r>
      <w:r w:rsidRPr="005564E7">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5</w:t>
      </w:r>
      <w:r w:rsidRPr="005564E7">
        <w:rPr>
          <w:rFonts w:ascii="Times New Roman" w:eastAsia="Times New Roman" w:hAnsi="Times New Roman" w:cs="Times New Roman"/>
          <w:b/>
          <w:bCs/>
          <w:sz w:val="24"/>
          <w:szCs w:val="24"/>
        </w:rPr>
        <w:t>.4C</w:t>
      </w:r>
      <w:r w:rsidRPr="008E4EFB">
        <w:rPr>
          <w:rFonts w:ascii="Times New Roman" w:eastAsia="Times New Roman" w:hAnsi="Times New Roman" w:cs="Times New Roman"/>
          <w:sz w:val="24"/>
          <w:szCs w:val="24"/>
        </w:rPr>
        <w:t xml:space="preserve">), there is a shift in the temperature regime in the US, where the greatest heat wave events will double in duration and last for more than two months. </w:t>
      </w:r>
    </w:p>
    <w:p w14:paraId="5EB6E882" w14:textId="23E7C4B6" w:rsidR="0044437F" w:rsidRPr="008E4EFB" w:rsidRDefault="0044437F" w:rsidP="00DC4266">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Diurnal temperature range is an important indicator of climate change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{"citationID":"lz6m0KJX","properties":{"formattedCitation":"(Braganza et al., 2004)","plainCitation":"(Braganza et al., 2004)","noteIndex":0},"citationItems":[{"id":2351,"uris":["http://zotero.org/users/3110659/items/NGGHKBR2"],"itemData":{"id":2351,"type":"article-journal","abstract":"The usefulness of global-average diurnal temperature range (DTR) as an index of climate change and variability is evaluated using observations and climate model simulations representing unforced climate variability and anthropogenic climate change. On decadal timescales, modelled and observed intrinsic variability of DTR compare well and are independent of variations in global mean temperature. Observed reductions in DTR over the last century are large and unlikely to be due to natural variability alone. Comparison of observed and anthropogenic-forced model changes in DTR over the last 50 years show much less reduction in DTR in the model simulations due to greater warming of maximum temperatures in the models than observed. This difference is likely attributed to increases in cloud cover that are observed over the same period and are absent in model simulations.","container-title":"Geophysical Research Letters","DOI":"10.1029/2004GL019998","ISSN":"1944-8007","issue":"13","language":"en","note":"_eprint: https://onlinelibrary.wiley.com/doi/pdf/10.1029/2004GL019998","source":"Wiley Online Library","title":"Diurnal temperature range as an index of global climate change during the twentieth century","URL":"https://onlinelibrary.wiley.com/doi/abs/10.1029/2004GL019998","volume":"31","author":[{"family":"Braganza","given":"Karl"},{"family":"Karoly","given":"David J."},{"family":"Arblaster","given":"J. M."}],"accessed":{"date-parts":[["2023",1,25]]},"issued":{"date-parts":[["2004"]]}}}],"schema":"https://github.com/citation-style-language/schema/raw/master/csl-citation.json"}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(Braganza et al., 2004)</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and is associated with various human health and environmental impacts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{"citationID":"LD29nKBo","properties":{"formattedCitation":"(Huang et al., 2020; Whanhee Lee et al., 2020; Park et al., 2020, 2020)","plainCitation":"(Huang et al., 2020; Whanhee Lee et al., 2020; Park et al., 2020, 2020)","noteIndex":0},"citationItems":[{"id":2489,"uris":["http://zotero.org/users/3110659/items/RFFRTDTH"],"itemData":{"id":2489,"type":"article-journal","abstract":"Background The effect of temperature and humidity on the incidence of influenza may differ by climate region. In addition, the effect of diurnal temperature range on influenza incidence is unclear, according to previous study findings. Objectives The aim of this study was to analyze the effects of temperature, humidity, and diurnal temperature range on the incidence of influenza in Seoul, Republic of Korea, which is located in a temperate region. Methods We used Korean National Health insurance data to assess the weekly influenza incidence between 2010 and 2016, and used meteorological data from Seoul. To investigate the effect of temperature, relative humidity, and diurnal temperature range levels on influenza incidence, we used a distributed lag non-linear model. Results The risk of influenza incidence was significantly increased with low daily temperatures of 0-5°C and low (30%–40%) or high (70%) relative humidity. We found a positive significant association between diurnal temperature range and influenza incidence in this study. Conclusions Influenza incidence increased with low temperature and low/high humidity in a temperate region. Influenza incidence also increased with high diurnal temperature range, after considering temperature and humidity.","container-title":"Influenza and Other Respiratory Viruses","DOI":"10.1111/irv.12682","ISSN":"1750-2659","issue":"1","language":"en","note":"_eprint: https://onlinelibrary.wiley.com/doi/pdf/10.1111/irv.12682","page":"11-18","source":"Wiley Online Library","title":"Effects of temperature, humidity, and diurnal temperature range on influenza incidence in a temperate region","volume":"14","author":[{"family":"Park","given":"Ji-Eun"},{"family":"Son","given":"Woo-Sik"},{"family":"Ryu","given":"Yeonhee"},{"family":"Choi","given":"Soo Beom"},{"family":"Kwon","given":"Okyu"},{"family":"Ahn","given":"Insung"}],"issued":{"date-parts":[["2020"]]}}},{"id":2489,"uris":["http://zotero.org/users/3110659/items/RFFRTDTH"],"itemData":{"id":2489,"type":"article-journal","abstract":"Background The effect of temperature and humidity on the incidence of influenza may differ by climate region. In addition, the effect of diurnal temperature range on influenza incidence is unclear, according to previous study findings. Objectives The aim of this study was to analyze the effects of temperature, humidity, and diurnal temperature range on the incidence of influenza in Seoul, Republic of Korea, which is located in a temperate region. Methods We used Korean National Health insurance data to assess the weekly influenza incidence between 2010 and 2016, and used meteorological data from Seoul. To investigate the effect of temperature, relative humidity, and diurnal temperature range levels on influenza incidence, we used a distributed lag non-linear model. Results The risk of influenza incidence was significantly increased with low daily temperatures of 0-5°C and low (30%–40%) or high (70%) relative humidity. We found a positive significant association between diurnal temperature range and influenza incidence in this study. Conclusions Influenza incidence increased with low temperature and low/high humidity in a temperate region. Influenza incidence also increased with high diurnal temperature range, after considering temperature and humidity.","container-title":"Influenza and Other Respiratory Viruses","DOI":"10.1111/irv.12682","ISSN":"1750-2659","issue":"1","language":"en","note":"_eprint: https://onlinelibrary.wiley.com/doi/pdf/10.1111/irv.12682","page":"11-18","source":"Wiley Online Library","title":"Effects of temperature, humidity, and diurnal temperature range on influenza incidence in a temperate region","volume":"14","author":[{"family":"Park","given":"Ji-Eun"},{"family":"Son","given":"Woo-Sik"},{"family":"Ryu","given":"Yeonhee"},{"family":"Choi","given":"Soo Beom"},{"family":"Kwon","given":"Okyu"},{"family":"Ahn","given":"Insung"}],"issued":{"date-parts":[["2020"]]}}},{"id":2498,"uris":["http://zotero.org/users/3110659/items/HIXSSGME"],"itemData":{"id":2498,"type":"article-journal","abstract":"Preseason temperature, the air temperature before the vegetation growing season, is the most influential factor controlling the start of the growing season (SOS) in temperate and boreal areas. Although the response of SOS to mean daily temperature (Tmean) and daily temperature extremes during the preseason period has been extensively investigated, the effect of preseason diurnal temperature range (DTR) on SOS remains largely unknown. Here, we analyze the interannual covariation of preseason DTR with SOS, determined from satellite-derived normalized difference vegetation index, over the mid and high latitudes in the Northern Hemisphere from 1983 to 2015. After using partial correlation analyses to remove the correlations between preseason DTR and preseason Tmean, cloudiness, and precipitation, we found that the partial correlation between SOS and preseason DTR was negative (i.e., that a larger preseason DTR delays SOS, and a smaller preseason DTR advances SOS) in 62.8% of the study area and positive in 37.2% of the study area. Multiple regression analysis suggested that a 1-oC increase in DTR could induce more than 2.5 days advance (or delay) of SOS in 45.8% (or 24.6%) of the study area. The magnitude of the sensitivity of SOS to preseason DTR was much smaller in areas with greater seasonality in temperature, which could be explained by the intensified thermal tolerance of vegetation. Further analysis showed a considerable difference in the partial correlation between SOS and preseason DTR versus that between SOS and preseason Tmean, indicating that preseason DTR can be used as a complementary ecological indicator to preseason Tmean in realistic modeling and predicting SOS. Although the impact of preseason DTR on spring vegetation phenology and its spatial variation are examined here, we advocate that more studies are needed to understand the physiological mechanisms governing the response of SOS to preseason DTR.","container-title":"Ecological Indicators","DOI":"10.1016/j.ecolind.2020.106161","ISSN":"1470-160X","journalAbbreviation":"Ecological Indicators","language":"en","page":"106161","source":"ScienceDirect","title":"Effect of preseason diurnal temperature range on the start of vegetation growing season in the Northern Hemisphere","volume":"112","author":[{"family":"Huang","given":"Yan"},{"family":"Jiang","given":"Nan"},{"family":"Shen","given":"Miaogen"},{"family":"Guo","given":"Li"}],"issued":{"date-parts":[["2020",5,1]]}}},{"id":2348,"uris":["http://zotero.org/users/3110659/items/BIYFCX8B"],"itemData":{"id":2348,"type":"article-journal","abstract":"Background\nVarious retrospective studies have reported on the increase of mortality risk due to higher diurnal temperature range (DTR). This study projects the effect of DTR on future mortality across 445 communities in 20 countries and regions.\nMethods\nDTR-related mortality risk was estimated on the basis of the historical daily time-series of mortality and weather factors from Jan 1, 1985, to Dec 31, 2015, with data for 445 communities across 20 countries and regions, from the Multi-Country Multi-City Collaborative Research Network. We obtained daily projected temperature series associated with four climate change scenarios, using the four representative concentration pathways (RCPs) described by the Intergovernmental Panel on Climate Change, from the lowest to the highest emission scenarios (RCP 2.6, RCP 4.5, RCP 6.0, and RCP 8.5). Excess deaths attributable to the DTR during the current (1985–2015) and future (2020–99) periods were projected using daily DTR series under the four scenarios. Future excess deaths were calculated on the basis of assumptions that warmer long-term average temperatures affect or do not affect the DTR-related mortality risk.\nFindings\nThe time-series analyses results showed that DTR was associated with excess mortality. Under the unmitigated climate change scenario (RCP 8.5), the future average DTR is projected to increase in most countries and regions (by −0·4 to 1·6°C), particularly in the USA, south-central Europe, Mexico, and South Africa. The excess deaths currently attributable to DTR were estimated to be 0·2–7·4%. Furthermore, the DTR-related mortality risk increased as the long-term average temperature increased; in the linear mixed model with the assumption of an interactive effect with long-term average temperature, we estimated 0·05% additional DTR mortality risk per 1°C increase in average temperature. Based on the interaction with long-term average temperature, the DTR-related excess deaths are projected to increase in all countries or regions by 1·4–10·3% in 2090–99.\nInterpretation\nThis study suggests that globally, DTR-related excess mortality might increase under climate change, and this increasing pattern is likely to vary between countries and regions. Considering climatic changes, our findings could contribute to public health interventions aimed at reducing the impact of DTR on human health.\nFunding\nKorea Ministry of Environment.","container-title":"The Lancet Planetary Health","DOI":"10.1016/S2542-5196(20)30222-9","ISSN":"2542-5196","issue":"11","journalAbbreviation":"The Lancet Planetary Health","language":"en","page":"e512-e521","source":"ScienceDirect","title":"Projections of excess mortality related to diurnal temperature range under climate change scenarios: a multi-country modelling study","title-short":"Projections of excess mortality related to diurnal temperature range under climate change scenarios","volume":"4","author":[{"family":"Lee","given":"Whanhee"},{"family":"Kim","given":"Yoonhee"},{"family":"Sera","given":"Francesco"},{"family":"Gasparrini","given":"Antonio"},{"family":"Park","given":"Rokjin"},{"family":"Michelle Choi","given":"Hayon"},{"family":"Prifti","given":"Kristi"},{"family":"Bell","given":"Michelle L"},{"family":"Abrutzky","given":"Rosana"},{"family":"Guo","given":"Yuming"},{"family":"Tong","given":"Shilu"},{"family":"Sousa Zanotti Stagliorio Coelho","given":"Micheline","non-dropping-particle":"de"},{"family":"Nascimento Saldiva","given":"Paulo Hilario"},{"family":"Lavigne","given":"Eric"},{"family":"Orru","given":"Hans"},{"family":"Indermitte","given":"Ene"},{"family":"Jaakkola","given":"Jouni J K"},{"family":"Ryti","given":"Niilo R I"},{"family":"Pascal","given":"Mathilde"},{"family":"Goodman","given":"Patrick"},{"family":"Zeka","given":"Ariana"},{"family":"Hashizume","given":"Masahiro"},{"family":"Honda","given":"Yasushi"},{"family":"Hurtado Diaz","given":"Magali"},{"family":"César Cruz","given":"Julio"},{"family":"Overcenco","given":"Ala"},{"family":"Nunes","given":"Baltazar"},{"family":"Madureira","given":"Joana"},{"family":"Scovronick","given":"Noah"},{"family":"Acquaotta","given":"Fiorella"},{"family":"Tobias","given":"Aurelio"},{"family":"Vicedo-Cabrera","given":"Ana Maria"},{"family":"Ragettli","given":"Martina S"},{"family":"Guo","given":"Yue-Liang Leon"},{"family":"Chen","given":"Bing-Yu"},{"family":"Li","given":"Shanshan"},{"family":"Armstrong","given":"Ben"},{"family":"Zanobetti","given":"Antonella"},{"family":"Schwartz","given":"Joel"},{"family":"Kim","given":"Ho"}],"issued":{"date-parts":[["2020",11,1]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(Huang et al., 2020; Whanhee Lee et al., 2020; Park et al., 2020, 2020)</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Studies have shown that the diurnal temperature range is decreasing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{"citationID":"VHqWQZVy","properties":{"formattedCitation":"(He et al., 2022; Whanhee Lee et al., 2020)","plainCitation":"(He et al., 2022; Whanhee Lee et al., 2020)","noteIndex":0},"citationItems":[{"id":2243,"uris":["http://zotero.org/users/3110659/items/BUGXEAXT"],"itemData":{"id":2243,"type":"article-journal","abstract":"Background\nThe health impacts of climate warming are usually quantified based on daily average temperatures. However, extra health risks might result from hot nights. We project the future mortality burden due to hot nights.\nMethods\nWe selected the hot night excess (HNE) to represent the intensity of night-time heat, which was calculated as the excess sum of high temperature during night time. We collected historical mortality data in 28 cities from three east Asian countries, from 1981 to 2010. The associations between HNE and mortality in each city were firstly examined using a generalised additive model in combination with a distributed lag non-linear model over lag 0–10 days. We then pooled the cumulative associations using a univariate meta-regression model at the national or regional levels. Historical and future hourly temperature series were projected under two scenarios of greenhouse-gas emissions from 1980–2099, with ten general circulation models. We then projected the attributable fraction of mortality due to HNE under each scenario.\nFindings\nOur dataset comprised 28 cities across three countries (Japan, South Korea, and China), including 9 185 598 deaths. The time-series analyses showed the HNE was significantly associated with increased mortality risks, the relative mortality risk on days with hot nights could be 50% higher than on days with non-hot nights. Compared with the rise in daily mean temperature (lower than 20%), the frequency of hot nights would increase more than 30% and the intensity of hot night would increase by 50% by 2100s. The attributable fraction of mortality due to hot nights was projected to be 3·68% (95% CI 1·20 to 6·17) under a strict emission control scenario (SSP126). Under a medium emission control scenario (SSP245), the attributable fraction of mortality was projected to increase up to 5·79% (2·07 to 9·52), which is 0·95% (−0·39 to 2·29) more than the attributable fraction of mortality due to daily mean temperature.\nInterpretation\nOur study provides evidence for significant mortality risks and burden in association with night-time warming across Japan, South Korea, and China. Our findings suggest a growing role of night-time warming in heat-related health effects in a changing climate.\nFunding\nThe National Natural Science Foundation of China, Shanghai International Science and Technology Partnership Project.","container-title":"The Lancet Planetary Health","DOI":"10.1016/S2542-5196(22)00139-5","ISSN":"2542-5196","issue":"8","journalAbbreviation":"The Lancet Planetary Health","language":"en","page":"e648-e657","source":"ScienceDirect","title":"The effects of night-time warming on mortality burden under future climate change scenarios: a modelling study","title-short":"The effects of night-time warming on mortality burden under future climate change scenarios","volume":"6","author":[{"family":"He","given":"Cheng"},{"family":"Kim","given":"Ho"},{"family":"Hashizume","given":"Masahiro"},{"family":"Lee","given":"Whanhee"},{"family":"Honda","given":"Yasushi"},{"family":"Kim","given":"Satbyul Estella"},{"family":"Kinney","given":"Patrick L"},{"family":"Schneider","given":"Alexandra"},{"family":"Zhang","given":"Yuqiang"},{"family":"Zhu","given":"Yixiang"},{"family":"Zhou","given":"Lu"},{"family":"Chen","given":"Renjie"},{"family":"Kan","given":"Haidong"}],"issued":{"date-parts":[["2022",8,1]]}}},{"id":2348,"uris":["http://zotero.org/users/3110659/items/BIYFCX8B"],"itemData":{"id":2348,"type":"article-journal","abstract":"Background\nVarious retrospective studies have reported on the increase of mortality risk due to higher diurnal temperature range (DTR). This study projects the effect of DTR on future mortality across 445 communities in 20 countries and regions.\nMethods\nDTR-related mortality risk was estimated on the basis of the historical daily time-series of mortality and weather factors from Jan 1, 1985, to Dec 31, 2015, with data for 445 communities across 20 countries and regions, from the Multi-Country Multi-City Collaborative Research Network. We obtained daily projected temperature series associated with four climate change scenarios, using the four representative concentration pathways (RCPs) described by the Intergovernmental Panel on Climate Change, from the lowest to the highest emission scenarios (RCP 2.6, RCP 4.5, RCP 6.0, and RCP 8.5). Excess deaths attributable to the DTR during the current (1985–2015) and future (2020–99) periods were projected using daily DTR series under the four scenarios. Future excess deaths were calculated on the basis of assumptions that warmer long-term average temperatures affect or do not affect the DTR-related mortality risk.\nFindings\nThe time-series analyses results showed that DTR was associated with excess mortality. Under the unmitigated climate change scenario (RCP 8.5), the future average DTR is projected to increase in most countries and regions (by −0·4 to 1·6°C), particularly in the USA, south-central Europe, Mexico, and South Africa. The excess deaths currently attributable to DTR were estimated to be 0·2–7·4%. Furthermore, the DTR-related mortality risk increased as the long-term average temperature increased; in the linear mixed model with the assumption of an interactive effect with long-term average temperature, we estimated 0·05% additional DTR mortality risk per 1°C increase in average temperature. Based on the interaction with long-term average temperature, the DTR-related excess deaths are projected to increase in all countries or regions by 1·4–10·3% in 2090–99.\nInterpretation\nThis study suggests that globally, DTR-related excess mortality might increase under climate change, and this increasing pattern is likely to vary between countries and regions. Considering climatic changes, our findings could contribute to public health interventions aimed at reducing the impact of DTR on human health.\nFunding\nKorea Ministry of Environment.","container-title":"The Lancet Planetary Health","DOI":"10.1016/S2542-5196(20)30222-9","ISSN":"2542-5196","issue":"11","journalAbbreviation":"The Lancet Planetary Health","language":"en","page":"e512-e521","source":"ScienceDirect","title":"Projections of excess mortality related to diurnal temperature range under climate change scenarios: a multi-country modelling study","title-short":"Projections of excess mortality related to diurnal temperature range under climate change scenarios","volume":"4","author":[{"family":"Lee","given":"Whanhee"},{"family":"Kim","given":"Yoonhee"},{"family":"Sera","given":"Francesco"},{"family":"Gasparrini","given":"Antonio"},{"family":"Park","given":"Rokjin"},{"family":"Michelle Choi","given":"Hayon"},{"family":"Prifti","given":"Kristi"},{"family":"Bell","given":"Michelle L"},{"family":"Abrutzky","given":"Rosana"},{"family":"Guo","given":"Yuming"},{"family":"Tong","given":"Shilu"},{"family":"Sousa Zanotti Stagliorio Coelho","given":"Micheline","non-dropping-particle":"de"},{"family":"Nascimento Saldiva","given":"Paulo Hilario"},{"family":"Lavigne","given":"Eric"},{"family":"Orru","given":"Hans"},{"family":"Indermitte","given":"Ene"},{"family":"Jaakkola","given":"Jouni J K"},{"family":"Ryti","given":"Niilo R I"},{"family":"Pascal","given":"Mathilde"},{"family":"Goodman","given":"Patrick"},{"family":"Zeka","given":"Ariana"},{"family":"Hashizume","given":"Masahiro"},{"family":"Honda","given":"Yasushi"},{"family":"Hurtado Diaz","given":"Magali"},{"family":"César Cruz","given":"Julio"},{"family":"Overcenco","given":"Ala"},{"family":"Nunes","given":"Baltazar"},{"family":"Madureira","given":"Joana"},{"family":"Scovronick","given":"Noah"},{"family":"Acquaotta","given":"Fiorella"},{"family":"Tobias","given":"Aurelio"},{"family":"Vicedo-Cabrera","given":"Ana Maria"},{"family":"Ragettli","given":"Martina S"},{"family":"Guo","given":"Yue-Liang Leon"},{"family":"Chen","given":"Bing-Yu"},{"family":"Li","given":"Shanshan"},{"family":"Armstrong","given":"Ben"},{"family":"Zanobetti","given":"Antonella"},{"family":"Schwartz","given":"Joel"},{"family":"Kim","given":"Ho"}],"issued":{"date-parts":[["2020",11,1]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(He et al., 2022; Whanhee Lee et al., 2020)</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with climate change and that increases in nighttime temperatures have a greater impact on human health than changes in daily averages. Hot nights are becoming more frequent and intense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{"citationID":"NsUkONgo","properties":{"formattedCitation":"(Batibeniz et al., 2020)","plainCitation":"(Batibeniz et al., 2020)","noteIndex":0},"citationItems":[{"id":2508,"uris":["http://zotero.org/users/3110659/items/TJAX44W7"],"itemData":{"id":2508,"type":"article-journal","abstract":"We quantify historical and projected trends in the population exposure to climate extremes as measured by the United States National Center for Environmental Information Climate Extremes Index (CEI). Based on the analyses of the historical observations, we find that the U.S. has already experienced a rise in the occurrence of aggregated extremes in recent decades, consistent with the climate response to historical increases in radiative forcing. Additionally, we find that exposure can be expected to intensify under the Representative Concentration Pathway 8.5, with all counties permanently exceeding the baseline variability in the occurrence of extreme hot days, warm nights, and drought conditions by 2050. As a result, every county in the U.S. is projected to permanently exceed the historical CEI variability (as measured by one standard deviation during the 1981–2005 period). Based on the current population distribution, this unprecedented change implies a yearly exposure to extreme conditions for one in every three people. We find that the increasing trend in exposure to the aggregated extremes is already detectable over much of the U.S., and particularly in the central and eastern U.S. The high correspondence between the pattern of trends in our simulations and observations increases confidence in the projected amplification of population exposure to unprecedented combinations of extreme climate conditions, should greenhouse gas concentrations continue to escalate along their current trajectory.","container-title":"Earth's Future","DOI":"10.1029/2019EF001421","ISSN":"2328-4277","issue":"4","language":"en","note":"_eprint: https://onlinelibrary.wiley.com/doi/pdf/10.1029/2019EF001421","page":"e2019EF001421","source":"Wiley Online Library","title":"Doubling of U.S. Population Exposure to Climate Extremes by 2050","volume":"8","author":[{"family":"Batibeniz","given":"Fulden"},{"family":"Ashfaq","given":"Moetasim"},{"family":"Diffenbaugh","given":"Noah S."},{"family":"Key","given":"Kesondra"},{"family":"Evans","given":"Katherine J."},{"family":"Turuncoglu","given":"Ufuk Utku"},{"family":"Önol","given":"Barış"}],"issued":{"date-parts":[["2020"]]}}}],"schema":"https://github.com/citation-style-language/schema/raw/master/csl-citation.json"}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(Batibeniz et al., 2020)</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While both maximum and minimum temperatures are predicted to rise throughout the US during every season of the year (</w:t>
      </w:r>
      <w:r w:rsidRPr="00427197">
        <w:rPr>
          <w:rFonts w:ascii="Times New Roman" w:eastAsia="Times New Roman" w:hAnsi="Times New Roman" w:cs="Times New Roman"/>
          <w:b/>
          <w:bCs/>
          <w:sz w:val="24"/>
          <w:szCs w:val="24"/>
        </w:rPr>
        <w:t>Figures S</w:t>
      </w:r>
      <w:r w:rsidR="00CD3752">
        <w:rPr>
          <w:rFonts w:ascii="Times New Roman" w:eastAsia="Times New Roman" w:hAnsi="Times New Roman" w:cs="Times New Roman"/>
          <w:b/>
          <w:bCs/>
          <w:sz w:val="24"/>
          <w:szCs w:val="24"/>
        </w:rPr>
        <w:t>5</w:t>
      </w:r>
      <w:r w:rsidR="00A35910"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3, S</w:t>
      </w:r>
      <w:r w:rsidR="00CD3752">
        <w:rPr>
          <w:rFonts w:ascii="Times New Roman" w:eastAsia="Times New Roman" w:hAnsi="Times New Roman" w:cs="Times New Roman"/>
          <w:b/>
          <w:bCs/>
          <w:sz w:val="24"/>
          <w:szCs w:val="24"/>
        </w:rPr>
        <w:t>5</w:t>
      </w:r>
      <w:r w:rsidR="00A35910"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4</w:t>
      </w:r>
      <w:r w:rsidRPr="008E4EFB">
        <w:rPr>
          <w:rFonts w:ascii="Times New Roman" w:eastAsia="Times New Roman" w:hAnsi="Times New Roman" w:cs="Times New Roman"/>
          <w:sz w:val="24"/>
          <w:szCs w:val="24"/>
        </w:rPr>
        <w:t>), the difference between maximum and minimum is not uniform (</w:t>
      </w:r>
      <w:r w:rsidRPr="00427197">
        <w:rPr>
          <w:rFonts w:ascii="Times New Roman" w:eastAsia="Times New Roman" w:hAnsi="Times New Roman" w:cs="Times New Roman"/>
          <w:b/>
          <w:bCs/>
          <w:sz w:val="24"/>
          <w:szCs w:val="24"/>
        </w:rPr>
        <w:t xml:space="preserve">Figure </w:t>
      </w:r>
      <w:r w:rsidR="005564E7">
        <w:rPr>
          <w:rFonts w:ascii="Times New Roman" w:eastAsia="Times New Roman" w:hAnsi="Times New Roman" w:cs="Times New Roman"/>
          <w:b/>
          <w:bCs/>
          <w:sz w:val="24"/>
          <w:szCs w:val="24"/>
        </w:rPr>
        <w:t>5</w:t>
      </w:r>
      <w:r w:rsidR="00A35910"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5</w:t>
      </w:r>
      <w:r w:rsidRPr="008E4EFB">
        <w:rPr>
          <w:rFonts w:ascii="Times New Roman" w:eastAsia="Times New Roman" w:hAnsi="Times New Roman" w:cs="Times New Roman"/>
          <w:sz w:val="24"/>
          <w:szCs w:val="24"/>
        </w:rPr>
        <w:t xml:space="preserve">). The RegCM4 ensemble projects a decrease in the diurnal temperature </w:t>
      </w:r>
      <w:proofErr w:type="gramStart"/>
      <w:r w:rsidRPr="008E4EFB">
        <w:rPr>
          <w:rFonts w:ascii="Times New Roman" w:eastAsia="Times New Roman" w:hAnsi="Times New Roman" w:cs="Times New Roman"/>
          <w:sz w:val="24"/>
          <w:szCs w:val="24"/>
        </w:rPr>
        <w:t>range</w:t>
      </w:r>
      <w:proofErr w:type="gramEnd"/>
      <w:r w:rsidRPr="008E4EFB">
        <w:rPr>
          <w:rFonts w:ascii="Times New Roman" w:eastAsia="Times New Roman" w:hAnsi="Times New Roman" w:cs="Times New Roman"/>
          <w:sz w:val="24"/>
          <w:szCs w:val="24"/>
        </w:rPr>
        <w:t xml:space="preserve"> from 6.82⁰ ± 0.04⁰ C to 6.65⁰ ± 0.04⁰ C. The DBCCA ensemble, however, projects an increase in the diurnal temperature range from 6.71⁰ ± 0.05⁰ C to 6.91⁰ ± 0.05⁰ C. The magnitudes of the trends in the diurnal temperature range are similar between the two ensembles, but the direction of change is the opposite. </w:t>
      </w:r>
    </w:p>
    <w:p w14:paraId="072CEED1" w14:textId="77777777" w:rsidR="005564E7" w:rsidRPr="008E4EFB" w:rsidRDefault="005564E7" w:rsidP="005564E7">
      <w:pPr>
        <w:pStyle w:val="Style3"/>
        <w:numPr>
          <w:ilvl w:val="1"/>
          <w:numId w:val="31"/>
        </w:numPr>
        <w:spacing w:before="0" w:line="360" w:lineRule="auto"/>
        <w:rPr>
          <w:rFonts w:cs="Times New Roman"/>
          <w:szCs w:val="24"/>
        </w:rPr>
      </w:pPr>
      <w:bookmarkStart w:id="82" w:name="_Toc179917991"/>
      <w:r w:rsidRPr="008E4EFB">
        <w:rPr>
          <w:rFonts w:cs="Times New Roman"/>
          <w:szCs w:val="24"/>
        </w:rPr>
        <w:t>Discussion</w:t>
      </w:r>
      <w:bookmarkEnd w:id="82"/>
    </w:p>
    <w:p w14:paraId="2A02A8C2" w14:textId="44D0CF47" w:rsidR="0044437F" w:rsidRPr="008E4EFB" w:rsidRDefault="005564E7" w:rsidP="005564E7">
      <w:pP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The RegCM4 and DBCCA ensembles and the three observational datasets of maximum temperature generally follow the same trend by region from 1980–2020 (</w:t>
      </w:r>
      <w:r w:rsidRPr="00427197">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5</w:t>
      </w:r>
      <w:r w:rsidRPr="00427197">
        <w:rPr>
          <w:rFonts w:ascii="Times New Roman" w:eastAsia="Times New Roman" w:hAnsi="Times New Roman" w:cs="Times New Roman"/>
          <w:b/>
          <w:bCs/>
          <w:sz w:val="24"/>
          <w:szCs w:val="24"/>
        </w:rPr>
        <w:t>.2</w:t>
      </w:r>
      <w:r w:rsidRPr="008E4EFB">
        <w:rPr>
          <w:rFonts w:ascii="Times New Roman" w:eastAsia="Times New Roman" w:hAnsi="Times New Roman" w:cs="Times New Roman"/>
          <w:sz w:val="24"/>
          <w:szCs w:val="24"/>
        </w:rPr>
        <w:t>). The results suggest that the observations match the downscaled ensembles better than the CMIP6-Raw ensemble in these regions, highlighting the necessity of downscaling for the needs of impact</w:t>
      </w:r>
    </w:p>
    <w:p w14:paraId="4310D2AC" w14:textId="77777777" w:rsidR="0044437F" w:rsidRPr="008E4EFB" w:rsidRDefault="0044437F" w:rsidP="00ED686E">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331DACD1" wp14:editId="147BA6DE">
            <wp:extent cx="5943600" cy="3235325"/>
            <wp:effectExtent l="0" t="0" r="0" b="3175"/>
            <wp:docPr id="1932554552" name="Picture 1" descr="A graph showing the number of y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54552" name="Picture 1" descr="A graph showing the number of years&#10;&#10;Description automatically generated with medium confidence"/>
                    <pic:cNvPicPr/>
                  </pic:nvPicPr>
                  <pic:blipFill>
                    <a:blip r:embed="rId54"/>
                    <a:stretch>
                      <a:fillRect/>
                    </a:stretch>
                  </pic:blipFill>
                  <pic:spPr>
                    <a:xfrm>
                      <a:off x="0" y="0"/>
                      <a:ext cx="5943600" cy="3235325"/>
                    </a:xfrm>
                    <a:prstGeom prst="rect">
                      <a:avLst/>
                    </a:prstGeom>
                  </pic:spPr>
                </pic:pic>
              </a:graphicData>
            </a:graphic>
          </wp:inline>
        </w:drawing>
      </w:r>
    </w:p>
    <w:p w14:paraId="776EF329" w14:textId="5BE4D01E" w:rsidR="0044437F" w:rsidRPr="008E4EFB" w:rsidRDefault="00A51128" w:rsidP="00ED686E">
      <w:pPr>
        <w:pStyle w:val="Caption"/>
        <w:rPr>
          <w:rFonts w:ascii="Times New Roman" w:eastAsia="Times New Roman" w:hAnsi="Times New Roman" w:cs="Times New Roman"/>
          <w:i w:val="0"/>
          <w:iCs w:val="0"/>
          <w:color w:val="auto"/>
          <w:sz w:val="24"/>
          <w:szCs w:val="24"/>
        </w:rPr>
      </w:pPr>
      <w:bookmarkStart w:id="83" w:name="_Toc179917571"/>
      <w:bookmarkStart w:id="84" w:name="_Toc179918051"/>
      <w:bookmarkStart w:id="85" w:name="_Toc184062912"/>
      <w:r w:rsidRPr="008E4EFB">
        <w:rPr>
          <w:rFonts w:ascii="Times New Roman" w:hAnsi="Times New Roman" w:cs="Times New Roman"/>
          <w:i w:val="0"/>
          <w:iCs w:val="0"/>
          <w:color w:val="auto"/>
          <w:sz w:val="24"/>
          <w:szCs w:val="24"/>
        </w:rPr>
        <w:t xml:space="preserve">Figure </w:t>
      </w:r>
      <w:r w:rsidR="00987D24" w:rsidRPr="008E4EFB">
        <w:rPr>
          <w:rFonts w:ascii="Times New Roman" w:hAnsi="Times New Roman" w:cs="Times New Roman"/>
          <w:i w:val="0"/>
          <w:iCs w:val="0"/>
          <w:color w:val="auto"/>
          <w:sz w:val="24"/>
          <w:szCs w:val="24"/>
        </w:rPr>
        <w:t>5</w:t>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5</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Diurnal temperature range over time.</w:t>
      </w:r>
      <w:r w:rsidR="002A0D52" w:rsidRPr="008E4EFB">
        <w:rPr>
          <w:rFonts w:ascii="Times New Roman" w:hAnsi="Times New Roman" w:cs="Times New Roman"/>
          <w:i w:val="0"/>
          <w:iCs w:val="0"/>
          <w:color w:val="auto"/>
          <w:sz w:val="24"/>
          <w:szCs w:val="24"/>
        </w:rPr>
        <w:t xml:space="preserve"> </w:t>
      </w:r>
      <w:r w:rsidR="0044437F" w:rsidRPr="008E4EFB">
        <w:rPr>
          <w:rFonts w:ascii="Times New Roman" w:eastAsia="Times New Roman" w:hAnsi="Times New Roman" w:cs="Times New Roman"/>
          <w:i w:val="0"/>
          <w:iCs w:val="0"/>
          <w:color w:val="auto"/>
          <w:sz w:val="24"/>
          <w:szCs w:val="24"/>
        </w:rPr>
        <w:t>The difference between maximum and minimum daily temperature is averaged annually for the DBCCA and RegCM4 ensembles and the original resolution CMIP6 ensemble. The shaded area shows the standard error.</w:t>
      </w:r>
      <w:bookmarkEnd w:id="83"/>
      <w:bookmarkEnd w:id="84"/>
      <w:bookmarkEnd w:id="85"/>
      <w:r w:rsidR="0044437F" w:rsidRPr="008E4EFB">
        <w:rPr>
          <w:rFonts w:ascii="Times New Roman" w:eastAsia="Times New Roman" w:hAnsi="Times New Roman" w:cs="Times New Roman"/>
          <w:i w:val="0"/>
          <w:iCs w:val="0"/>
          <w:color w:val="auto"/>
          <w:sz w:val="24"/>
          <w:szCs w:val="24"/>
        </w:rPr>
        <w:t xml:space="preserve"> </w:t>
      </w:r>
    </w:p>
    <w:p w14:paraId="464B9E24" w14:textId="5D7C6CA8" w:rsidR="0044437F" w:rsidRPr="008E4EFB" w:rsidRDefault="0044437F" w:rsidP="00DC4266">
      <w:pPr>
        <w:pBdr>
          <w:top w:val="nil"/>
          <w:left w:val="nil"/>
          <w:bottom w:val="nil"/>
          <w:right w:val="nil"/>
          <w:between w:val="nil"/>
        </w:pBdr>
        <w:spacing w:after="0" w:line="360" w:lineRule="auto"/>
        <w:rPr>
          <w:rFonts w:ascii="Times New Roman" w:hAnsi="Times New Roman" w:cs="Times New Roman"/>
          <w:sz w:val="24"/>
          <w:szCs w:val="24"/>
          <w:shd w:val="clear" w:color="auto" w:fill="FFFFFF"/>
        </w:rPr>
      </w:pPr>
      <w:r w:rsidRPr="008E4EFB">
        <w:rPr>
          <w:rFonts w:ascii="Times New Roman" w:eastAsia="Times New Roman" w:hAnsi="Times New Roman" w:cs="Times New Roman"/>
          <w:sz w:val="24"/>
          <w:szCs w:val="24"/>
        </w:rPr>
        <w:t>assessment. This is to be expected; the point of downscaling is to increase regional accuracy, and it is reassuring that both downscaling approaches match reference meteorology. However, looking only at annual averages over the entire US masks important regional and seasonal trends and leads viewers to conclude that statistical and dynamical downscaling produce similar results (</w:t>
      </w:r>
      <w:r w:rsidRPr="00427197">
        <w:rPr>
          <w:rFonts w:ascii="Times New Roman" w:eastAsia="Times New Roman" w:hAnsi="Times New Roman" w:cs="Times New Roman"/>
          <w:b/>
          <w:bCs/>
          <w:sz w:val="24"/>
          <w:szCs w:val="24"/>
        </w:rPr>
        <w:t>Figures S</w:t>
      </w:r>
      <w:r w:rsidR="00CD3752">
        <w:rPr>
          <w:rFonts w:ascii="Times New Roman" w:eastAsia="Times New Roman" w:hAnsi="Times New Roman" w:cs="Times New Roman"/>
          <w:b/>
          <w:bCs/>
          <w:sz w:val="24"/>
          <w:szCs w:val="24"/>
        </w:rPr>
        <w:t>5</w:t>
      </w:r>
      <w:r w:rsidR="0038483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3, S</w:t>
      </w:r>
      <w:r w:rsidR="00CD3752">
        <w:rPr>
          <w:rFonts w:ascii="Times New Roman" w:eastAsia="Times New Roman" w:hAnsi="Times New Roman" w:cs="Times New Roman"/>
          <w:b/>
          <w:bCs/>
          <w:sz w:val="24"/>
          <w:szCs w:val="24"/>
        </w:rPr>
        <w:t>5</w:t>
      </w:r>
      <w:r w:rsidR="0038483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4</w:t>
      </w:r>
      <w:r w:rsidRPr="008E4EFB">
        <w:rPr>
          <w:rFonts w:ascii="Times New Roman" w:eastAsia="Times New Roman" w:hAnsi="Times New Roman" w:cs="Times New Roman"/>
          <w:sz w:val="24"/>
          <w:szCs w:val="24"/>
        </w:rPr>
        <w:t>). Instead, examining trends at a seasonal scale (</w:t>
      </w:r>
      <w:r w:rsidRPr="00427197">
        <w:rPr>
          <w:rFonts w:ascii="Times New Roman" w:eastAsia="Times New Roman" w:hAnsi="Times New Roman" w:cs="Times New Roman"/>
          <w:b/>
          <w:bCs/>
          <w:sz w:val="24"/>
          <w:szCs w:val="24"/>
        </w:rPr>
        <w:t xml:space="preserve">Figure </w:t>
      </w:r>
      <w:r w:rsidR="005564E7">
        <w:rPr>
          <w:rFonts w:ascii="Times New Roman" w:eastAsia="Times New Roman" w:hAnsi="Times New Roman" w:cs="Times New Roman"/>
          <w:b/>
          <w:bCs/>
          <w:sz w:val="24"/>
          <w:szCs w:val="24"/>
        </w:rPr>
        <w:t>5</w:t>
      </w:r>
      <w:r w:rsidR="0038483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3</w:t>
      </w:r>
      <w:r w:rsidRPr="008E4EFB">
        <w:rPr>
          <w:rFonts w:ascii="Times New Roman" w:eastAsia="Times New Roman" w:hAnsi="Times New Roman" w:cs="Times New Roman"/>
          <w:sz w:val="24"/>
          <w:szCs w:val="24"/>
        </w:rPr>
        <w:t xml:space="preserve">) demonstrates the importance of using dynamical downscaling for future climate projections whenever available, especially since seasonal mean temperature changes are the driving factor behind projected future heat waves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{"citationID":"zaVKJOMw","properties":{"formattedCitation":"(Arg\\uc0\\u252{}eso et al., 2016)","plainCitation":"(Argüeso et al., 2016)","noteIndex":0},"citationItems":[{"id":2529,"uris":["http://zotero.org/users/3110659/items/3375EUGP"],"itemData":{"id":2529,"type":"article-journal","container-title":"Geophysical Research Letters","page":"7653–7660","title":"Seasonal mean temperature changes control future heat waves","volume":"43","author":[{"family":"Argüeso","given":"Daniel"},{"family":"Di Luca","given":"Alejandro"},{"family":"Perkins-Kirkpatrick","given":"Sarah E."},{"family":"Evans","given":"Jason P."}],"issued":{"date-parts":[["2016"]]}}}],"schema":"https://github.com/citation-style-language/schema/raw/master/csl-citation.json"}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(Argüeso et al., 2016)</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Using the original CMIP6 ensemble results to assess regional impacts and develop mitigations could mislead users and decision-makers. The DBCCA and RegCM4 ensembles produce estimates of regional temperature that are markedly different from the original CMIP6 outputs (</w:t>
      </w:r>
      <w:r w:rsidRPr="00427197">
        <w:rPr>
          <w:rFonts w:ascii="Times New Roman" w:eastAsia="Times New Roman" w:hAnsi="Times New Roman" w:cs="Times New Roman"/>
          <w:b/>
          <w:bCs/>
          <w:sz w:val="24"/>
          <w:szCs w:val="24"/>
        </w:rPr>
        <w:t xml:space="preserve">Figure </w:t>
      </w:r>
      <w:r w:rsidR="005564E7">
        <w:rPr>
          <w:rFonts w:ascii="Times New Roman" w:eastAsia="Times New Roman" w:hAnsi="Times New Roman" w:cs="Times New Roman"/>
          <w:b/>
          <w:bCs/>
          <w:sz w:val="24"/>
          <w:szCs w:val="24"/>
        </w:rPr>
        <w:t>5</w:t>
      </w:r>
      <w:r w:rsidR="0038483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2</w:t>
      </w:r>
      <w:r w:rsidRPr="008E4EFB">
        <w:rPr>
          <w:rFonts w:ascii="Times New Roman" w:eastAsia="Times New Roman" w:hAnsi="Times New Roman" w:cs="Times New Roman"/>
          <w:sz w:val="24"/>
          <w:szCs w:val="24"/>
        </w:rPr>
        <w:t>). The DBCCA ensemble results project that much of the western US will experience maximum daily temperatures 4-5⁰ warmer in the fall and spring than historical estimates, while the RegCM4 ensemble projects a 3-4⁰ increase over much of the CONUS (</w:t>
      </w:r>
      <w:r w:rsidRPr="00427197">
        <w:rPr>
          <w:rFonts w:ascii="Times New Roman" w:eastAsia="Times New Roman" w:hAnsi="Times New Roman" w:cs="Times New Roman"/>
          <w:b/>
          <w:bCs/>
          <w:sz w:val="24"/>
          <w:szCs w:val="24"/>
        </w:rPr>
        <w:t xml:space="preserve">Figure </w:t>
      </w:r>
      <w:r w:rsidR="005564E7">
        <w:rPr>
          <w:rFonts w:ascii="Times New Roman" w:eastAsia="Times New Roman" w:hAnsi="Times New Roman" w:cs="Times New Roman"/>
          <w:b/>
          <w:bCs/>
          <w:sz w:val="24"/>
          <w:szCs w:val="24"/>
        </w:rPr>
        <w:t>5</w:t>
      </w:r>
      <w:r w:rsidR="0038483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3</w:t>
      </w:r>
      <w:r w:rsidRPr="008E4EFB">
        <w:rPr>
          <w:rFonts w:ascii="Times New Roman" w:eastAsia="Times New Roman" w:hAnsi="Times New Roman" w:cs="Times New Roman"/>
          <w:sz w:val="24"/>
          <w:szCs w:val="24"/>
        </w:rPr>
        <w:t xml:space="preserve">). This is a large difference in a single season has important implications for the environmental events that are dependent on temperature such as false spring risk and other phenological indicators that capture risk metrics for ecological and economic </w:t>
      </w:r>
      <w:r w:rsidRPr="008E4EFB">
        <w:rPr>
          <w:rFonts w:ascii="Times New Roman" w:eastAsia="Times New Roman" w:hAnsi="Times New Roman" w:cs="Times New Roman"/>
          <w:sz w:val="24"/>
          <w:szCs w:val="24"/>
        </w:rPr>
        <w:lastRenderedPageBreak/>
        <w:t xml:space="preserve">damage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{"citationID":"vYK11ij8","properties":{"formattedCitation":"(Wootten et al., 2024)","plainCitation":"(Wootten et al., 2024)","noteIndex":0},"citationItems":[{"id":3623,"uris":["http://zotero.org/users/3110659/items/DGUNYUX7"],"itemData":{"id":3623,"type":"article-journal","abstract":"Projected changes to spring phenological indicators (such as first leaf and first bloom) are of importance to assessing the impacts of climate change on ecosystems and species. The risk of false springs (when a killing freeze occurs after plants of interest bloom), which can cause ecological and economic damage, is also projected to change across much of the United States. Given the coarse nature of global climate models, downscaled climate projections have commonly been used to assess local changes in spring phenological indices. Few studies that examine the influence of the sources of uncertainty sources in the downscaling approach on projections of phenological changes. This study examines the influence of sources of uncertainty on projections of spring phenological indicators and false spring risk using the South Central United States. The downscaled climate projections were created using three statistical downscaling techniques applied with three gridded observation datasets as training data and three global climate models. This study finds that projections of spring phenological indicators and false spring risk are primarily sensitive to the choice of global climate models. However, this study also finds that the formulation of the downscaling approach can cause errors representing the daily low-temperature distribution, which can cause errors in false spring risk by failing to capture the timing between the last spring freeze and the first bloom. One should carefully consider the downscaling approach used when using downscaled climate projections to assess changes to spring phenology and false spring risk.","container-title":"International Journal of Climatology","DOI":"10.1002/joc.8438","ISSN":"1097-0088","issue":"6","language":"en","note":"_eprint: https://onlinelibrary.wiley.com/doi/pdf/10.1002/joc.8438","page":"2021-2040","source":"Wiley Online Library","title":"False springs and spring phenology: Propagating effects of downscaling technique and training data","title-short":"False springs and spring phenology","volume":"44","author":[{"family":"Wootten","given":"Adrienne M."},{"family":"Dixon","given":"Keith W."},{"family":"Adams-Smith","given":"Dennis J."},{"family":"McPherson","given":"Renee A."}],"issued":{"date-parts":[["2024"]]}}}],"schema":"https://github.com/citation-style-language/schema/raw/master/csl-citation.json"}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(Wootten et al., 2024)</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Choosing statistical downscaling as a method here results in overly pessimistic conclusions about the impacts of heat waves under SSP5-8.5. Downscaling daily maximum temperature projections becomes more challenging under greater warming conditions, during the summer, and in some particular geographic areas such as regions with steep elevation changes </w:t>
      </w:r>
      <w:r w:rsidRPr="008E4EFB">
        <w:rPr>
          <w:rFonts w:ascii="Times New Roman" w:hAnsi="Times New Roman" w:cs="Times New Roman"/>
          <w:sz w:val="24"/>
          <w:szCs w:val="24"/>
          <w:shd w:val="clear" w:color="auto" w:fill="FFFFFF"/>
        </w:rPr>
        <w:fldChar w:fldCharType="begin"/>
      </w:r>
      <w:r w:rsidR="00B864BC" w:rsidRPr="008E4EFB">
        <w:rPr>
          <w:rFonts w:ascii="Times New Roman" w:hAnsi="Times New Roman" w:cs="Times New Roman"/>
          <w:sz w:val="24"/>
          <w:szCs w:val="24"/>
          <w:shd w:val="clear" w:color="auto" w:fill="FFFFFF"/>
        </w:rPr>
        <w:instrText xml:space="preserve"> ADDIN ZOTERO_ITEM CSL_CITATION {"citationID":"bDvNL0js","properties":{"formattedCitation":"(Dixon et al., 2016; Mendoza Paz &amp; Willems, 2023)","plainCitation":"(Dixon et al., 2016; Mendoza Paz &amp; Willems, 2023)","noteIndex":0},"citationItems":[{"id":3626,"uris":["http://zotero.org/users/3110659/items/V3L6HUU2"],"itemData":{"id":3626,"type":"article-journal","abstract":"Empirical statistical downscaling (ESD) methods seek to refine global climate model (GCM) outputs via processes that glean information from a combination of observations and GCM simulations. They aim to create value-added climate projections by reducing biases and adding finer spatial detail. Analysis techniques, such as cross-validation, allow assessments of how well ESD methods meet these goals during observational periods. However, the extent to which an ESD method’s skill might differ when applied to future climate projections cannot be assessed readily in the same manner. Here we present a “perfect model” experimental design that quantifies aspects of ESD method performance for both historical and late 21st century time periods. The experimental design tests a key stationarity assumption inherent to ESD methods – namely, that ESD performance when applied to future projections is similar to that during the observational training period. Case study results employing a single ESD method (an Asynchronous Regional Regression Model variant) and climate variable (daily maximum temperature) demonstrate that violations of the stationarity assumption can vary geographically, seasonally, and with the amount of projected climate change. For the ESD method tested, the greatest challenges in downscaling daily maximum temperature projections are revealed to occur along coasts, in summer, and under conditions of greater projected warming. We conclude with a discussion of the potential use and expansion of the perfect model experimental design, both to inform the development of improved ESD methods and to provide guidance on the use of ESD products in climate impacts analyses and decision-support applications.","container-title":"Climatic Change","DOI":"10.1007/s10584-016-1598-0","ISSN":"1573-1480","issue":"3","journalAbbreviation":"Climatic Change","language":"en","page":"395-408","source":"Springer Link","title":"Evaluating the stationarity assumption in statistically downscaled climate projections: is past performance an indicator of future results?","title-short":"Evaluating the stationarity assumption in statistically downscaled climate projections","volume":"135","author":[{"family":"Dixon","given":"Keith W."},{"family":"Lanzante","given":"John R."},{"family":"Nath","given":"Mary Jo"},{"family":"Hayhoe","given":"Katharine"},{"family":"Stoner","given":"Anne"},{"family":"Radhakrishnan","given":"Aparna"},{"family":"Balaji","given":"V."},{"family":"Gaitán","given":"Carlos F."}],"issued":{"date-parts":[["2016",4,1]]}}},{"id":3628,"uris":["http://zotero.org/users/3110659/items/7IIR5733"],"itemData":{"id":3628,"type":"article-journal","abstract":"Study region\nBelgium\nStudy focus\nWe assessed statistical downscaling (21 methods) skill and assumptions for seven extreme rainfall indicators in three Belgian areas. The ensemble consists of (i) perturbation methods with four members, (ii) quantile mapping with ten members, and (iii) machine learning with seven members. The methods were evaluated by a perfect predictor experiment in which the outputs of a high-resolution climate model are considered pseudo-observations. The ALARO-0 model with 4 km spatial resolution was considered the high-resolution climate model. The high-resolution outputs were compared with the downscaled results of three future scenarios of the 50 km resolution ALARO-0 model.\nNew hydrological insights\nThe methods’ skill depends on the area. The skill is higher for the Belgian coastal area compared to the inland and hilly areas. Methods which are based on stationary assumptions have a good skill for the coastal area but show a lower skill for the other areas where the temporal variability in meteorological conditions is stronger. The higher this temporal variability, the more prone are the stationary assumptions to deteriorate in time under different climate forcing conditions. The quantile-based perturbation methods are overall the most robust. An ensemble approach is advised, where different downscaling methods are applied and the uncertainty in the downscaling taken into account, especially when a pseudo-future evaluation, as done in this study, is not possible.","container-title":"Journal of Hydrology: Regional Studies","DOI":"10.1016/j.ejrh.2023.101477","ISSN":"2214-5818","journalAbbreviation":"Journal of Hydrology: Regional Studies","page":"101477","source":"ScienceDirect","title":"The skill of statistical downscaling in future climate with high-resolution climate models as pseudo-reality","volume":"48","author":[{"family":"Mendoza Paz","given":"Santiago"},{"family":"Willems","given":"Patrick"}],"issued":{"date-parts":[["2023",8,1]]}}}],"schema":"https://github.com/citation-style-language/schema/raw/master/csl-citation.json"}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B864BC" w:rsidRPr="008E4EFB">
        <w:rPr>
          <w:rFonts w:ascii="Times New Roman" w:hAnsi="Times New Roman" w:cs="Times New Roman"/>
          <w:sz w:val="24"/>
          <w:szCs w:val="24"/>
        </w:rPr>
        <w:t>(Dixon et al., 2016; Mendoza Paz &amp; Willems, 2023)</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w:t>
      </w:r>
      <w:r w:rsidRPr="008E4EFB">
        <w:rPr>
          <w:rFonts w:ascii="Times New Roman" w:eastAsia="Times New Roman" w:hAnsi="Times New Roman" w:cs="Times New Roman"/>
          <w:sz w:val="24"/>
          <w:szCs w:val="24"/>
        </w:rPr>
        <w:t xml:space="preserve">In fact, downscaling contributes substantial uncertainty to future climate estimates, particularly when projecting extremes, in regions with complex terrain, or where historical observations do agree </w:t>
      </w:r>
      <w:r w:rsidRPr="008E4EFB">
        <w:rPr>
          <w:rFonts w:ascii="Times New Roman" w:hAnsi="Times New Roman" w:cs="Times New Roman"/>
          <w:sz w:val="24"/>
          <w:szCs w:val="24"/>
        </w:rPr>
        <w:fldChar w:fldCharType="begin"/>
      </w:r>
      <w:r w:rsidR="00B864BC" w:rsidRPr="008E4EFB">
        <w:rPr>
          <w:rFonts w:ascii="Times New Roman" w:hAnsi="Times New Roman" w:cs="Times New Roman"/>
          <w:sz w:val="24"/>
          <w:szCs w:val="24"/>
        </w:rPr>
        <w:instrText xml:space="preserve"> ADDIN ZOTERO_ITEM CSL_CITATION {"citationID":"wLN1G2UN","properties":{"formattedCitation":"(Lafferty &amp; Sriver, 2023)","plainCitation":"(Lafferty &amp; Sriver, 2023)","noteIndex":0},"citationItems":[{"id":3631,"uris":["http://zotero.org/users/3110659/items/C99B367T"],"itemData":{"id":3631,"type":"article-journal","abstract":"Efforts to diagnose the risks of a changing climate often rely on downscaled and bias-corrected climate information, making it important to understand the uncertainties and potential biases of this approach. Here, we perform a variance decomposition to partition uncertainty in global climate projections and quantify the relative importance of downscaling and bias-correction. We analyze simple climate metrics such as annual temperature and precipitation averages, as well as several indices of climate extremes. We find that downscaling and bias-correction often contribute substantial uncertainty to local decision-relevant climate outcomes, though our results are strongly heterogeneous across space, time, and climate metrics. Our results can provide guidance to impact modelers and decision-makers regarding the uncertainties associated with downscaling and bias-correction when performing local-scale analyses, as neglecting to account for these uncertainties may risk overconfidence relative to the full range of possible climate futures.","container-title":"npj Climate and Atmospheric Science","DOI":"10.1038/s41612-023-00486-0","ISSN":"2397-3722","issue":"1","journalAbbreviation":"npj Clim Atmos Sci","language":"en","license":"2023 The Author(s)","note":"publisher: Nature Publishing Group","page":"1-13","source":"www.nature.com","title":"Downscaling and bias-correction contribute considerable uncertainty to local climate projections in CMIP6","volume":"6","author":[{"family":"Lafferty","given":"David C."},{"family":"Sriver","given":"Ryan L."}],"issued":{"date-parts":[["2023",9,30]]}}}],"schema":"https://github.com/citation-style-language/schema/raw/master/csl-citation.json"} </w:instrText>
      </w:r>
      <w:r w:rsidRPr="008E4EFB">
        <w:rPr>
          <w:rFonts w:ascii="Times New Roman" w:hAnsi="Times New Roman" w:cs="Times New Roman"/>
          <w:sz w:val="24"/>
          <w:szCs w:val="24"/>
        </w:rPr>
        <w:fldChar w:fldCharType="separate"/>
      </w:r>
      <w:r w:rsidR="00B864BC" w:rsidRPr="008E4EFB">
        <w:rPr>
          <w:rFonts w:ascii="Times New Roman" w:hAnsi="Times New Roman" w:cs="Times New Roman"/>
          <w:sz w:val="24"/>
          <w:szCs w:val="24"/>
        </w:rPr>
        <w:t>(Lafferty &amp; Sriver, 2023)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r w:rsidRPr="008E4EFB">
        <w:rPr>
          <w:rFonts w:ascii="Times New Roman" w:hAnsi="Times New Roman" w:cs="Times New Roman"/>
          <w:sz w:val="24"/>
          <w:szCs w:val="24"/>
          <w:shd w:val="clear" w:color="auto" w:fill="FFFFFF"/>
        </w:rPr>
        <w:t xml:space="preserve">These factors are all extremely relevant for calculating future heat wave risk, meaning that statistical downscaling is not sufficient to capture the nuances of regional-scale trends.  </w:t>
      </w:r>
    </w:p>
    <w:p w14:paraId="5DFE9F39" w14:textId="203D7959" w:rsidR="0044437F" w:rsidRPr="008E4EFB" w:rsidRDefault="0044437F" w:rsidP="00DC4266">
      <w:pPr>
        <w:pBdr>
          <w:top w:val="nil"/>
          <w:left w:val="nil"/>
          <w:bottom w:val="nil"/>
          <w:right w:val="nil"/>
          <w:between w:val="nil"/>
        </w:pBdr>
        <w:spacing w:after="0" w:line="360" w:lineRule="auto"/>
        <w:rPr>
          <w:rFonts w:ascii="Times New Roman" w:hAnsi="Times New Roman" w:cs="Times New Roman"/>
          <w:sz w:val="24"/>
          <w:szCs w:val="24"/>
          <w:shd w:val="clear" w:color="auto" w:fill="FFFFFF"/>
        </w:rPr>
      </w:pPr>
      <w:r w:rsidRPr="005564E7">
        <w:rPr>
          <w:rFonts w:ascii="Times New Roman" w:eastAsia="Times New Roman" w:hAnsi="Times New Roman" w:cs="Times New Roman"/>
          <w:b/>
          <w:bCs/>
          <w:sz w:val="24"/>
          <w:szCs w:val="24"/>
        </w:rPr>
        <w:t xml:space="preserve">Figure </w:t>
      </w:r>
      <w:r w:rsidR="005564E7" w:rsidRPr="005564E7">
        <w:rPr>
          <w:rFonts w:ascii="Times New Roman" w:eastAsia="Times New Roman" w:hAnsi="Times New Roman" w:cs="Times New Roman"/>
          <w:b/>
          <w:bCs/>
          <w:sz w:val="24"/>
          <w:szCs w:val="24"/>
        </w:rPr>
        <w:t>5</w:t>
      </w:r>
      <w:r w:rsidR="0038483B" w:rsidRPr="005564E7">
        <w:rPr>
          <w:rFonts w:ascii="Times New Roman" w:eastAsia="Times New Roman" w:hAnsi="Times New Roman" w:cs="Times New Roman"/>
          <w:b/>
          <w:bCs/>
          <w:sz w:val="24"/>
          <w:szCs w:val="24"/>
        </w:rPr>
        <w:t>.4</w:t>
      </w:r>
      <w:r w:rsidRPr="008E4EFB">
        <w:rPr>
          <w:rFonts w:ascii="Times New Roman" w:eastAsia="Times New Roman" w:hAnsi="Times New Roman" w:cs="Times New Roman"/>
          <w:sz w:val="24"/>
          <w:szCs w:val="24"/>
        </w:rPr>
        <w:t xml:space="preserve"> demonstrates that when comparing trends of future and historical warming, the threshold and reference window do not influence the slope of the trend; however, the threshold selected does impact the projected magnitude. The HWMI increases as the percentile threshold decreases because more heat wave events are counted. Even with the most conservative threshold (97.5%), both the DBCCA and RegCM4 ensembles predict at least a doubling of the duration of the greatest heat wave event in a year by the late 2050s under SSP5-8.5 (</w:t>
      </w:r>
      <w:r w:rsidRPr="00427197">
        <w:rPr>
          <w:rFonts w:ascii="Times New Roman" w:eastAsia="Times New Roman" w:hAnsi="Times New Roman" w:cs="Times New Roman"/>
          <w:b/>
          <w:bCs/>
          <w:sz w:val="24"/>
          <w:szCs w:val="24"/>
        </w:rPr>
        <w:t>Figure</w:t>
      </w:r>
      <w:r w:rsidRPr="008E4EFB">
        <w:rPr>
          <w:rFonts w:ascii="Times New Roman" w:eastAsia="Times New Roman" w:hAnsi="Times New Roman" w:cs="Times New Roman"/>
          <w:sz w:val="24"/>
          <w:szCs w:val="24"/>
        </w:rPr>
        <w:t xml:space="preserve"> </w:t>
      </w:r>
      <w:r w:rsidR="005564E7">
        <w:rPr>
          <w:rFonts w:ascii="Times New Roman" w:eastAsia="Times New Roman" w:hAnsi="Times New Roman" w:cs="Times New Roman"/>
          <w:b/>
          <w:bCs/>
          <w:sz w:val="24"/>
          <w:szCs w:val="24"/>
        </w:rPr>
        <w:t>5</w:t>
      </w:r>
      <w:r w:rsidR="00427197">
        <w:rPr>
          <w:rFonts w:ascii="Times New Roman" w:eastAsia="Times New Roman" w:hAnsi="Times New Roman" w:cs="Times New Roman"/>
          <w:b/>
          <w:bCs/>
          <w:sz w:val="24"/>
          <w:szCs w:val="24"/>
        </w:rPr>
        <w:t>.4</w:t>
      </w:r>
      <w:r w:rsidRPr="00427197">
        <w:rPr>
          <w:rFonts w:ascii="Times New Roman" w:eastAsia="Times New Roman" w:hAnsi="Times New Roman" w:cs="Times New Roman"/>
          <w:b/>
          <w:bCs/>
          <w:sz w:val="24"/>
          <w:szCs w:val="24"/>
        </w:rPr>
        <w:t>C</w:t>
      </w:r>
      <w:r w:rsidRPr="008E4EFB">
        <w:rPr>
          <w:rFonts w:ascii="Times New Roman" w:eastAsia="Times New Roman" w:hAnsi="Times New Roman" w:cs="Times New Roman"/>
          <w:sz w:val="24"/>
          <w:szCs w:val="24"/>
        </w:rPr>
        <w:t xml:space="preserve">). That means that the probability of a heat wave lasting a month today, in the early 2020s, would be equivalent to the likelihood of a heat wave lasting over 2 months by the late 2050s. Such a projected change is unsustainable from a human health and ecological perspective, with both direct and secondary die-offs likely in affected ecosystems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{"citationID":"vQ7BilzP","properties":{"formattedCitation":"(Breshears et al., 2021)","plainCitation":"(Breshears et al., 2021)","noteIndex":0},"citationItems":[{"id":2526,"uris":["http://zotero.org/users/3110659/items/ZSPBMWB4"],"itemData":{"id":2526,"type":"article-journal","abstract":"With climate change, heat waves are becoming increasingly frequent, intense and broader in spatial extent. However, while the lethal effects of heat waves on humans are well documented, the impacts on flora are less well understood, perhaps except for crops. We summarize recent findings related to heat wave impacts including: sublethal and lethal effects at leaf and plant scales, secondary ecosystem effects, and more complex impacts such as increased heat wave frequency across all seasons, and interactions with other disturbances. We propose generalizable practical trials to quantify the critical bounding conditions of vulnerability to heat waves. Collectively, plant vulnerabilities to heat waves appear to be underappreciated and understudied, particularly with respect to understanding heat wave driven plant die-off and ecosystem tipping points.","container-title":"New Phytologist","DOI":"10.1111/nph.17348","ISSN":"1469-8137","issue":"1","language":"en","note":"_eprint: https://onlinelibrary.wiley.com/doi/pdf/10.1111/nph.17348","page":"32-39","source":"Wiley Online Library","title":"Underappreciated plant vulnerabilities to heat waves","volume":"231","author":[{"family":"Breshears","given":"David D."},{"family":"Fontaine","given":"Joseph B."},{"family":"Ruthrof","given":"Katinka X."},{"family":"Field","given":"Jason P."},{"family":"Feng","given":"Xiao"},{"family":"Burger","given":"Joseph R."},{"family":"Law","given":"Darin J."},{"family":"Kala","given":"Jatin"},{"family":"Hardy","given":"Giles E. St. J."}],"issued":{"date-parts":[["2021"]]}}}],"schema":"https://github.com/citation-style-language/schema/raw/master/csl-citation.json"}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(Breshears et al., 2021)</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Even wintertime heat waves and mild winters in general, while not necessarily as hazardous to human health, can seriously disrupt ecological processes that rely on consistently cold winters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{"citationID":"F7A7RKOo","properties":{"formattedCitation":"(Colucci et al., 2017; Flanigan et al., 2020; Kreyling et al., 2015)","plainCitation":"(Colucci et al., 2017; Flanigan et al., 2020; Kreyling et al., 2015)","noteIndex":0},"citationItems":[{"id":1970,"uris":["http://zotero.org/users/3110659/items/9XAJBURJ"],"itemData":{"id":1970,"type":"article-journal","abstract":"Leaching of nitrogen (N) from natural ecosystems poses serious environmental problems. Extreme events such as winter warm spells could exacerbate N leaching by disrupting biogeochemical cycles and will become more frequent with the projected climate change.","container-title":"Plant and Soil","DOI":"10.1007/s11104-015-2587-1","ISSN":"1573-5036","issue":"1","journalAbbreviation":"Plant Soil","language":"en","page":"85-96","source":"Springer Link","title":"Nitrogen leaching is enhanced after a winter warm spell but mainly controlled by vegetation composition in temperate zone mesocosms","volume":"396","author":[{"family":"Kreyling","given":"Juergen"},{"family":"Schuerings","given":"Jan"},{"family":"Malyshev","given":"Andrey V."},{"family":"Vogt","given":"Lukas"},{"family":"Werner","given":"Christiane"},{"family":"Jentsch","given":"Anke"}],"issued":{"date-parts":[["2015",11,1]]}}},{"id":1972,"uris":["http://zotero.org/users/3110659/items/D86WNNM8"],"itemData":{"id":1972,"type":"article-journal","abstract":"We document the occurrence in December 2015 of unprecedented high monthly mean temperatures in the observational record of mountain sites in the eastern Alps. For the first time in the last 150 years mean December temperature exceeded 0 °C at elevations between 2100 and 2500 m, with December mean anomalies exceeding 6.5 °C with respect to the 1971–2000 mean. Along with the absence of snow cover, such temperatures might have lead to unprecedented winter ablation of glaciers in this elevation range. Smaller temperature anomalies occurred in surrounding low elevation sites, highlighting the key role of topography in this event. Specifically, strong inversions associated with the very stable synoptic conditions during the month amplified the anomalies at the high elevations of the mountain glacier sites. We analyze the processes underlying this exceptional event and place this anomaly within the context of future warming scenarios over the region.","container-title":"Scientific Reports","DOI":"10.1038/s41598-017-07415-1","ISSN":"2045-2322","issue":"1","journalAbbreviation":"Sci Rep","language":"en","license":"2017 The Author(s)","note":"number: 1\npublisher: Nature Publishing Group","page":"7090","source":"www.nature.com","title":"Unprecedented heat wave in December 2015 and potential for winter glacier ablation in the eastern Alps","volume":"7","author":[{"family":"Colucci","given":"Renato R."},{"family":"Giorgi","given":"Filippo"},{"family":"Torma","given":"Csaba"}],"issued":{"date-parts":[["2017",8,2]]}}},{"id":2141,"uris":["http://zotero.org/users/3110659/items/VVA9XF6H"],"itemData":{"id":2141,"type":"article-journal","abstract":"Winter underpins key ecological processes, such as dormancy loss and seedling emergence. Enhanced warm spells, together with warming are occurring and will continue in the future. The consequences of these climate phenomena on germination were investigated among co-occurring woody plants, whose seeds are bird-dispersed in autumn and require cold stratification for spring emergence. Seeds from nine common southeastern USA plants were collected in autumn. We verified that seeds of the study species required cold stratification for dormancy loss. We then examined the following aspects in the laboratory or field: effect of warm spells during cold stratification on germination, effect of a warm spell during winter on seed survival and germination phenology, and effect of warming from autumn dispersal through winter dormancy loss on timing of germination. While no consistent effects of warm spells were found in the laboratory on quantity of germination, warm spells advanced spring field germination for several species. Some species germinated during cold stratification and during warm spells, especially extreme spells, in the laboratory. In the field, about half of Lonicera maackii seedlings that emerged with a warm spell died by late winter. With warming from autumn through spring, laboratory germination shifted from spring to predominately autumn for some species. With precocious germination during warm spells or germination phenology shifts, two scenarios are possible. Seedlings may die during winter, reducing the size of the soil seed bank and number of emergents, or they would survive in warmer winters, which would give them a competitive advantage over spring-emerging seedlings.","container-title":"Plant Biology","DOI":"10.1111/plb.13152","ISSN":"1438-8677","issue":"6","language":"en","note":"_eprint: https://onlinelibrary.wiley.com/doi/pdf/10.1111/plb.13152","page":"1052-1061","source":"Wiley Online Library","title":"Germination responses to winter warm spells and warming vary widely among woody plants in a temperate forest","volume":"22","author":[{"family":"Flanigan","given":"N. P."},{"family":"Bandara","given":"R."},{"family":"Wang","given":"F."},{"family":"Jastrzębowski","given":"S."},{"family":"Hidayati","given":"S. N."},{"family":"Walck","given":"J. L."}],"issued":{"date-parts":[["2020"]]}}}],"schema":"https://github.com/citation-style-language/schema/raw/master/csl-citation.json"}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(Colucci et al., 2017; Flanigan et al., 2020; Kreyling et al., 2015)</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w:t>
      </w:r>
    </w:p>
    <w:p w14:paraId="0C2F26E0" w14:textId="35C4E57F" w:rsidR="0044437F" w:rsidRPr="008E4EFB" w:rsidRDefault="0044437F" w:rsidP="00DC4266">
      <w:pPr>
        <w:pBdr>
          <w:top w:val="nil"/>
          <w:left w:val="nil"/>
          <w:bottom w:val="nil"/>
          <w:right w:val="nil"/>
          <w:between w:val="nil"/>
        </w:pBd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The pronounced interannual variability in projected heat wave characteristics (</w:t>
      </w:r>
      <w:r w:rsidRPr="00427197">
        <w:rPr>
          <w:rFonts w:ascii="Times New Roman" w:eastAsia="Times New Roman" w:hAnsi="Times New Roman" w:cs="Times New Roman"/>
          <w:b/>
          <w:bCs/>
          <w:sz w:val="24"/>
          <w:szCs w:val="24"/>
        </w:rPr>
        <w:t xml:space="preserve">Figure </w:t>
      </w:r>
      <w:r w:rsidR="005564E7">
        <w:rPr>
          <w:rFonts w:ascii="Times New Roman" w:eastAsia="Times New Roman" w:hAnsi="Times New Roman" w:cs="Times New Roman"/>
          <w:b/>
          <w:bCs/>
          <w:sz w:val="24"/>
          <w:szCs w:val="24"/>
        </w:rPr>
        <w:t>5</w:t>
      </w:r>
      <w:r w:rsidR="0038483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4</w:t>
      </w:r>
      <w:r w:rsidRPr="008E4EFB">
        <w:rPr>
          <w:rFonts w:ascii="Times New Roman" w:eastAsia="Times New Roman" w:hAnsi="Times New Roman" w:cs="Times New Roman"/>
          <w:sz w:val="24"/>
          <w:szCs w:val="24"/>
        </w:rPr>
        <w:t xml:space="preserve">) is likely due to the influence of both large and local scale conditions that form heat waves in different regions of the US, such as mid-latitude circulation anomalies or </w:t>
      </w:r>
      <w:r w:rsidRPr="008E4EFB">
        <w:rPr>
          <w:rFonts w:ascii="Times New Roman" w:hAnsi="Times New Roman" w:cs="Times New Roman"/>
          <w:sz w:val="24"/>
          <w:szCs w:val="24"/>
          <w:shd w:val="clear" w:color="auto" w:fill="FFFFFF"/>
        </w:rPr>
        <w:t>reduced maritime cool air advection off the west coast</w:t>
      </w:r>
      <w:r w:rsidRPr="008E4EFB">
        <w:rPr>
          <w:rFonts w:ascii="Times New Roman" w:eastAsia="Times New Roman" w:hAnsi="Times New Roman" w:cs="Times New Roman"/>
          <w:sz w:val="24"/>
          <w:szCs w:val="24"/>
        </w:rPr>
        <w:t xml:space="preserve">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{"citationID":"12msRDyQ","properties":{"formattedCitation":"(Budikova et al., 2019; Teng et al., 2013; Z. Yang et al., 2019)","plainCitation":"(Budikova et al., 2019; Teng et al., 2013; Z. Yang et al., 2019)","noteIndex":0},"citationItems":[{"id":3019,"uris":["http://zotero.org/users/3110659/items/4SQ493M2"],"itemData":{"id":3019,"type":"article-journal","abstract":"This study investigates the role of large-scale and local-scale processes associated with heat waves using two reanalysis products, and evaluates the performance of the regional climate model ensemble used in the North America Regional Climate Change Program (NARCCAP) in reproducing these processes. The Continental US is divided into eight different climate divisions to investigate different mechanisms associated with heat waves. At the large scale, heat waves are associated with terrestrial warm air advection to the Northeast, Midwest and Northern Great Plains, and with oceanic warm air advection for the Southeast and Southern Great Plains. Over the western US, reduced maritime cool air advection results in local warming. At the local scale, antecedent precipitation deficits lead to the continuous drying of soil, more net radiative energy is partitioned into sensible heat flux and acts to warm surface air temperature, especially over the Great Plains. NARCCAP-simulated large-scale meteorological patterns and temporal evolution of antecedent local scale terrestrial conditions are shown to be very similar to those of the reanalysis products. Even though extreme temperature is overestimated by the NARCCAP ensemble over the US, different heat wave metrics are realistically represented both in terms of the inter-annual variability and spatial representation. However, NARCCAP overestimates the magnitude of heatwaves over the Northeast, Midwest and Northern Great Plains, partially due to anomalous heat advection through large-scale forcing.","container-title":"Climate Dynamics","DOI":"10.1007/s00382-018-4414-x","ISSN":"1432-0894","issue":"3","journalAbbreviation":"Clim Dyn","language":"en","page":"1883-1901","source":"Springer Link","title":"Large and local-scale features associated with heat waves in the United States in reanalysis products and the NARCCAP model ensemble","volume":"52","author":[{"family":"Yang","given":"Zhao"},{"family":"Dominguez","given":"Francina"},{"family":"Zeng","given":"Xubin"}],"issued":{"date-parts":[["2019",2,1]]}}},{"id":3016,"uris":["http://zotero.org/users/3110659/items/EFETC7VV"],"itemData":{"id":3016,"type":"article-journal","abstract":"Heat waves are thought to result from subseasonal atmospheric variability. Atmospheric phenomena driven by tropical convection, such as the Asian monsoon, have been considered potential sources of predictability on subseasonal timescales. Mid-latitude atmospheric dynamics have been considered too chaotic to allow significant prediction skill of lead times beyond the typical 10-day range of weather forecasts. Here we use a 12,000-year integration of an atmospheric general circulation model to identify a pattern of subseasonal atmospheric variability that can help improve forecast skill for heat waves in the United States. We find that heat waves tend to be preceded by 15–20 days by a pattern of anomalous atmospheric planetary waves with a wavenumber of 5. This circulation pattern can arise as a result of internal atmospheric dynamics and is not necessarily linked to tropical heating. We conclude that some mid-latitude circulation anomalies that increase the probability of heat waves are predictable beyond the typical weather forecast range.","container-title":"Nature Geoscience","DOI":"10.1038/ngeo1988","ISSN":"1752-0908","issue":"12","journalAbbreviation":"Nature Geosci","language":"en","license":"2013 Springer Nature Limited","note":"number: 12\npublisher: Nature Publishing Group","page":"1056-1061","source":"www.nature.com","title":"Probability of US heat waves affected by a subseasonal planetary wave pattern","volume":"6","author":[{"family":"Teng","given":"Haiyan"},{"family":"Branstator","given":"Grant"},{"family":"Wang","given":"Hailan"},{"family":"Meehl","given":"Gerald A."},{"family":"Washington","given":"Warren M."}],"issued":{"date-parts":[["2013",12]]}}},{"id":3015,"uris":["http://zotero.org/users/3110659/items/QZJZS9IW"],"itemData":{"id":3015,"type":"article-journal","abstract":"Recent studies point to a significant rise in the number of summer extreme weather events that correspond with the presence of amplified, quasistationary midtropospheric planetary waves, weakened atmospheric circulation in the Northern Hemisphere, and coincide with reduced summer Arctic sea ice cover. This study explores potential connections between 1979 and 2016 summer heat wave frequency across the USA and regional Arctic sea ice extent (SIE) in various Arctic basins. Most notable SIE interannual relationships exist across the southern Plains and southeastern US during low Hudson Bay summer SIE. Locally increased frequencies of summer heat waves coincide with unseasonably warm conditions developed and sustained by the presence of an omega blocking pattern situated over the southern US throughout summer. The block appears following anomalous atmospheric warming and reduced mean zonal winds observed throughout spring (March–May) over northeastern Canada, the northwestern Atlantic basin, and Greenland. Spring preconditioning of summer ice melt is favored by the presence of strong negative phase of the North Atlantic Oscillation and positive Greenland Blocking Index. Summer synoptic flow related to Hudson Bay ice melt over North America appears to be influenced by the background state of atmospheric variability, namely, the positive phase of the Atlantic Multidecadal Oscillation. Antecedent local humidity, soil moisture, and precipitation conditions are shown to influence the “flavor” of the heat waves, which are more likely to be oppressive in the southeastern US and extreme across the southern Plains during summers experiencing low Hudson SIE.","container-title":"Journal of Geophysical Research: Atmospheres","DOI":"10.1029/2018JD029365","ISSN":"2169-8996","issue":"12","language":"en","license":"©2019. American Geophysical Union. All Rights Reserved.","note":"_eprint: https://onlinelibrary.wiley.com/doi/pdf/10.1029/2018JD029365","page":"6247-6264","source":"Wiley Online Library","title":"United States Heat Wave Frequency and Arctic Ocean Marginal Sea Ice Variability","volume":"124","author":[{"family":"Budikova","given":"Dagmar"},{"family":"Ford","given":"Trent W."},{"family":"Ballinger","given":"Thomas J."}],"issued":{"date-parts":[["2019"]]}}}],"schema":"https://github.com/citation-style-language/schema/raw/master/csl-citation.json"}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(Budikova et al., 2019; Teng et al., 2013; Z. Yang et al., 2019)</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However, the RegCM4 and DBCCA ensemble projections do not necessarily agree on the magnitude of this variation, or the overall trend in the underlying data (</w:t>
      </w:r>
      <w:r w:rsidRPr="00427197">
        <w:rPr>
          <w:rFonts w:ascii="Times New Roman" w:eastAsia="Times New Roman" w:hAnsi="Times New Roman" w:cs="Times New Roman"/>
          <w:b/>
          <w:bCs/>
          <w:sz w:val="24"/>
          <w:szCs w:val="24"/>
        </w:rPr>
        <w:t xml:space="preserve">Figure </w:t>
      </w:r>
      <w:r w:rsidR="005564E7">
        <w:rPr>
          <w:rFonts w:ascii="Times New Roman" w:eastAsia="Times New Roman" w:hAnsi="Times New Roman" w:cs="Times New Roman"/>
          <w:b/>
          <w:bCs/>
          <w:sz w:val="24"/>
          <w:szCs w:val="24"/>
        </w:rPr>
        <w:t>5</w:t>
      </w:r>
      <w:r w:rsidR="0038483B" w:rsidRPr="00427197">
        <w:rPr>
          <w:rFonts w:ascii="Times New Roman" w:eastAsia="Times New Roman" w:hAnsi="Times New Roman" w:cs="Times New Roman"/>
          <w:b/>
          <w:bCs/>
          <w:sz w:val="24"/>
          <w:szCs w:val="24"/>
        </w:rPr>
        <w:t>.</w:t>
      </w:r>
      <w:r w:rsidRPr="00427197">
        <w:rPr>
          <w:rFonts w:ascii="Times New Roman" w:eastAsia="Times New Roman" w:hAnsi="Times New Roman" w:cs="Times New Roman"/>
          <w:b/>
          <w:bCs/>
          <w:sz w:val="24"/>
          <w:szCs w:val="24"/>
        </w:rPr>
        <w:t>5</w:t>
      </w:r>
      <w:r w:rsidRPr="008E4EFB">
        <w:rPr>
          <w:rFonts w:ascii="Times New Roman" w:eastAsia="Times New Roman" w:hAnsi="Times New Roman" w:cs="Times New Roman"/>
          <w:sz w:val="24"/>
          <w:szCs w:val="24"/>
        </w:rPr>
        <w:t xml:space="preserve">). This difference in diurnal temperature range projections between downscaling techniques can be explained by statistical downscaling relying on fixed relationships and being unable cannot </w:t>
      </w:r>
      <w:r w:rsidRPr="008E4EFB">
        <w:rPr>
          <w:rFonts w:ascii="Times New Roman" w:eastAsia="Times New Roman" w:hAnsi="Times New Roman" w:cs="Times New Roman"/>
          <w:sz w:val="24"/>
          <w:szCs w:val="24"/>
        </w:rPr>
        <w:lastRenderedPageBreak/>
        <w:t xml:space="preserve">account for the future impact of increased warming, especially since it does not take into account local topography and land use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{"citationID":"9c4RQKOl","properties":{"formattedCitation":"(Jang &amp; Kavvas, 2015)","plainCitation":"(Jang &amp; Kavvas, 2015)","noteIndex":0},"citationItems":[{"id":3014,"uris":["http://zotero.org/users/3110659/items/FF8FJJ7V"],"itemData":{"id":3014,"type":"article-journal","abstract":"AbstractDownscaling is a fundamental procedure in the assessment of the future climate change\nimpact at regional and watershed scales. Hence, it is important to investigate the\nspatial variability of the climate conditions that are constructed by various ...","container-title":"Journal of Hydrologic Engineering","DOI":"10.1061/(ASCE)HE.1943-5584.0000939","ISSN":"1943-5584","issue":"1","language":"EN","license":"© 2014 American Society of Civil Engineers","note":"publisher: American Society of Civil Engineers","page":"A4014006","source":"ASCE","title":"Downscaling Global Climate Simulations to Regional Scales: Statistical Downscaling versus Dynamical Downscaling","title-short":"Downscaling Global Climate Simulations to Regional Scales","volume":"20","author":[{"family":"Jang","given":"S."},{"family":"Kavvas","given":"M. L."}],"issued":{"date-parts":[["2015",1,1]]}}}],"schema":"https://github.com/citation-style-language/schema/raw/master/csl-citation.json"}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(Jang &amp; Kavvas, 2015)</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It has been shown that differences between statistical and dynamical downscaling methods are larger for future projections than the historical period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{"citationID":"Pi6n2l1D","properties":{"formattedCitation":"(Walton et al., 2020)","plainCitation":"(Walton et al., 2020)","noteIndex":0},"citationItems":[{"id":3013,"uris":["http://zotero.org/users/3110659/items/IUA2QA5Q"],"itemData":{"id":3013,"type":"article-journal","abstract":"We compare historical and end-of-century temperature and precipitation patterns over California from one dynamically downscaled simulation using the Weather Research and Forecast (WRF) model and two simulations statistically downscaled using Localized Constructed Analogs (LOCA). We uniquely separate causes of differences between dynamically and statistically based future climate projections into differences in historical climate (gridded observations versus regional climate model output) and differences in how these downscaling techniques explicitly handle future climate changes (numerical modeling versus analogs). In these methods, solutions between different downscaling techniques differ more in the future compared to the historical period. Changes projected by LOCA are insensitive to the choice of driving data. Only through dynamical downscaling can we simulate physically consistent regional springtime warming patterns across the Sierra Nevada, while the statistical simulations inherit an unphysical signal from their parent Global Climate Model (GCM) or gridded data. The results of our study clarify why these different techniques produce different outcomes and may also provide guidance on which downscaled products to use for certain impact analyses in California and perhaps other Mediterranean regimes.","container-title":"Journal of Geophysical Research: Atmospheres","DOI":"10.1029/2020JD032812","ISSN":"2169-8996","issue":"19","language":"en","license":"©2020. The Authors.","note":"_eprint: https://onlinelibrary.wiley.com/doi/pdf/10.1029/2020JD032812","page":"e2020JD032812","source":"Wiley Online Library","title":"Understanding Differences in California Climate Projections Produced by Dynamical and Statistical Downscaling","volume":"125","author":[{"family":"Walton","given":"Daniel"},{"family":"Berg","given":"Neil"},{"family":"Pierce","given":"David"},{"family":"Maurer","given":"Ed"},{"family":"Hall","given":"Alex"},{"family":"Lin","given":"Yen-Heng"},{"family":"Rahimi","given":"Stefan"},{"family":"Cayan","given":"Dan"}],"issued":{"date-parts":[["2020"]]}}}],"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(Walton et al., 2020)</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w:t>
      </w:r>
    </w:p>
    <w:p w14:paraId="07F318B3" w14:textId="39E4F18C" w:rsidR="0044437F" w:rsidRPr="008E4EFB" w:rsidRDefault="0044437F" w:rsidP="00DC4266">
      <w:pPr>
        <w:pBdr>
          <w:top w:val="nil"/>
          <w:left w:val="nil"/>
          <w:bottom w:val="nil"/>
          <w:right w:val="nil"/>
          <w:between w:val="nil"/>
        </w:pBd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The predicted trend for the diurnal temperature range from the RegCM4 ensemble is consistent with a global study evaluating CMIP5 models that projected a reduction in the average diurnal temperature range under RCP8.5, though not all models agreed on the sign or the magnitude of the change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{"citationID":"E0f407Xc","properties":{"formattedCitation":"(Lindvall &amp; Svensson, 2015)","plainCitation":"(Lindvall &amp; Svensson, 2015)","noteIndex":0},"citationItems":[{"id":2354,"uris":["http://zotero.org/users/3110659/items/YFZ3XCPI"],"itemData":{"id":2354,"type":"article-journal","abstract":"This paper analyzes the diurnal temperature range (DTR) over land in simulations of the recent past and in future projections by 20 models participating in the Coupled Model Intercomparison Project phase 5 (CMIP5). The annually averaged DTR is evaluated for the present-day climate using two gridded datasets (HadGHCND and CRU). The DTR varies substantially between different CMIP5 models, particularly in the subtropics, and is generally underestimated. In future projections of the high emission scenario RCP8.5, the models disagree on both the sign and the magnitude of the change in DTR. Still, a majority of the models project a globally averaged reduction in the DTR, with an increase over Europe, a decrease over the Sahara desert and a substantial decrease in DTR at high latitudes in winter. The general DTR reduction is partly linked to the enhancement of the downwelling clear sky longwave radiation due to greenhouse gases. At high latitudes in winter, the decrease in DTR seems to be enforced by an increase in cloudiness, but in most other regions counteracted by decreases in cloud fraction. Changes in the hydrological cycle and in the clear sky shortwave radiation also impact the DTR. The DTR integrates many processes and neither the model differences in the DTR nor in the change in DTR can be attributed to a single parameter. Which variables that impact the model discrepancies vary both regionally and seasonally. However, clouds seem to matter in most regions and seasons and the evaporative fraction is important in summer.","container-title":"Climate Dynamics","DOI":"10.1007/s00382-014-2144-2","ISSN":"1432-0894","issue":"1","journalAbbreviation":"Clim Dyn","language":"en","page":"405-421","source":"Springer Link","title":"The diurnal temperature range in the CMIP5 models","volume":"44","author":[{"family":"Lindvall","given":"Jenny"},{"family":"Svensson","given":"Gunilla"}],"issued":{"date-parts":[["2015",1,1]]}}}],"schema":"https://github.com/citation-style-language/schema/raw/master/csl-citation.json"}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(Lindvall &amp; Svensson, 2015)</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The DBCCA ensemble, however, predicts a current and future trend of the same magnitude but in the opposite direction (e.g., increasing diurnal temperature range). Both the DBCCA and RegCM4 ensembles project similar diurnal temperature ranges, much higher than that of the raw CMIP6 ensemble. </w:t>
      </w:r>
      <w:r w:rsidR="00BE3B41" w:rsidRPr="008E4EFB">
        <w:rPr>
          <w:rFonts w:ascii="Times New Roman" w:eastAsia="Times New Roman" w:hAnsi="Times New Roman" w:cs="Times New Roman"/>
          <w:sz w:val="24"/>
          <w:szCs w:val="24"/>
        </w:rPr>
        <w:t>My</w:t>
      </w:r>
      <w:r w:rsidRPr="008E4EFB">
        <w:rPr>
          <w:rFonts w:ascii="Times New Roman" w:eastAsia="Times New Roman" w:hAnsi="Times New Roman" w:cs="Times New Roman"/>
          <w:sz w:val="24"/>
          <w:szCs w:val="24"/>
        </w:rPr>
        <w:t xml:space="preserve"> work demonstrates that model selection, timeframe, region, and the choice of downscaling technique can impact the magnitude and sign of results, leading to regionally varying conclusions </w:t>
      </w:r>
      <w:r w:rsidRPr="008E4EFB">
        <w:rPr>
          <w:rFonts w:ascii="Times New Roman" w:eastAsia="Times New Roman" w:hAnsi="Times New Roman" w:cs="Times New Roman"/>
          <w:sz w:val="24"/>
          <w:szCs w:val="24"/>
        </w:rPr>
        <w:fldChar w:fldCharType="begin"/>
      </w:r>
      <w:r w:rsidR="00B864BC" w:rsidRPr="008E4EFB">
        <w:rPr>
          <w:rFonts w:ascii="Times New Roman" w:eastAsia="Times New Roman" w:hAnsi="Times New Roman" w:cs="Times New Roman"/>
          <w:sz w:val="24"/>
          <w:szCs w:val="24"/>
        </w:rPr>
        <w:instrText xml:space="preserve"> ADDIN ZOTERO_ITEM CSL_CITATION {"citationID":"ji79fVwv","properties":{"formattedCitation":"(Ashfaq et al., 2016)","plainCitation":"(Ashfaq et al., 2016)","noteIndex":0},"citationItems":[{"id":2505,"uris":["http://zotero.org/users/3110659/items/UVIW4B58"],"itemData":{"id":2505,"type":"article-journal","abstract":"We present high-resolution near-term ensemble projections of hydroclimatic changes over the contiguous U.S. using a regional climate model (RegCM4) that dynamically downscales 11 global climate models from the fifth phase of Coupled Model Intercomparison Project at 18 km horizontal grid spacing. All model integrations span 41 years in the historical period (1965–2005) and 41 years in the near-term future period (2010–2050) under Representative Concentration Pathway 8.5 and cover a domain that includes the contiguous U.S. and parts of Canada and Mexico. Should emissions continue to rise, surface temperatures in every region within the U.S. will reach a new climate norm well before mid 21st century regardless of the magnitudes of regional warming. Significant warming will likely intensify the regional hydrological cycle through the acceleration of the historical trends in cold, warm, and wet extremes. The future temperature response will be partly regulated by changes in snow hydrology over the regions that historically receive a major portion of cold season precipitation in the form of snow. Our results indicate the existence of the Clausius-Clapeyron scaling at regional scales where per degree centigrade rise in surface temperature will lead to a 7.4% increase in precipitation from extremes. More importantly, both winter (snow) and summer (liquid) extremes are projected to increase across the U.S. These changes in precipitation characteristics will be driven by a shift toward shorter and wetter seasons. Overall, projected changes in the regional hydroclimate can have substantial impacts on the natural and human systems across the U.S.","container-title":"Journal of Geophysical Research: Atmospheres","DOI":"10.1002/2016JD025285","ISSN":"2169-8996","issue":"17","language":"en","note":"_eprint: https://onlinelibrary.wiley.com/doi/pdf/10.1002/2016JD025285","page":"9943-9963","source":"Wiley Online Library","title":"High-resolution ensemble projections of near-term regional climate over the continental United States","volume":"121","author":[{"family":"Ashfaq","given":"Moetasim"},{"family":"Rastogi","given":"Deeksha"},{"family":"Mei","given":"Rui"},{"family":"Kao","given":"Shih-Chieh"},{"family":"Gangrade","given":"Sudershan"},{"family":"Naz","given":"Bibi S."},{"family":"Touma","given":"Danielle"}],"issued":{"date-parts":[["2016"]]}}}],"schema":"https://github.com/citation-style-language/schema/raw/master/csl-citation.json"}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B864BC" w:rsidRPr="008E4EFB">
        <w:rPr>
          <w:rFonts w:ascii="Times New Roman" w:hAnsi="Times New Roman" w:cs="Times New Roman"/>
          <w:sz w:val="24"/>
          <w:szCs w:val="24"/>
        </w:rPr>
        <w:t>(Ashfaq et al., 2016)</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In this case, dynamical downscaling is the more trusted method, but because it is time-consuming and computationally costly, it may not be available to all researchers. Choosing statistical downscaling instead would result in a completely different conclusion about the trend in the diurnal temperature range under SSP5-8.5. This result emphasizes the importance of caution, clarity, and domain-specific knowledge when communicating model results and uncertainty to non-scientists for use in policy and climate change adaptation work.</w:t>
      </w:r>
    </w:p>
    <w:p w14:paraId="14073CC8" w14:textId="6BA6A4D9" w:rsidR="0044437F" w:rsidRPr="008E4EFB" w:rsidRDefault="0044437F" w:rsidP="00DC4266">
      <w:pPr>
        <w:pStyle w:val="Style3"/>
        <w:numPr>
          <w:ilvl w:val="1"/>
          <w:numId w:val="31"/>
        </w:numPr>
        <w:spacing w:before="0" w:line="360" w:lineRule="auto"/>
        <w:rPr>
          <w:rFonts w:cs="Times New Roman"/>
          <w:szCs w:val="24"/>
        </w:rPr>
      </w:pPr>
      <w:bookmarkStart w:id="86" w:name="_Toc179917992"/>
      <w:r w:rsidRPr="008E4EFB">
        <w:rPr>
          <w:rFonts w:cs="Times New Roman"/>
          <w:szCs w:val="24"/>
        </w:rPr>
        <w:t>Conclusions</w:t>
      </w:r>
      <w:bookmarkEnd w:id="86"/>
    </w:p>
    <w:p w14:paraId="4D4D54CC" w14:textId="0D23F13A" w:rsidR="003D1E3D" w:rsidRPr="008E4EFB" w:rsidRDefault="0044437F" w:rsidP="00DC4266">
      <w:pPr>
        <w:pBdr>
          <w:top w:val="nil"/>
          <w:left w:val="nil"/>
          <w:bottom w:val="nil"/>
          <w:right w:val="nil"/>
          <w:between w:val="nil"/>
        </w:pBd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The association between heat waves and mortality, morbidity, and ecosystem stress is well-established. It has already been established that heat waves are increasing in frequency, intensity, and duration due to climate change. However, we investigate this trend on a regional scale using new fine-resolution climate data ensembles and compare two downscaling approaches to other commonly used meteorology products.  We systematically investigate trends in US heat waves on a regional scale in the near future with two separate ensembles of dynamically and statistically downscaled models. We compare the model estimates to meteorological observations and assess the sensitivity of a heat wave index to four percentile thresholds and three reference timeframes. </w:t>
      </w:r>
      <w:r w:rsidR="00BE3B41" w:rsidRPr="008E4EFB">
        <w:rPr>
          <w:rFonts w:ascii="Times New Roman" w:hAnsi="Times New Roman" w:cs="Times New Roman"/>
          <w:sz w:val="24"/>
          <w:szCs w:val="24"/>
        </w:rPr>
        <w:t>My</w:t>
      </w:r>
      <w:r w:rsidRPr="008E4EFB">
        <w:rPr>
          <w:rFonts w:ascii="Times New Roman" w:hAnsi="Times New Roman" w:cs="Times New Roman"/>
          <w:sz w:val="24"/>
          <w:szCs w:val="24"/>
        </w:rPr>
        <w:t xml:space="preserve"> work shows that the downscaling method, heat wave index, and temporal and spatial scale directly influence model estimates, although h</w:t>
      </w:r>
      <w:r w:rsidRPr="008E4EFB">
        <w:rPr>
          <w:rFonts w:ascii="Times New Roman" w:eastAsia="Times New Roman" w:hAnsi="Times New Roman" w:cs="Times New Roman"/>
          <w:sz w:val="24"/>
          <w:szCs w:val="24"/>
        </w:rPr>
        <w:t>eat waves are projected to increase in magnitude and duration regardless of the index used for analysis</w:t>
      </w:r>
      <w:r w:rsidRPr="008E4EFB">
        <w:rPr>
          <w:rFonts w:ascii="Times New Roman" w:hAnsi="Times New Roman" w:cs="Times New Roman"/>
          <w:sz w:val="24"/>
          <w:szCs w:val="24"/>
        </w:rPr>
        <w:t xml:space="preserve">. </w:t>
      </w:r>
      <w:r w:rsidRPr="008E4EFB">
        <w:rPr>
          <w:rFonts w:ascii="Times New Roman" w:eastAsia="Times New Roman" w:hAnsi="Times New Roman" w:cs="Times New Roman"/>
          <w:sz w:val="24"/>
          <w:szCs w:val="24"/>
        </w:rPr>
        <w:t xml:space="preserve">We demonstrate </w:t>
      </w:r>
      <w:r w:rsidRPr="008E4EFB">
        <w:rPr>
          <w:rFonts w:ascii="Times New Roman" w:eastAsia="Times New Roman" w:hAnsi="Times New Roman" w:cs="Times New Roman"/>
          <w:sz w:val="24"/>
          <w:szCs w:val="24"/>
        </w:rPr>
        <w:lastRenderedPageBreak/>
        <w:t xml:space="preserve">the importance of </w:t>
      </w:r>
      <w:proofErr w:type="gramStart"/>
      <w:r w:rsidRPr="008E4EFB">
        <w:rPr>
          <w:rFonts w:ascii="Times New Roman" w:eastAsia="Times New Roman" w:hAnsi="Times New Roman" w:cs="Times New Roman"/>
          <w:sz w:val="24"/>
          <w:szCs w:val="24"/>
        </w:rPr>
        <w:t>dynamical</w:t>
      </w:r>
      <w:proofErr w:type="gramEnd"/>
      <w:r w:rsidRPr="008E4EFB">
        <w:rPr>
          <w:rFonts w:ascii="Times New Roman" w:eastAsia="Times New Roman" w:hAnsi="Times New Roman" w:cs="Times New Roman"/>
          <w:sz w:val="24"/>
          <w:szCs w:val="24"/>
        </w:rPr>
        <w:t xml:space="preserve"> downscaling a fine spatial scale for regional insights into processes occurring on an intra-annual basis</w:t>
      </w:r>
      <w:r w:rsidRPr="008E4EFB">
        <w:rPr>
          <w:rFonts w:ascii="Times New Roman" w:hAnsi="Times New Roman" w:cs="Times New Roman"/>
          <w:sz w:val="24"/>
          <w:szCs w:val="24"/>
        </w:rPr>
        <w:t xml:space="preserve">. </w:t>
      </w:r>
      <w:r w:rsidR="00BE3B41" w:rsidRPr="008E4EFB">
        <w:rPr>
          <w:rFonts w:ascii="Times New Roman" w:hAnsi="Times New Roman" w:cs="Times New Roman"/>
          <w:sz w:val="24"/>
          <w:szCs w:val="24"/>
        </w:rPr>
        <w:t>My</w:t>
      </w:r>
      <w:r w:rsidRPr="008E4EFB">
        <w:rPr>
          <w:rFonts w:ascii="Times New Roman" w:hAnsi="Times New Roman" w:cs="Times New Roman"/>
          <w:sz w:val="24"/>
          <w:szCs w:val="24"/>
        </w:rPr>
        <w:t xml:space="preserve"> results emphasize the need for urgent preparations for a hotter future climate and the importance of state-of-the-science modeling techniques for fine-resolution, domain-specific climate projections.</w:t>
      </w:r>
    </w:p>
    <w:p w14:paraId="2C63570F" w14:textId="77777777" w:rsidR="00F74FF1" w:rsidRDefault="00F74FF1">
      <w:pPr>
        <w:rPr>
          <w:rFonts w:ascii="Times New Roman" w:eastAsiaTheme="majorEastAsia" w:hAnsi="Times New Roman" w:cs="Times New Roman"/>
          <w:sz w:val="24"/>
          <w:szCs w:val="24"/>
        </w:rPr>
      </w:pPr>
      <w:bookmarkStart w:id="87" w:name="_Toc179917993"/>
      <w:r>
        <w:rPr>
          <w:sz w:val="24"/>
          <w:szCs w:val="24"/>
        </w:rPr>
        <w:br w:type="page"/>
      </w:r>
    </w:p>
    <w:p w14:paraId="031000B2" w14:textId="6E256A13" w:rsidR="00E26C6C" w:rsidRPr="008E4EFB" w:rsidRDefault="00B27D45" w:rsidP="00DC4266">
      <w:pPr>
        <w:pStyle w:val="Heading1"/>
        <w:spacing w:before="0" w:line="360" w:lineRule="auto"/>
        <w:rPr>
          <w:sz w:val="24"/>
          <w:szCs w:val="24"/>
        </w:rPr>
      </w:pPr>
      <w:r w:rsidRPr="008E4EFB">
        <w:rPr>
          <w:sz w:val="24"/>
          <w:szCs w:val="24"/>
        </w:rPr>
        <w:lastRenderedPageBreak/>
        <w:t>Mapping Long-Term Trends in Soil Organic Carbon with Machine Learning</w:t>
      </w:r>
      <w:bookmarkEnd w:id="87"/>
    </w:p>
    <w:p w14:paraId="389367E8" w14:textId="01BDD2ED" w:rsidR="00CD7F80" w:rsidRPr="008E4EFB" w:rsidRDefault="001D4ED4" w:rsidP="00DC4266">
      <w:pPr>
        <w:pStyle w:val="Style3"/>
        <w:numPr>
          <w:ilvl w:val="1"/>
          <w:numId w:val="32"/>
        </w:numPr>
        <w:spacing w:before="0" w:line="360" w:lineRule="auto"/>
        <w:rPr>
          <w:rFonts w:cs="Times New Roman"/>
          <w:szCs w:val="24"/>
        </w:rPr>
      </w:pPr>
      <w:bookmarkStart w:id="88" w:name="_Toc179917994"/>
      <w:r w:rsidRPr="008E4EFB">
        <w:rPr>
          <w:rFonts w:cs="Times New Roman"/>
          <w:szCs w:val="24"/>
        </w:rPr>
        <w:t>Mapping Soil Organic Carbon</w:t>
      </w:r>
      <w:bookmarkEnd w:id="88"/>
    </w:p>
    <w:p w14:paraId="5D69E855" w14:textId="77777777" w:rsidR="00FB0376" w:rsidRPr="008E4EFB" w:rsidRDefault="00FB0376" w:rsidP="00DC4266">
      <w:pPr>
        <w:spacing w:after="0" w:line="360" w:lineRule="auto"/>
        <w:rPr>
          <w:rFonts w:ascii="Times New Roman" w:hAnsi="Times New Roman" w:cs="Times New Roman"/>
          <w:sz w:val="24"/>
          <w:szCs w:val="24"/>
        </w:rPr>
      </w:pPr>
      <w:bookmarkStart w:id="89" w:name="_Toc179917995"/>
      <w:r w:rsidRPr="008E4EFB">
        <w:rPr>
          <w:rFonts w:ascii="Times New Roman" w:hAnsi="Times New Roman" w:cs="Times New Roman"/>
          <w:sz w:val="24"/>
          <w:szCs w:val="24"/>
        </w:rPr>
        <w:t xml:space="preserve">Soil organic carbon (SOC) is a critical element of the global carbon cycle because soil can be both a sink and a source of carbon emissions. Carbon is captured in the soil through litterfall, rhizodeposition, and root or rhizome death in the soil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{"citationID":"HXPKaXrI","properties":{"formattedCitation":"[1]","plainCitation":"[1]","noteIndex":0},"citationItems":[{"id":2069,"uris":["http://zotero.org/users/3110659/items/J67PCGRA"],"itemData":{"id":2069,"type":"article-journal","abstract":"Soil carbon (C) is a critical component of Earth system models (ESMs), and its diverse representations are a major source of the large spread across models in the terrestrial C sink from the third to fifth assessment reports of the Intergovernmental Panel on Climate Change (IPCC). Improving soil C projections is of a high priority for Earth system modeling in the future IPCC and other assessments. To achieve this goal, we suggest that (1) model structures should reflect real-world processes, (2) parameters should be calibrated to match model outputs with observations, and (3) external forcing variables should accurately prescribe the environmental conditions that soils experience. First, most soil C cycle models simulate C input from litter production and C release through decomposition. The latter process has traditionally been represented by first-order decay functions, regulated primarily by temperature, moisture, litter quality, and soil texture. While this formulation well captures macroscopic soil organic C (SOC) dynamics, better understanding is needed of their underlying mechanisms as related to microbial processes, depth-dependent environmental controls, and other processes that strongly affect soil C dynamics. Second, incomplete use of observations in model parameterization is a major cause of bias in soil C projections from ESMs. Optimal parameter calibration with both pool- and flux-based data sets through data assimilation is among the highest priorities for near-term research to reduce biases among ESMs. Third, external variables are represented inconsistently among ESMs, leading to differences in modeled soil C dynamics. We recommend the implementation of traceability analyses to identify how external variables and model parameterizations influence SOC dynamics in different ESMs. Overall, projections of the terrestrial C sink can be substantially improved when reliable data sets are available to select the most representative model structure, constrain parameters, and prescribe forcing fields.","container-title":"Global Biogeochemical Cycles","DOI":"10.1002/2015GB005239","ISSN":"1944-9224","issue":"1","language":"en","note":"_eprint: https://onlinelibrary.wiley.com/doi/pdf/10.1002/2015GB005239","page":"40-56","source":"Wiley Online Library","title":"Toward more realistic projections of soil carbon dynamics by Earth system models","volume":"30","author":[{"family":"Luo","given":"Yiqi"},{"family":"Ahlström","given":"Anders"},{"family":"Allison","given":"Steven D."},{"family":"Batjes","given":"Niels H."},{"family":"Brovkin","given":"Victor"},{"family":"Carvalhais","given":"Nuno"},{"family":"Chappell","given":"Adrian"},{"family":"Ciais","given":"Philippe"},{"family":"Davidson","given":"Eric A."},{"family":"Finzi","given":"Adien"},{"family":"Georgiou","given":"Katerina"},{"family":"Guenet","given":"Bertrand"},{"family":"Hararuk","given":"Oleksandra"},{"family":"Harden","given":"Jennifer W."},{"family":"He","given":"Yujie"},{"family":"Hopkins","given":"Francesca"},{"family":"Jiang","given":"Lifen"},{"family":"Koven","given":"Charlie"},{"family":"Jackson","given":"Robert B."},{"family":"Jones","given":"Chris D."},{"family":"Lara","given":"Mark J."},{"family":"Liang","given":"Junyi"},{"family":"McGuire","given":"A. David"},{"family":"Parton","given":"William"},{"family":"Peng","given":"Changhui"},{"family":"Randerson","given":"James T."},{"family":"Salazar","given":"Alejandro"},{"family":"Sierra","given":"Carlos A."},{"family":"Smith","given":"Matthew J."},{"family":"Tian","given":"Hanqin"},{"family":"Todd-Brown","given":"Katherine E. O."},{"family":"Torn","given":"Margaret"},{"family":"Groenigen","given":"Kees Jan","non-dropping-particle":"van"},{"family":"Wang","given":"Ying Ping"},{"family":"West","given":"Tristram O."},{"family":"Wei","given":"Yaxing"},{"family":"Wieder","given":"William R."},{"family":"Xia","given":"Jianyang"},{"family":"Xu","given":"Xia"},{"family":"Xu","given":"Xiaofeng"},{"family":"Zhou","given":"Tao"}],"issued":{"date-parts":[["2016"]]}}}],"schema":"https://github.com/citation-style-language/schema/raw/master/csl-citation.json"}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and carbon is emitted due to disturbances such as fire, tilling, clearing vegetation, and erosion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{"citationID":"iTWibLix","properties":{"formattedCitation":"[1\\uc0\\u8211{}3]","plainCitation":"[1–3]","noteIndex":0},"citationItems":[{"id":2057,"uris":["http://zotero.org/users/3110659/items/LFNAD3D4"],"itemData":{"id":2057,"type":"article-journal","abstract":"Most empirical and modeling research on soil carbon (C) dynamics has focused on those processes that control and promote C stabilization. However, we lack a strong, generalizable understanding of the mechanisms through which soil organic carbon (SOC) is destabilized in soils. Yet a clear understanding of C destabilization processes in soil is needed to quantify the feedbacks of the soil C cycle to the Earth system. Destabilization includes processes that occur along a spectrum through which SOC shifts from a ‘protected’ state to an ‘available’ state to microbial cells where it can be mineralized to gaseous forms or to soluble forms that are then lost from the soil system. These processes fall into three general categories: (1) release from physical occlusion through processes such as tillage, bioturbation, or freeze-thaw and wetting-drying cycles; (2) C desorption from soil solids and colloids; and (3) increased C metabolism. Many processes that stabilize soil C can also destabilize C, and C gain or loss depends on the balance between competing reactions. For example, earthworms may both destabilize C through aggregate destruction, but may also create new aggregates and redistribute C into mineral horizon. Similarly, mycorrhizae and roots form new soil C but may also destabilize old soil C through priming and promoting microbial mining; labile C inputs cause C stabilization through increased carbon use efficiency or may fuel priming. Changes to the soil environment that affect the solubility of minerals or change the relative surfaces charges of minerals can destabilize SOC, including increased pH or in the reductive dissolution of Fe-bearing minerals. By considering these different physical, chemical, and biological controls as processes that contribute to soil C destabilization, we can develop thoughtful new hypotheses about the persistence and vulnerability of C in soils and make more accurate and robust predictions of soil C cycling in a changing environment.","container-title":"Environmental Research Letters","DOI":"10.1088/1748-9326/ab2c11","ISSN":"1748-9326","issue":"8","journalAbbreviation":"Environ. Res. Lett.","language":"en","note":"publisher: IOP Publishing","page":"083004","source":"Institute of Physics","title":"What do we know about soil carbon destabilization?","volume":"14","author":[{"family":"Bailey","given":"Vanessa L."},{"family":"Pries","given":"Caitlin Hicks"},{"family":"Lajtha","given":"Kate"}],"issued":{"date-parts":[["2019",7]]}}},{"id":2069,"uris":["http://zotero.org/users/3110659/items/J67PCGRA"],"itemData":{"id":2069,"type":"article-journal","abstract":"Soil carbon (C) is a critical component of Earth system models (ESMs), and its diverse representations are a major source of the large spread across models in the terrestrial C sink from the third to fifth assessment reports of the Intergovernmental Panel on Climate Change (IPCC). Improving soil C projections is of a high priority for Earth system modeling in the future IPCC and other assessments. To achieve this goal, we suggest that (1) model structures should reflect real-world processes, (2) parameters should be calibrated to match model outputs with observations, and (3) external forcing variables should accurately prescribe the environmental conditions that soils experience. First, most soil C cycle models simulate C input from litter production and C release through decomposition. The latter process has traditionally been represented by first-order decay functions, regulated primarily by temperature, moisture, litter quality, and soil texture. While this formulation well captures macroscopic soil organic C (SOC) dynamics, better understanding is needed of their underlying mechanisms as related to microbial processes, depth-dependent environmental controls, and other processes that strongly affect soil C dynamics. Second, incomplete use of observations in model parameterization is a major cause of bias in soil C projections from ESMs. Optimal parameter calibration with both pool- and flux-based data sets through data assimilation is among the highest priorities for near-term research to reduce biases among ESMs. Third, external variables are represented inconsistently among ESMs, leading to differences in modeled soil C dynamics. We recommend the implementation of traceability analyses to identify how external variables and model parameterizations influence SOC dynamics in different ESMs. Overall, projections of the terrestrial C sink can be substantially improved when reliable data sets are available to select the most representative model structure, constrain parameters, and prescribe forcing fields.","container-title":"Global Biogeochemical Cycles","DOI":"10.1002/2015GB005239","ISSN":"1944-9224","issue":"1","language":"en","note":"_eprint: https://onlinelibrary.wiley.com/doi/pdf/10.1002/2015GB005239","page":"40-56","source":"Wiley Online Library","title":"Toward more realistic projections of soil carbon dynamics by Earth system models","volume":"30","author":[{"family":"Luo","given":"Yiqi"},{"family":"Ahlström","given":"Anders"},{"family":"Allison","given":"Steven D."},{"family":"Batjes","given":"Niels H."},{"family":"Brovkin","given":"Victor"},{"family":"Carvalhais","given":"Nuno"},{"family":"Chappell","given":"Adrian"},{"family":"Ciais","given":"Philippe"},{"family":"Davidson","given":"Eric A."},{"family":"Finzi","given":"Adien"},{"family":"Georgiou","given":"Katerina"},{"family":"Guenet","given":"Bertrand"},{"family":"Hararuk","given":"Oleksandra"},{"family":"Harden","given":"Jennifer W."},{"family":"He","given":"Yujie"},{"family":"Hopkins","given":"Francesca"},{"family":"Jiang","given":"Lifen"},{"family":"Koven","given":"Charlie"},{"family":"Jackson","given":"Robert B."},{"family":"Jones","given":"Chris D."},{"family":"Lara","given":"Mark J."},{"family":"Liang","given":"Junyi"},{"family":"McGuire","given":"A. David"},{"family":"Parton","given":"William"},{"family":"Peng","given":"Changhui"},{"family":"Randerson","given":"James T."},{"family":"Salazar","given":"Alejandro"},{"family":"Sierra","given":"Carlos A."},{"family":"Smith","given":"Matthew J."},{"family":"Tian","given":"Hanqin"},{"family":"Todd-Brown","given":"Katherine E. O."},{"family":"Torn","given":"Margaret"},{"family":"Groenigen","given":"Kees Jan","non-dropping-particle":"van"},{"family":"Wang","given":"Ying Ping"},{"family":"West","given":"Tristram O."},{"family":"Wei","given":"Yaxing"},{"family":"Wieder","given":"William R."},{"family":"Xia","given":"Jianyang"},{"family":"Xu","given":"Xia"},{"family":"Xu","given":"Xiaofeng"},{"family":"Zhou","given":"Tao"}],"issued":{"date-parts":[["2016"]]}}},{"id":2061,"uris":["http://zotero.org/users/3110659/items/HHRLHXF4"],"itemData":{"id":2061,"type":"article-journal","abstract":"Estimation and monitoring of soil organic carbon (SOC) stocks is important for maintaining soil productivity and meeting climate change mitigation targets. Current global SOC maps do not provide enough detail for landscape-scale decision making, and do not allow for tracking carbon sequestration or loss over time. Using an optical satellite-driven machine learning workflow, we mapped SOC stocks (topsoil; 0 to 30 cm) under natural vegetation (86% of land area) over South Africa at 30 m spatial resolution between 1984 and 2019. We estimate a total topsoil SOC stock of 5.6 Pg C with a median SOC density of 6 kg C m−2 (IQR: interquartile range 2.9 kg C m−2). Over 35 years, predicted SOC underwent a net increase of 0.3% (relative to long-term mean) with the greatest net increases (1.7%) and decreases (−0.6%) occurring in the Grassland and Nama Karoo biomes, respectively. At the landscape scale, SOC changes of up to 25% were evident in some locations, as evidenced from fence-line contrasts, and were likely due to local management effects (e.g. woody encroachment associated with increased SOC and overgrazing associated with decreased SOC). Our SOC mapping approach exhibited lower uncertainty (R2 = 0.64; RMSE = 2.5 kg C m−2) and less bias compared to previous low-resolution (250–1000 m) national SOC mapping efforts (average R2 = 0.24; RMSE = 3.7 kg C m−2). Our trend map remains an estimate, pending repeated measures of soil samples in the same location (time-series); a global priority for tracking SOC changes. While high resolution SOC maps can inform land management decisions aimed at climate mitigation (natural climate solutions), potential increases in SOC are likely limited by local climate and soils. It is also important that climate mitigation efforts such as planting trees balance trade-offs between carbon, biodiversity and overall ecosystem function.","container-title":"Science of The Total Environment","DOI":"10.1016/j.scitotenv.2021.145384","ISSN":"0048-9697","journalAbbreviation":"Science of The Total Environment","language":"en","page":"145384","source":"ScienceDirect","title":"Mapping soil organic carbon stocks and trends with satellite-driven high resolution maps over South Africa","volume":"771","author":[{"family":"Venter","given":"Zander S."},{"family":"Hawkins","given":"Heidi-Jayne"},{"family":"Cramer","given":"Michael D."},{"family":"Mills","given":"Anthony J."}],"issued":{"date-parts":[["2021",6,1]]}}}],"schema":"https://github.com/citation-style-language/schema/raw/master/csl-citation.json"}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SOC greatly impacts microorganism abundance and soil health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{"citationID":"RRpipzLw","properties":{"formattedCitation":"[4]","plainCitation":"[4]","noteIndex":0},"citationItems":[{"id":2060,"uris":["http://zotero.org/users/3110659/items/RADKQS8L"],"itemData":{"id":2060,"type":"article-journal","abstract":"The impacts of climate change on ecosystem structure and functioning are likely to be strongest at high latitudes due to the adaptation of biota to relatively low temperatures and nutrient levels. Soil warming is widely predicted to alter microbial, invertebrate, and plant communities, with cascading effects on ecosystem functioning, but this has largely been demonstrated over short-term (&lt;10 year) warming studies. Using a natural soil temperature gradient spanning 10–35°C, we examine responses of soil organisms, decomposition, nitrogen cycling, and plant biomass production to long-term warming. We find that decomposer organisms are surprisingly resistant to chronic warming, with no responses of bacteria, fungi, or their grazers to temperature (fungivorous nematodes being an exception). Soil organic matter content instead drives spatial variation in microorganism abundances and mineral N availability. The few temperature effects that appear are more focused: root biomass and abundance of root-feeding nematodes decrease, and nitrification increases with increasing soil temperature. Our results suggest that transient responses of decomposers and soil functioning to warming may stabilize over time following acclimation and/or adaptation, highlighting the need for long-term, ecosystem-scale studies that incorporate evolutionary responses to soil warming.","container-title":"Global Change Biology","DOI":"10.1111/gcb.16158","ISSN":"1365-2486","issue":"12","language":"en","note":"_eprint: https://onlinelibrary.wiley.com/doi/pdf/10.1111/gcb.16158","page":"3929-3943","source":"Wiley Online Library","title":"Soil organic matter, rather than temperature, determines the structure and functioning of subarctic decomposer communities","volume":"28","author":[{"family":"Robinson","given":"Sinikka I."},{"family":"O’Gorman","given":"Eoin J."},{"family":"Frey","given":"Beat"},{"family":"Hagner","given":"Marleena"},{"family":"Mikola","given":"Juha"}],"issued":{"date-parts":[["2022"]]}}}],"schema":"https://github.com/citation-style-language/schema/raw/master/csl-citation.json"}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and in turn is influenced by vegetation, temperature, and precipitation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{"citationID":"tRlfefQf","properties":{"formattedCitation":"[5]","plainCitation":"[5]","noteIndex":0},"citationItems":[{"id":2058,"uris":["http://zotero.org/users/3110659/items/TPP4YG6D"],"itemData":{"id":2058,"type":"article-journal","abstract":"Soil is recognized as the largest carbon reservoir in the terrestrial ecosystem. Soil organic carbon (SOC) is vulnerable to changes in land use and climate. For a better understanding of the SOC dynamics and its driving factors, we collected data of the 1980s and 2000s in the North and Northeast China and conducted the digital soil mapping for spatial variation of SOC for the respective period. In the 1980s, 585 soils were sampled and the area was resampled in 2003 and 2004 (1062 samples) in a 30-km grid. The main land use in the area was cropland, forest and grassland. The random forest was used to predict the SOC concentration and its temporal change using land use, terrain factors, vegetation index, vis-NIR spectra and climate factors as predictors. The average SOC concentration in 1985 was 10.0 g kg−1 compared to 12.5 g kg−1 in 2004. The SOC variation was similar over the two periods, and levels increased from south to north. The estimated SOC stock was 1.68 Pg in 1985 and 1.66 Pg in 2004, but the SOC changes were different under different land uses. Over the twenty-year period, average temperatures increased and large areas of forests and grassland were converted to cropland. SOC under cropland was increased by 0.094 Pg (+9%) whereas 0.089 Pg SOC was lost under forests (−25%) and 0.037 Pg in the soils under grassland (−25%). It is concluded that land use is the main drivers for SOC changes in this area while climate change had different contributions in different regions. SOC loss was remarkable under the land use conversion while cropland has considerable potential to sequester SOC.","container-title":"Science of The Total Environment","DOI":"10.1016/j.scitotenv.2018.08.016","ISSN":"0048-9697","journalAbbreviation":"Science of The Total Environment","language":"en","page":"1230-1238","source":"ScienceDirect","title":"Land use and climate change effects on soil organic carbon in North and Northeast China","volume":"647","author":[{"family":"Zhou","given":"Yin"},{"family":"Hartemink","given":"Alfred E."},{"family":"Shi","given":"Zhou"},{"family":"Liang","given":"Zongzheng"},{"family":"Lu","given":"Yanli"}],"issued":{"date-parts":[["2019",1,10]]}}}],"schema":"https://github.com/citation-style-language/schema/raw/master/csl-citation.json"}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[5]</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The global SOC pool is three times greater than that of above-ground vegetation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{"citationID":"zdrXfmD3","properties":{"formattedCitation":"[6]","plainCitation":"[6]","noteIndex":0},"citationItems":[{"id":2059,"uris":["http://zotero.org/users/3110659/items/Q84PD2EW"],"itemData":{"id":2059,"type":"article-journal","abstract":"&lt;p&gt;&lt;strong class=\"journal-contentHeaderColor\"&gt;Abstract.&lt;/strong&gt; Accurate assessment of anthropogenic carbon dioxide (CO&lt;span class=\"inline-formula\"&gt;&lt;sub&gt;2&lt;/sub&gt;&lt;/span&gt;) emissions and their redistribution among the atmosphere, ocean, and terrestrial biosphere in a changing climate – the “global carbon budget” – is important to better understand the global carbon cycle, support the development of climate policies, and project future climate change. Here we describe and synthesize data sets and methodology to quantify the five major components of the global carbon budget and their uncertainties. Fossil CO&lt;span class=\"inline-formula\"&gt;&lt;sub&gt;2&lt;/sub&gt;&lt;/span&gt; emissions (&lt;span class=\"inline-formula\"&gt;&lt;i&gt;E&lt;/i&gt;&lt;sub&gt;FOS&lt;/sub&gt;&lt;/span&gt;) are based on energy statistics and cement production data, while emissions from land-use change (&lt;span class=\"inline-formula\"&gt;&lt;i&gt;E&lt;/i&gt;&lt;sub&gt;LUC&lt;/sub&gt;&lt;/span&gt;), mainly deforestation, are based on land use and land-use change data and bookkeeping models. Atmospheric CO&lt;span class=\"inline-formula\"&gt;&lt;sub&gt;2&lt;/sub&gt;&lt;/span&gt; concentration is measured directly and its growth rate (&lt;span class=\"inline-formula\"&gt;&lt;i&gt;G&lt;/i&gt;&lt;sub&gt;ATM&lt;/sub&gt;&lt;/span&gt;) is computed from the annual changes in concentration. The ocean CO&lt;span class=\"inline-formula\"&gt;&lt;sub&gt;2&lt;/sub&gt;&lt;/span&gt; sink (&lt;span class=\"inline-formula\"&gt;&lt;i&gt;S&lt;/i&gt;&lt;sub&gt;OCEAN&lt;/sub&gt;&lt;/span&gt;) and terrestrial CO&lt;span class=\"inline-formula\"&gt;&lt;sub&gt;2&lt;/sub&gt;&lt;/span&gt; sink (&lt;span class=\"inline-formula\"&gt;&lt;i&gt;S&lt;/i&gt;&lt;sub&gt;LAND&lt;/sub&gt;&lt;/span&gt;) are estimated with global process models constrained by observations. The resulting carbon budget imbalance (&lt;span class=\"inline-formula\"&gt;&lt;i&gt;B&lt;/i&gt;&lt;sub&gt;IM&lt;/sub&gt;&lt;/span&gt;), the difference between the estimated total emissions and the estimated changes in the atmosphere, ocean, and terrestrial biosphere, is a measure of imperfect data and understanding of the contemporary carbon cycle. All uncertainties are reported as &lt;span class=\"inline-formula\"&gt;±1&lt;i&gt;σ&lt;/i&gt;&lt;/span&gt;. For the last decade available (2010–2019), &lt;span class=\"inline-formula\"&gt;&lt;i&gt;E&lt;/i&gt;&lt;sub&gt;FOS&lt;/sub&gt;&lt;/span&gt; was 9.6&amp;thinsp;&lt;span class=\"inline-formula\"&gt;±&lt;/span&gt;&amp;thinsp;0.5&amp;thinsp;GtC&amp;thinsp;yr&lt;span class=\"inline-formula\"&gt;&lt;sup&gt;−1&lt;/sup&gt;&lt;/span&gt; excluding the cement carbonation sink (9.4&amp;thinsp;&lt;span class=\"inline-formula\"&gt;±&lt;/span&gt;&amp;thinsp;0.5&amp;thinsp;GtC&amp;thinsp;yr&lt;span class=\"inline-formula\"&gt;&lt;sup&gt;−1&lt;/sup&gt;&lt;/span&gt; when the cement carbonation sink is included), and &lt;span class=\"inline-formula\"&gt;&lt;i&gt;E&lt;/i&gt;&lt;sub&gt;LUC&lt;/sub&gt;&lt;/span&gt; was 1.6&amp;thinsp;&lt;span class=\"inline-formula\"&gt;±&lt;/span&gt;&amp;thinsp;0.7&amp;thinsp;GtC&amp;thinsp;yr&lt;span class=\"inline-formula\"&gt;&lt;sup&gt;−1&lt;/sup&gt;&lt;/span&gt;. For the same decade, &lt;span class=\"inline-formula\"&gt;&lt;i&gt;G&lt;/i&gt;&lt;sub&gt;ATM&lt;/sub&gt;&lt;/span&gt; was 5.1&amp;thinsp;&lt;span class=\"inline-formula\"&gt;±&lt;/span&gt;&amp;thinsp;0.02&amp;thinsp;GtC&amp;thinsp;yr&lt;span class=\"inline-formula\"&gt;&lt;sup&gt;−1&lt;/sup&gt;&lt;/span&gt; (2.4&amp;thinsp;&lt;span class=\"inline-formula\"&gt;±&lt;/span&gt;&amp;thinsp;0.01&amp;thinsp;ppm&amp;thinsp;yr&lt;span class=\"inline-formula\"&gt;&lt;sup&gt;−1&lt;/sup&gt;&lt;/span&gt;), &lt;span class=\"inline-formula\"&gt;&lt;i&gt;S&lt;/i&gt;&lt;sub&gt;OCEAN&lt;/sub&gt;&lt;/span&gt; 2.5&amp;thinsp;&lt;span class=\"inline-formula\"&gt;±&lt;/span&gt;&amp;thinsp; 0.6&amp;thinsp;GtC&amp;thinsp;yr&lt;span class=\"inline-formula\"&gt;&lt;sup&gt;−1&lt;/sup&gt;&lt;/span&gt;, and &lt;span class=\"inline-formula\"&gt;&lt;i&gt;S&lt;/i&gt;&lt;sub&gt;LAND&lt;/sub&gt;&lt;/span&gt; 3.4&amp;thinsp;&lt;span class=\"inline-formula\"&gt;±&lt;/span&gt;&amp;thinsp;0.9&amp;thinsp;GtC&amp;thinsp;yr&lt;span class=\"inline-formula\"&gt;&lt;sup&gt;−1&lt;/sup&gt;&lt;/span&gt;, with a budget imbalance &lt;span class=\"inline-formula\"&gt;&lt;i&gt;B&lt;/i&gt;&lt;sub&gt;IM&lt;/sub&gt;&lt;/span&gt; of &lt;span class=\"inline-formula\"&gt;−&lt;/span&gt;0.1&amp;thinsp;GtC&amp;thinsp;yr&lt;span class=\"inline-formula\"&gt;&lt;sup&gt;−1&lt;/sup&gt;&lt;/span&gt; indicating a near balance between estimated sources and sinks over the last decade. For the year 2019 alone, the growth in &lt;span class=\"inline-formula\"&gt;&lt;i&gt;E&lt;/i&gt;&lt;sub&gt;FOS&lt;/sub&gt;&lt;/span&gt; was only about 0.1&amp;thinsp;% with fossil emissions increasing to 9.9&amp;thinsp;&lt;span class=\"inline-formula\"&gt;±&lt;/span&gt;&amp;thinsp;0.5&amp;thinsp;GtC&amp;thinsp;yr&lt;span class=\"inline-formula\"&gt;&lt;sup&gt;−1&lt;/sup&gt;&lt;/span&gt; excluding the cement carbonation sink (9.7&amp;thinsp;&lt;span class=\"inline-formula\"&gt;±&lt;/span&gt;&amp;thinsp;0.5&amp;thinsp;GtC&amp;thinsp;yr&lt;span class=\"inline-formula\"&gt;&lt;sup&gt;−1&lt;/sup&gt;&lt;/span&gt; when cement carbonation sink is included), and &lt;span class=\"inline-formula\"&gt;&lt;i&gt;E&lt;/i&gt;&lt;sub&gt;LUC&lt;/sub&gt;&lt;/span&gt; was 1.8&amp;thinsp;&lt;span class=\"inline-formula\"&gt;±&lt;/span&gt;&amp;thinsp;0.7&amp;thinsp;GtC&amp;thinsp;yr&lt;span class=\"inline-formula\"&gt;&lt;sup&gt;−1&lt;/sup&gt;&lt;/span&gt;, for total anthropogenic CO&lt;span class=\"inline-formula\"&gt;&lt;sub&gt;2&lt;/sub&gt;&lt;/span&gt; emissions of 11.5&amp;thinsp;&lt;span class=\"inline-formula\"&gt;±&lt;/span&gt;&amp;thinsp;0.9&amp;thinsp;GtC&amp;thinsp;yr&lt;span class=\"inline-formula\"&gt;&lt;sup&gt;−1&lt;/sup&gt;&lt;/span&gt; (42.2&amp;thinsp;&lt;span class=\"inline-formula\"&gt;±&lt;/span&gt;&amp;thinsp;3.3&amp;thinsp;GtCO&lt;span class=\"inline-formula\"&gt;&lt;sub&gt;2&lt;/sub&gt;&lt;/span&gt;). Also for 2019, &lt;span class=\"inline-formula\"&gt;&lt;i&gt;G&lt;/i&gt;&lt;sub&gt;ATM&lt;/sub&gt;&lt;/span&gt; was 5.4&amp;thinsp;&lt;span class=\"inline-formula\"&gt;±&lt;/span&gt;&amp;thinsp;0.2&amp;thinsp;GtC&amp;thinsp;yr&lt;span class=\"inline-formula\"&gt;&lt;sup&gt;−1&lt;/sup&gt;&lt;/span&gt; (2.5&amp;thinsp;&lt;span class=\"inline-formula\"&gt;±&lt;/span&gt;&amp;thinsp;0.1&amp;thinsp;ppm&amp;thinsp;yr&lt;span class=\"inline-formula\"&gt;&lt;sup&gt;−1&lt;/sup&gt;&lt;/span&gt;), &lt;span class=\"inline-formula\"&gt;&lt;i&gt;S&lt;/i&gt;&lt;sub&gt;OCEAN&lt;/sub&gt;&lt;/span&gt; was 2.6&amp;thinsp;&lt;span class=\"inline-formula\"&gt;±&lt;/span&gt;&amp;thinsp;0.6&amp;thinsp;GtC&amp;thinsp;yr&lt;span class=\"inline-formula\"&gt;&lt;sup&gt;−1&lt;/sup&gt;&lt;/span&gt;, and &lt;span class=\"inline-formula\"&gt;&lt;i&gt;S&lt;/i&gt;&lt;sub&gt;LAND&lt;/sub&gt;&lt;/span&gt; was 3.1&amp;thinsp;&lt;span class=\"inline-formula\"&gt;±&lt;/span&gt;&amp;thinsp;1.2&amp;thinsp;GtC&amp;thinsp;yr&lt;span class=\"inline-formula\"&gt;&lt;sup&gt;−1&lt;/sup&gt;&lt;/span&gt;, with a &lt;span class=\"inline-formula\"&gt;&lt;i&gt;B&lt;/i&gt;&lt;sub&gt;IM&lt;/sub&gt;&lt;/span&gt; of 0.3&amp;thinsp;GtC. The global atmospheric CO&lt;span class=\"inline-formula\"&gt;&lt;sub&gt;2&lt;/sub&gt;&lt;/span&gt; concentration reached 409.85&amp;thinsp;&lt;span class=\"inline-formula\"&gt;±&lt;/span&gt;&amp;thinsp;0.1&amp;thinsp;ppm averaged over 2019. Preliminary data for 2020, accounting for the COVID-19-induced changes in emissions, suggest a decrease in &lt;span class=\"inline-formula\"&gt;&lt;i&gt;E&lt;/i&gt;&lt;sub&gt;FOS&lt;/sub&gt;&lt;/span&gt; relative to 2019 of about &lt;span class=\"inline-formula\"&gt;−&lt;/span&gt;7&amp;thinsp;% (median estimate) based on individual estimates from four studies of &lt;span class=\"inline-formula\"&gt;−&lt;/span&gt;6&amp;thinsp;%, &lt;span class=\"inline-formula\"&gt;−&lt;/span&gt;7&amp;thinsp;%, &lt;span class=\"inline-formula\"&gt;−&lt;/span&gt;7&amp;thinsp;% (&lt;span class=\"inline-formula\"&gt;−&lt;/span&gt;3&amp;thinsp;% to &lt;span class=\"inline-formula\"&gt;−&lt;/span&gt;11&amp;thinsp;%), and &lt;span class=\"inline-formula\"&gt;−&lt;/span&gt;13&amp;thinsp;%. Overall, the mean and trend in the components of the global carbon budget are consistently estimated over the period 1959–2019, but discrepancies of up to 1&amp;thinsp;GtC&amp;thinsp;yr&lt;span class=\"inline-formula\"&gt;&lt;sup&gt;−1&lt;/sup&gt;&lt;/span&gt; persist for the representation of semi-decadal variability in CO&lt;span class=\"inline-formula\"&gt;&lt;sub&gt;2&lt;/sub&gt;&lt;/span&gt; fluxes. Comparison of estimates from diverse approaches and observations shows (1) no consensus in the mean and trend in land-use change emissions over the last decade, (2) a persistent low agreement between the different methods on the magnitude of the land CO&lt;span class=\"inline-formula\"&gt;&lt;sub&gt;2&lt;/sub&gt;&lt;/span&gt; flux in the northern extra-tropics, and (3) an apparent discrepancy between the different methods for the ocean sink outside the tropics, particularly in the Southern Ocean. This living data update documents changes in the methods and data sets used in this new global carbon budget and the progress in understanding of the global carbon cycle compared with previous publications&lt;span id=\"page3272\"/&gt; of this data set (Friedlingstein et al., 2019; Le Quéré et al., 2018b, a, 2016, 2015b, a, 2014, 2013). The data presented in this work are available at &lt;a href=\"https://doi.org/10.18160/gcp-2020\"&gt;https://doi.org/10.18160/gcp-2020&lt;/a&gt; (Friedlingstein et al., 2020).&lt;/p&gt;","container-title":"Earth System Science Data","DOI":"10.5194/essd-12-3269-2020","ISSN":"1866-3508","issue":"4","language":"English","note":"publisher: Copernicus GmbH","page":"3269-3340","source":"essd.copernicus.org","title":"Global Carbon Budget 2020","volume":"12","author":[{"family":"Friedlingstein","given":"Pierre"},{"family":"O'Sullivan","given":"Michael"},{"family":"Jones","given":"Matthew W."},{"family":"Andrew","given":"Robbie M."},{"family":"Hauck","given":"Judith"},{"family":"Olsen","given":"Are"},{"family":"Peters","given":"Glen P."},{"family":"Peters","given":"Wouter"},{"family":"Pongratz","given":"Julia"},{"family":"Sitch","given":"Stephen"},{"family":"Le Quéré","given":"Corinne"},{"family":"Canadell","given":"Josep G."},{"family":"Ciais","given":"Philippe"},{"family":"Jackson","given":"Robert B."},{"family":"Alin","given":"Simone"},{"family":"Aragão","given":"Luiz E. O. C."},{"family":"Arneth","given":"Almut"},{"family":"Arora","given":"Vivek"},{"family":"Bates","given":"Nicholas R."},{"family":"Becker","given":"Meike"},{"family":"Benoit-Cattin","given":"Alice"},{"family":"Bittig","given":"Henry C."},{"family":"Bopp","given":"Laurent"},{"family":"Bultan","given":"Selma"},{"family":"Chandra","given":"Naveen"},{"family":"Chevallier","given":"Frédéric"},{"family":"Chini","given":"Louise P."},{"family":"Evans","given":"Wiley"},{"family":"Florentie","given":"Liesbeth"},{"family":"Forster","given":"Piers M."},{"family":"Gasser","given":"Thomas"},{"family":"Gehlen","given":"Marion"},{"family":"Gilfillan","given":"Dennis"},{"family":"Gkritzalis","given":"Thanos"},{"family":"Gregor","given":"Luke"},{"family":"Gruber","given":"Nicolas"},{"family":"Harris","given":"Ian"},{"family":"Hartung","given":"Kerstin"},{"family":"Haverd","given":"Vanessa"},{"family":"Houghton","given":"Richard A."},{"family":"Ilyina","given":"Tatiana"},{"family":"Jain","given":"Atul K."},{"family":"Joetzjer","given":"Emilie"},{"family":"Kadono","given":"Koji"},{"family":"Kato","given":"Etsushi"},{"family":"Kitidis","given":"Vassilis"},{"family":"Korsbakken","given":"Jan Ivar"},{"family":"Landschützer","given":"Peter"},{"family":"Lefèvre","given":"Nathalie"},{"family":"Lenton","given":"Andrew"},{"family":"Lienert","given":"Sebastian"},{"family":"Liu","given":"Zhu"},{"family":"Lombardozzi","given":"Danica"},{"family":"Marland","given":"Gregg"},{"family":"Metzl","given":"Nicolas"},{"family":"Munro","given":"David R."},{"family":"Nabel","given":"Julia E. M. S."},{"family":"Nakaoka","given":"Shin-Ichiro"},{"family":"Niwa","given":"Yosuke"},{"family":"O'Brien","given":"Kevin"},{"family":"Ono","given":"Tsuneo"},{"family":"Palmer","given":"Paul I."},{"family":"Pierrot","given":"Denis"},{"family":"Poulter","given":"Benjamin"},{"family":"Resplandy","given":"Laure"},{"family":"Robertson","given":"Eddy"},{"family":"Rödenbeck","given":"Christian"},{"family":"Schwinger","given":"Jörg"},{"family":"Séférian","given":"Roland"},{"family":"Skjelvan","given":"Ingunn"},{"family":"Smith","given":"Adam J. P."},{"family":"Sutton","given":"Adrienne J."},{"family":"Tanhua","given":"Toste"},{"family":"Tans","given":"Pieter P."},{"family":"Tian","given":"Hanqin"},{"family":"Tilbrook","given":"Bronte"},{"family":"Werf","given":"Guido","non-dropping-particle":"van der"},{"family":"Vuichard","given":"Nicolas"},{"family":"Walker","given":"Anthony P."},{"family":"Wanninkhof","given":"Rik"},{"family":"Watson","given":"Andrew J."},{"family":"Willis","given":"David"},{"family":"Wiltshire","given":"Andrew J."},{"family":"Yuan","given":"Wenping"},{"family":"Yue","given":"Xu"},{"family":"Zaehle","given":"Sönke"}],"issued":{"date-parts":[["2020",12,11]]}}}],"schema":"https://github.com/citation-style-language/schema/raw/master/csl-citation.json"}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and because it is relatively easy to modify with human intervention such as land management practices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{"citationID":"Fd86hWl6","properties":{"formattedCitation":"[7]","plainCitation":"[7]","noteIndex":0},"citationItems":[{"id":2056,"uris":["http://zotero.org/users/3110659/items/Q2RHP6H6"],"itemData":{"id":2056,"type":"article-journal","abstract":"The role of soil organic carbon in global carbon cycles is receiving increasing attention both as a potentially large and uncertain source of CO2 emissions in response to predicted global temperature rises, and as a natural sink for carbon able to reduce atmospheric CO2. There is general agreement that the technical potential for sequestration of carbon in soil is significant, and some consensus on the magnitude of that potential. Croplands worldwide could sequester between 0.90 and 1.85 Pg C/yr, i.e. 26–53% of the target of the “4p1000 Initiative: Soils for Food Security and Climate”. The importance of intensively cultivated regions such as North America, Europe, India and intensively cultivated areas in Africa, such as Ethiopia, is highlighted. Soil carbon sequestration and the conservation of existing soil carbon stocks, given its multiple benefits including improved food production, is an important mitigation pathway to achieve the less than 2 °C global target of the Paris Climate Agreement.","container-title":"Scientific Reports","DOI":"10.1038/s41598-017-15794-8","ISSN":"2045-2322","issue":"1","journalAbbreviation":"Sci Rep","language":"en","license":"2017 The Author(s)","note":"number: 1\npublisher: Nature Publishing Group","page":"15554","source":"www.nature.com","title":"Global Sequestration Potential of Increased Organic Carbon in Cropland Soils","volume":"7","author":[{"family":"Zomer","given":"Robert J."},{"family":"Bossio","given":"Deborah A."},{"family":"Sommer","given":"Rolf"},{"family":"Verchot","given":"Louis V."}],"issued":{"date-parts":[["2017",11,14]]}}}],"schema":"https://github.com/citation-style-language/schema/raw/master/csl-citation.json"}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[7]</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it will likely play an important role in mitigating climate change impacts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{"citationID":"5n8onwZD","properties":{"formattedCitation":"[8]","plainCitation":"[8]","noteIndex":0},"citationItems":[{"id":2055,"uris":["http://zotero.org/users/3110659/items/YF8DMHZX"],"itemData":{"id":2055,"type":"article-journal","abstract":"Soil carbon (C) sequestration is one of three main approaches to carbon dioxide removal and storage through management of terrestrial ecosystems. Soil C sequestration relies of the adoption of improved management practices that increase the amount of carbon stored as soil organic matter, primarily in cropland and grazing lands. These C sequestering practices act by increasing the rate of input of plant-derived residues to soils and/or by reducing the rates of turnover of organic C stocks already in the soil. In addition to carbon dioxide removal potential, increases in soil organic matter/soil C content are highly beneficial from the standpoint of soil health and soil fertility. Practices to increase soil C stocks include well-known, proven techniques, or “best management practices” (BMP) for building soil carbon. A second category includes what we refer to as frontier technologies for which significant technological and/or economic barriers exist today, but for which further R&amp;D and/or economic incentives might offer the potential for greater sequestration over the longer term. We reviewed published estimates of global soil carbon sequestration potential, representing the biophysical potential for managed cropland and/or grassland systems to store additional carbon assuming widespread (near complete) adoption of BMPs. The majority of studies suggests that 4–5 GtCO2/y as an upper limit for global biophysical potential with near complete adoption of BMPs. In the longer-term, if frontier technologies are successfully deployed, the global estimate might grow to 8 GtCO2/y. There is a strong scientific basis for managing agricultural soils to act as a significant carbon (C) sink over the next several decades. A two-stage strategy, to first incentivize adoption of well-developed, conventional soil C sequestering practices, while investing in R&amp;D on new frontier technologies that could come on-line in the next 2–3 decades, could maximize benefits. Implementation of such policies will require robust, scientifically-sound measurement, reporting, and verification (MRV) systems to track that policy goals are being met and that claimed increases in soil C stocks are real.","container-title":"Frontiers in Climate","ISSN":"2624-9553","source":"Frontiers","title":"Soil C Sequestration as a Biological Negative Emission Strategy","URL":"https://www.frontiersin.org/article/10.3389/fclim.2019.00008","volume":"1","author":[{"family":"Paustian","given":"Keith"},{"family":"Larson","given":"Eric"},{"family":"Kent","given":"Jeffrey"},{"family":"Marx","given":"Ernie"},{"family":"Swan","given":"Amy"}],"accessed":{"date-parts":[["2022",5,15]]},"issued":{"date-parts":[["2019"]]}}}],"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[8]</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In particular, industries wishing to decarbonize by replacing fossil fuels with biofuels need to complete life-cycle assessments of their new fuel type. This requires a deep understanding of how carbon is lost or gained in soils and how the influence of biofuel feedstocks impacts carbon cycling. For example, decarbonizing industries such as aviation require biofuel feedstocks; however, knowing where they can be grown to sequester carbon rather than release carbon is still a large unknown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{"citationID":"shSvvEcG","properties":{"formattedCitation":"[9]","plainCitation":"[9]","noteIndex":0},"citationItems":[{"id":2670,"uris":["http://zotero.org/users/3110659/items/3QDIZM24"],"itemData":{"id":2670,"type":"article-journal","abstract":"Decarbonizing aviation requires, among other strategies, use of low-carbon liquid fuels, since electrified propulsion of large aircraft is not yet viable. However, commercialization of such ‘sustainable aviation fuels’ is lagging due to uncertainty about their potential. Here, we integrate land-use assessment, hydroclimate and ecosystem modelling and economic optimization in a systems framework to better characterize the biojet-fuel potential of cellulosic feedstocks. Planting 23.2 Mha of marginal agricultural lands in the United States—roughly the land area of Wyoming—with the grass miscanthus satisfies the country’s projected 2040 jet-fuel demand (30 billion gallons yr−1) at an average cost of US$4.1 gallon−1. Centred in the Midwest region, this marginal land base is a mix of croplands (7.2 Mha) and non-croplands (16 Mha), whose conversion into miscanthus delivers productive biomass, regional cooling without soil moisture loss and the lowest system greenhouse gas emissions (at US$50 tCO2e−1 carbon price). It is unsustainable to source the same quantity of miscanthus biomass through marginal land conversions in the Plains region. Sustainability considerations generate different land conversion patterns than expected from a purely economic vantage point. Integrated approaches, such as used here, are imperative to realistically evaluate the sustainability of bio-based alternative feedstocks.","container-title":"Nature Sustainability","DOI":"10.1038/s41893-022-00990-w","ISSN":"2398-9629","issue":"2","journalAbbreviation":"Nat Sustain","language":"en","license":"2022 The Author(s), under exclusive licence to Springer Nature Limited","note":"number: 2\npublisher: Nature Publishing Group","page":"158-168","source":"www.nature.com","title":"Sustainable land use and viability of biojet fuels","volume":"6","author":[{"family":"Uludere Aragon","given":"Nazli Z."},{"family":"Parker","given":"Nathan C."},{"family":"VanLoocke","given":"Andy"},{"family":"Bagley","given":"Justin"},{"family":"Wang","given":"Meng"},{"family":"Georgescu","given":"Matei"}],"issued":{"date-parts":[["2023",2]]}}}],"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[9]</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Decarbonizing aviation is an important step in reaching net-zero GHG and mitigating climate change and biofuels have an important role to play in controlling induced land-use change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{"citationID":"zK7wsTgf","properties":{"formattedCitation":"[10]","plainCitation":"[10]","noteIndex":0},"citationItems":[{"id":3164,"uris":["http://zotero.org/users/3110659/items/RR7AU5HB"],"itemData":{"id":3164,"type":"article-journal","abstract":"Bio-sustainable aviation fuels (bio-SAFs) are an important pillar of the aviation sector decarbonisation strategy in the mid-term. Here we assess the induced Land-Use Change (LUC) implications of producing bio-SAFs in Brazil under different assumptions of forest conservation governance. We evaluate four bio-SAF routes via two main pathways: the Alcohol-to-Jet (ATJ) and the Hydroprocessed Esters and Fatty Acids (HEFA) syntheses. We chose the most promising agriculture-based feedstocks to produce bio-SAFs in all five macro-regions of Brazil, including sugarcane and maize ethanol to jet and palm and macaw HEFA routes. To this end, we calculated future projections of air transport demand in Brazil and used the Brazilian Land Use and Energy Systems integrated assessment model to estimate LUC greenhouse gas (GHG) emissions within five different levels of bio-SAF blends (10% to 50% of total aviation fuel demand) for each bio-SAFs evaluated. Estimated cumulated emissions vary widely, ranging from a carbon sequestration of −286.8 gCO2e.MJ−1 for a 10% blend of maize ATJ under a controlled deforestation scenario to a release of 15.0 gCO2e.MJ−1 for a 40% blend of high productivity macaw oil HEFA considering historical deforestation rates in the country. Results are highly sensitive to deforestation rate parameters, volume of bio-SAFs produced, the type of feedstock used, and methodological assumptions. Negative LUC GHG emissions were found under controlled deforestation assumptions and in low blends of bio-SAFs for maize and sugarcane ATJ routes. Under historical deforestation rates, the LUC GHG emissions are higher. Bio-SAF can be beneficial to reduce GHG emissions if effective land conservation policies are implemented. Therefore, large-scale bio-SAF production from sugar crops in Brazil may play an important role in the decarbonisation of the aviation sector if coupled with successful strategies to control deforestation. Additionally, when imposing bio-SAF demand, other biofuels demand reduces under the model optimal solution due to land restrictions.","container-title":"Environmental Research Letters","DOI":"10.1088/1748-9326/acaee1","ISSN":"1748-9326","issue":"1","journalAbbreviation":"Environ. Res. Lett.","language":"en","note":"publisher: IOP Publishing","page":"014036","source":"Institute of Physics","title":"Sustainable aviation fuels must control induced land use change: an integrated assessment modelling exercise for Brazil","title-short":"Sustainable aviation fuels must control induced land use change","volume":"18","author":[{"family":"Fiorini","given":"Ana Carolina Oliveira"},{"family":"Angelkorte","given":"Gerd"},{"family":"Maia","given":"Pedro Luiz"},{"family":"Bergman-Fonte","given":"Clarissa"},{"family":"Vicente","given":"Clarissa"},{"family":"Morais","given":"Taísa"},{"family":"Carvalho","given":"Lucas"},{"family":"Zanon-Zotin","given":"Marianne"},{"family":"Szklo","given":"Alexandre"},{"family":"Schaeffer","given":"Roberto"},{"family":"Portugal-Pereira","given":"Joana"}],"issued":{"date-parts":[["2023",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However, our understanding of soil carbon dynamics is poorly constrained because of the lack of complete parameterization of soil carbon stocks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{"citationID":"O6rrmwY1","properties":{"formattedCitation":"[1]","plainCitation":"[1]","noteIndex":0},"citationItems":[{"id":2069,"uris":["http://zotero.org/users/3110659/items/J67PCGRA"],"itemData":{"id":2069,"type":"article-journal","abstract":"Soil carbon (C) is a critical component of Earth system models (ESMs), and its diverse representations are a major source of the large spread across models in the terrestrial C sink from the third to fifth assessment reports of the Intergovernmental Panel on Climate Change (IPCC). Improving soil C projections is of a high priority for Earth system modeling in the future IPCC and other assessments. To achieve this goal, we suggest that (1) model structures should reflect real-world processes, (2) parameters should be calibrated to match model outputs with observations, and (3) external forcing variables should accurately prescribe the environmental conditions that soils experience. First, most soil C cycle models simulate C input from litter production and C release through decomposition. The latter process has traditionally been represented by first-order decay functions, regulated primarily by temperature, moisture, litter quality, and soil texture. While this formulation well captures macroscopic soil organic C (SOC) dynamics, better understanding is needed of their underlying mechanisms as related to microbial processes, depth-dependent environmental controls, and other processes that strongly affect soil C dynamics. Second, incomplete use of observations in model parameterization is a major cause of bias in soil C projections from ESMs. Optimal parameter calibration with both pool- and flux-based data sets through data assimilation is among the highest priorities for near-term research to reduce biases among ESMs. Third, external variables are represented inconsistently among ESMs, leading to differences in modeled soil C dynamics. We recommend the implementation of traceability analyses to identify how external variables and model parameterizations influence SOC dynamics in different ESMs. Overall, projections of the terrestrial C sink can be substantially improved when reliable data sets are available to select the most representative model structure, constrain parameters, and prescribe forcing fields.","container-title":"Global Biogeochemical Cycles","DOI":"10.1002/2015GB005239","ISSN":"1944-9224","issue":"1","language":"en","note":"_eprint: https://onlinelibrary.wiley.com/doi/pdf/10.1002/2015GB005239","page":"40-56","source":"Wiley Online Library","title":"Toward more realistic projections of soil carbon dynamics by Earth system models","volume":"30","author":[{"family":"Luo","given":"Yiqi"},{"family":"Ahlström","given":"Anders"},{"family":"Allison","given":"Steven D."},{"family":"Batjes","given":"Niels H."},{"family":"Brovkin","given":"Victor"},{"family":"Carvalhais","given":"Nuno"},{"family":"Chappell","given":"Adrian"},{"family":"Ciais","given":"Philippe"},{"family":"Davidson","given":"Eric A."},{"family":"Finzi","given":"Adien"},{"family":"Georgiou","given":"Katerina"},{"family":"Guenet","given":"Bertrand"},{"family":"Hararuk","given":"Oleksandra"},{"family":"Harden","given":"Jennifer W."},{"family":"He","given":"Yujie"},{"family":"Hopkins","given":"Francesca"},{"family":"Jiang","given":"Lifen"},{"family":"Koven","given":"Charlie"},{"family":"Jackson","given":"Robert B."},{"family":"Jones","given":"Chris D."},{"family":"Lara","given":"Mark J."},{"family":"Liang","given":"Junyi"},{"family":"McGuire","given":"A. David"},{"family":"Parton","given":"William"},{"family":"Peng","given":"Changhui"},{"family":"Randerson","given":"James T."},{"family":"Salazar","given":"Alejandro"},{"family":"Sierra","given":"Carlos A."},{"family":"Smith","given":"Matthew J."},{"family":"Tian","given":"Hanqin"},{"family":"Todd-Brown","given":"Katherine E. O."},{"family":"Torn","given":"Margaret"},{"family":"Groenigen","given":"Kees Jan","non-dropping-particle":"van"},{"family":"Wang","given":"Ying Ping"},{"family":"West","given":"Tristram O."},{"family":"Wei","given":"Yaxing"},{"family":"Wieder","given":"William R."},{"family":"Xia","given":"Jianyang"},{"family":"Xu","given":"Xia"},{"family":"Xu","given":"Xiaofeng"},{"family":"Zhou","given":"Tao"}],"issued":{"date-parts":[["2016"]]}}}],"schema":"https://github.com/citation-style-language/schema/raw/master/csl-citation.json"}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 substantial part of the uncertainty is the lack of spatially and temporally continuous maps of baseline SOC. </w:t>
      </w:r>
    </w:p>
    <w:p w14:paraId="4302E456" w14:textId="77777777" w:rsidR="00FB0376" w:rsidRPr="008E4EFB" w:rsidRDefault="00FB0376"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Based on long-term historical global land use changes, major SOC losses are associated with intensive agricultural practices and degraded grazing lands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{"citationID":"KgXNdLF8","properties":{"formattedCitation":"[11]","plainCitation":"[11]","noteIndex":0},"citationItems":[{"id":2752,"uris":["http://zotero.org/users/3110659/items/7SW8ZM7A"],"itemData":{"id":2752,"type":"article-journal","abstract":"Human appropriation of land for agriculture has greatly altered the terrestrial carbon balance, creating a large but uncertain carbon debt in soils. Estimating the size and spatial distribution of soil organic carbon (SOC) loss due to land use and land cover change has been difficult but is a critical step in understanding whether SOC sequestration can be an effective climate mitigation strategy. In this study, a machine learning-based model was fitted using a global compilation of SOC data and the History Database of the Global Environment (HYDE) land use data in combination with climatic, landform and lithology covariates. Model results compared favorably with a global compilation of paired plot studies. Projection of this model onto a world without agriculture indicated a global carbon debt due to agriculture of 133 Pg C for the top 2 m of soil, with the rate of loss increasing dramatically in the past 200 years. The HYDE classes “grazing” and “cropland” contributed nearly equally to the loss of SOC. There were higher percent SOC losses on cropland but since more than twice as much land is grazed, slightly higher total losses were found from grazing land. Important spatial patterns of SOC loss were found: Hotspots of SOC loss coincided with some major cropping regions as well as semiarid grazing regions, while other major agricultural zones showed small losses and even net gains in SOC. This analysis has demonstrated that there are identifiable regions which can be targeted for SOC restoration efforts.","container-title":"Proceedings of the National Academy of Sciences","DOI":"10.1073/pnas.1706103114","issue":"36","note":"publisher: Proceedings of the National Academy of Sciences","page":"9575-9580","source":"pnas.org (Atypon)","title":"Soil carbon debt of 12,000 years of human land use","volume":"114","author":[{"family":"Sanderman","given":"Jonathan"},{"family":"Hengl","given":"Tomislav"},{"family":"Fiske","given":"Gregory J."}],"issued":{"date-parts":[["2017",9,5]]}}}],"schema":"https://github.com/citation-style-language/schema/raw/master/csl-citation.json"}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and there are greater losses of SOC in boreal forests and SOC-rich soils due to warming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{"citationID":"GwSe6Xpa","properties":{"formattedCitation":"[12]","plainCitation":"[12]","noteIndex":0},"citationItems":[{"id":2673,"uris":["http://zotero.org/users/3110659/items/UMIRQSYA"],"itemData":{"id":2673,"type":"article-journal","abstract":"Soil organic carbon (SOC) changes under future climate warming are difficult to quantify in situ. Here we apply an innovative approach combining space-for-time substitution with meta-analysis to SOC measurements in 113,013 soil profiles across the globe to estimate the effect of future climate warming on steady-state SOC stocks. We find that SOC stock will reduce by 6.0 ± 1.6% (mean±95% confidence interval), 4.8 ± 2.3% and 1.3 ± 4.0% at 0–0.3, 0.3–1 and 1–2 m soil depths, respectively, under 1 °C air warming, with additional 4.2%, 2.2% and 1.4% losses per every additional 1 °C warming, respectively. The largest proportional SOC losses occur in boreal forests. Existing SOC level is the predominant determinant of the spatial variability of SOC changes with higher percentage losses in SOC-rich soils. Our work demonstrates that warming induces more proportional SOC losses in topsoil than in subsoil, particularly from high-latitudinal SOC-rich systems.","container-title":"Nature Communications","DOI":"10.1038/s41467-022-33278-w","ISSN":"2041-1723","issue":"1","journalAbbreviation":"Nat Commun","language":"en","license":"2022 The Author(s)","note":"number: 1\npublisher: Nature Publishing Group","page":"5514","source":"www.nature.com","title":"Global soil profiles indicate depth-dependent soil carbon losses under a warmer climate","volume":"13","author":[{"family":"Wang","given":"Mingming"},{"family":"Guo","given":"Xiaowei"},{"family":"Zhang","given":"Shuai"},{"family":"Xiao","given":"Liujun"},{"family":"Mishra","given":"Umakant"},{"family":"Yang","given":"Yuanhe"},{"family":"Zhu","given":"Biao"},{"family":"Wang","given":"Guocheng"},{"family":"Mao","given":"Xiali"},{"family":"Qian","given":"Tian"},{"family":"Jiang","given":"Tong"},{"family":"Shi","given":"Zhou"},{"family":"Luo","given":"Zhongkui"}],"issued":{"date-parts":[["2022",9,20]]}}}],"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However, in the US there are numerous conflicting maps of SOC and the differences in estimated SOC from these various studies and methodologies are greatest in lands that have a high SOC content, meaning the regions that are the greatest contributors to carbon sequestration are also the least well understood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{"citationID":"UHQhiF9d","properties":{"formattedCitation":"[13]","plainCitation":"[13]","noteIndex":0},"citationItems":[{"id":2671,"uris":["http://zotero.org/users/3110659/items/9M9H83WS"],"itemData":{"id":2671,"type":"article-journal","abstract":"Soil organic carbon (SOC) concentration is the fundamental indicator of soil health, underpinning food production and climate change mitigation. SOC storage is highly sensitive to several dynamic environmental drivers, with approximately one third of soils degraded and losing carbon worldwide. Digital soil mapping illuminates where hotspots of SOC storage occur and where losses to the atmosphere are most likely. Yet, attempts to map SOC often disagree. Here we compare national scale SOC concentration map products to reveal agreement of data in mineral soils, with progressively poorer agreement in organo-mineral and organic soils. Divergences in map predictions from each other and survey data widen in the high SOC content land types we stratified. Given the disparities are highest in carbon rich soils, efforts are required to reduce these uncertainties to increase confidence in mapping SOC storage and predicting where change may be important at national to global scales. Our map comparison results could be used to identify SOC risk where concentrations are high and should be conserved, and where uncertainty is high and further monitoring should be targeted. Reducing inter-map uncertainty will rely on addressing statistical limitations and including covariates that capture convergence of physical factors that produce high SOC contents.","container-title":"Scientific Reports","DOI":"10.1038/s41598-022-05476-5","ISSN":"2045-2322","issue":"1","journalAbbreviation":"Sci Rep","language":"en","license":"2022 The Author(s)","note":"number: 1\npublisher: Nature Publishing Group","page":"1379","source":"www.nature.com","title":"Multiple soil map comparison highlights challenges for predicting topsoil organic carbon concentration at national scale","volume":"12","author":[{"family":"Feeney","given":"C. J."},{"family":"Cosby","given":"B. J."},{"family":"Robinson","given":"D. A."},{"family":"Thomas","given":"A."},{"family":"Emmett","given":"B. A."},{"family":"Henrys","given":"P."}],"issued":{"date-parts":[["2022",1,26]]}}}],"schema":"https://github.com/citation-style-language/schema/raw/master/csl-citation.json"}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One issue is that the regional environment is extremely important in determining SOC formation, but in some places, the local climate has a much greater influence and this nonlinear relationship is not consistent across different ecoregions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{"citationID":"KrAV8keu","properties":{"formattedCitation":"[14]","plainCitation":"[14]","noteIndex":0},"citationItems":[{"id":2675,"uris":["http://zotero.org/users/3110659/items/E8ZZP42C"],"itemData":{"id":2675,"type":"article-journal","abstract":"Soil organic carbon (C) is an essential component of the global C cycle. Processes that control its composition and dynamics over large scales are not well understood. Thus, our understanding of C cycling is incomplete, which makes it difficult to predict C gains and losses due to changes in climate, land use and management. Here we show that controls on the composition of organic C, the particulate, humus and resistant fractions, and the potential vulnerability of C to decomposition across Australia are distinct, scale-dependent and variable. We used machine-learning with 5,721 topsoil measurements to show that, continentally, the climate, soil properties (for example, total nitrogen and pH) and elevation are dominant controls. However, we found that such general assessments disregard underlying region-specific controls that affect the distribution of the organic C fractions and vulnerability. This can lead to misinterpretations that prejudice our understanding of soil C processes and dynamics. Regionally, climate is mediated through interactions with soil properties, mineralogy and topography. In some regions, climate is uninfluential. These results highlight the need for regional assessments of soil C dynamics and more local parameterization of biogeochemical and Earth system models. Our analysis propounds the development of region-specific strategies for effective C management and climate change mitigation.","container-title":"Nature Geoscience","DOI":"10.1038/s41561-019-0373-z","ISSN":"1752-0908","issue":"7","journalAbbreviation":"Nat. Geosci.","language":"en","license":"2019 The Author(s), under exclusive licence to Springer Nature Limited","note":"number: 7\npublisher: Nature Publishing Group","page":"547-552","source":"www.nature.com","title":"Continental-scale soil carbon composition and vulnerability modulated by regional environmental controls","volume":"12","author":[{"family":"Viscarra Rossel","given":"R. A."},{"family":"Lee","given":"J."},{"family":"Behrens","given":"T."},{"family":"Luo","given":"Z."},{"family":"Baldock","given":"J."},{"family":"Richards","given":"A."}],"issued":{"date-parts":[["2019",7]]}}}],"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meaning that the primary driver of carbon sequestration – land cover change, carbon dioxide levels, nitrogen </w:t>
      </w:r>
      <w:r w:rsidRPr="008E4EFB">
        <w:rPr>
          <w:rFonts w:ascii="Times New Roman" w:hAnsi="Times New Roman" w:cs="Times New Roman"/>
          <w:sz w:val="24"/>
          <w:szCs w:val="24"/>
        </w:rPr>
        <w:lastRenderedPageBreak/>
        <w:t xml:space="preserve">deposition - can be different in different areas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{"citationID":"F4WUwv17","properties":{"formattedCitation":"[15]","plainCitation":"[15]","noteIndex":0},"citationItems":[{"id":3057,"uris":["http://zotero.org/users/3110659/items/VUW8GS8H"],"itemData":{"id":3057,"type":"article-journal","abstract":"Terrestrial ecosystems play a vital role in regulating the accumulation of carbon (C) in the atmosphere. Understanding the factors controlling land C uptake is critical for reducing uncertainties in projections of future climate. The relative importance of changing climate, rising atmospheric CO2, and other factors, however, remains unclear despite decades of research. Here, we use an ensemble of land models to show that models disagree on the primary driver of cumulative C uptake for 85% of vegetated land area. Disagreement is largest in model sensitivity to rising atmospheric CO2 which shows almost twice the variability in cumulative land uptake since 1901 (1 s.d. of 212.8 PgC vs. 138.5 PgC, respectively). We find that variability in CO2 and temperature sensitivity is attributable, in part, to their compensatory effects on C uptake, whereby comparable estimates of C uptake can arise by invoking different sensitivities to key environmental conditions. Conversely, divergent estimates of C uptake can occur despite being based on the same environmental sensitivities. Together, these findings imply an important limitation to the predictability of C cycling and climate under unprecedented environmental conditions. We suggest that the carbon modeling community prioritize a probabilistic multi-model approach to generate more robust C cycle projections.","container-title":"Scientific Reports","DOI":"10.1038/s41598-017-03818-2","ISSN":"2045-2322","issue":"1","journalAbbreviation":"Sci Rep","language":"en","license":"2017 The Author(s)","note":"number: 1\npublisher: Nature Publishing Group","page":"4765","source":"www.nature.com","title":"Uncertainty in the response of terrestrial carbon sink to environmental drivers undermines carbon-climate feedback predictions","volume":"7","author":[{"family":"Huntzinger","given":"D. N."},{"family":"Michalak","given":"A. M."},{"family":"Schwalm","given":"C."},{"family":"Ciais","given":"P."},{"family":"King","given":"A. W."},{"family":"Fang","given":"Y."},{"family":"Schaefer","given":"K."},{"family":"Wei","given":"Y."},{"family":"Cook","given":"R. B."},{"family":"Fisher","given":"J. B."},{"family":"Hayes","given":"D."},{"family":"Huang","given":"M."},{"family":"Ito","given":"A."},{"family":"Jain","given":"A. K."},{"family":"Lei","given":"H."},{"family":"Lu","given":"C."},{"family":"Maignan","given":"F."},{"family":"Mao","given":"J."},{"family":"Parazoo","given":"N."},{"family":"Peng","given":"S."},{"family":"Poulter","given":"B."},{"family":"Ricciuto","given":"D."},{"family":"Shi","given":"X."},{"family":"Tian","given":"H."},{"family":"Wang","given":"W."},{"family":"Zeng","given":"N."},{"family":"Zhao","given":"F."}],"issued":{"date-parts":[["2017",7,6]]}}}],"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[15]</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This is particularly important to get right because, otherwise, the expansion of biofuel crops could end up decreasing carbon sink capacity in newly planted lands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{"citationID":"YN2JcLbY","properties":{"formattedCitation":"[16]","plainCitation":"[16]","noteIndex":0},"citationItems":[{"id":3052,"uris":["http://zotero.org/users/3110659/items/KTNPGFR2"],"itemData":{"id":3052,"type":"article-journal","container-title":"Earth's Future","DOI":"10.1029/2020EF001967","issue":"5","title":"Carbon Cycle Response to Temperature Overshoot Beyond 2°C: An Analysis of CMIP6 Models - Melnikova - 2021 - Earth's Future - Wiley Online Library","URL":"https://doi.org/10.1029/2020EF001967","volume":"9","author":[{"family":"Melnikova","given":"I."},{"family":"Boucher","given":"O."},{"family":"Cadule","given":"P."},{"family":"Ciais","given":"Philippe"},{"family":"Gasser","given":"Thomas"},{"family":"Quilcaille","given":"Y."},{"family":"Shiogama","given":"H."},{"family":"Tachiiri","given":"K."}],"accessed":{"date-parts":[["2024",2,1]]},"issued":{"date-parts":[["2021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w:t>
      </w:r>
    </w:p>
    <w:p w14:paraId="60FEA0D1" w14:textId="77777777" w:rsidR="00FB0376" w:rsidRPr="008E4EFB" w:rsidRDefault="00FB0376"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Our work therefore aims to improve SOC baseline estimates in the US and investigate long-term trends in land use and climate change with the overall goal of improving our understanding of carbon cycling in complex environments. Although gridded estimates of SOC in the US do exist, the lack of explicit uncertainty quantifications and the large variation of SOC magnitude and distribution makes them challenging to rely on, especially for fine-resolution applications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{"citationID":"hFl8bHM6","properties":{"formattedCitation":"[17]","plainCitation":"[17]","noteIndex":0},"citationItems":[{"id":2841,"uris":["http://zotero.org/users/3110659/items/W9TJ8FQT"],"itemData":{"id":2841,"type":"article-journal","abstract":"Globally, soil is the largest terrestrial carbon reservoir. Robust quantification of soil organic carbon (SOC) stocks in existing global observation-based estimates avails accurate predictions in carbon climate feedbacks and future climate trends. In this study, we investigated magnitude and distribution of global and regional SOC estimates (i.e., density and stocks), based on five widely used global gridded SOC datasets (HWSD, WISE30sec, GSDE, SoilGrids250m, and GSOCmap), a regional permafrost dataset from Mishra et al. (UM2021), and a global-scale soil profile database (the World Soil Information Service soil profile database, WoSIS) reporting measurements of a series physical and chemical edaphic attributes. Our analyses show that the magnitude and distribution of SOC vary widely among datasets, with certain datasets showing region-specific robustness. At the global scale, SOC stocks at the top 30 and 100 cm are estimated to be 828 (range: 577–1171) and 1873 (range: 1086–2678) Pg C, respectively. The estimates from GSDE, GSOCmap, and WISE30sec are comparable, and those of SoilGrids250m and HWSD are at the upper and lower ends. The spatial SOC distribution varies greatly among datasets, especially in the northern circumpolar and Tibetan Plateau permafrost regions. Regionally, UM2021 and WISE30sec perform well in the northern circumpolar permafrost regions, and GSDE performs well in China. SOC estimated by different datasets also show large variabilities across different soil layers and biomes. The discrepancies are generally smaller in 0–30 cm than in 0–100 cm soils. The datasets demonstrate relatively higher agreement in grasslands, croplands, and shrublands/savannas than other biomes (e.g., wetlands). The users should be mindful of the gaps by region and by biome while choosing the most appropriate SOC dataset for specific uses. Large uncertainties in existing global gridded SOC estimates are generally derived from soil sampling density, diverse sources and mapping methods for soil datasets. We call for future efforts for standardizing soil sampling efforts, cross-dataset comparison, proper validation, and overall global collaboration to improve SOC estimates.","container-title":"Pedosphere","DOI":"10.1016/j.pedsph.2023.06.005","ISSN":"1002-0160","journalAbbreviation":"Pedosphere","source":"ScienceDirect","title":"Global and regional soil organic carbon estimates: Magnitude and uncertainties","title-short":"Global and regional soil organic carbon estimates","URL":"https://www.sciencedirect.com/science/article/pii/S100201602300067X","author":[{"family":"Lin","given":"Ziqi"},{"family":"Dai","given":"Yongjiu"},{"family":"Mishra","given":"Umakant"},{"family":"Wang","given":"Guocheng"},{"family":"Shangguan","given":"Wei"},{"family":"Zhang","given":"Wen"},{"family":"Qin","given":"Zhangcai"}],"accessed":{"date-parts":[["2023",9,19]]},"issued":{"date-parts":[["2023",6,2]]}}}],"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[17]</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We use machine learning to overcome these challenges, and in particular, a comparison of machine learning techniques from </w:t>
      </w:r>
      <w:proofErr w:type="gramStart"/>
      <w:r w:rsidRPr="008E4EFB">
        <w:rPr>
          <w:rFonts w:ascii="Times New Roman" w:hAnsi="Times New Roman" w:cs="Times New Roman"/>
          <w:sz w:val="24"/>
          <w:szCs w:val="24"/>
        </w:rPr>
        <w:t>the literature</w:t>
      </w:r>
      <w:proofErr w:type="gramEnd"/>
      <w:r w:rsidRPr="008E4EFB">
        <w:rPr>
          <w:rFonts w:ascii="Times New Roman" w:hAnsi="Times New Roman" w:cs="Times New Roman"/>
          <w:sz w:val="24"/>
          <w:szCs w:val="24"/>
        </w:rPr>
        <w:t xml:space="preserve">, rather than selecting a single technique that has been used in past approaches. We also break down SOC drivers by region and climate conditions to emphasize the spatial heterogeneity of SOC and the influence of historical conditions. </w:t>
      </w:r>
    </w:p>
    <w:p w14:paraId="236C4925" w14:textId="77777777" w:rsidR="00FB0376" w:rsidRPr="008E4EFB" w:rsidRDefault="00FB0376"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The Soil Survey Geographic Database (SSURGO) and the Digital General Soil Map of the US (STATSGO2) database provide soil property data for the majority of the USA. However, these measurements are not spatially or temporally continuous. The US Geological Survey (USGS) used SSURGO and STATSGO2 data to estimate SOC storage for a single year in 2009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{"citationID":"bckCf0CQ","properties":{"formattedCitation":"[18]","plainCitation":"[18]","noteIndex":0},"citationItems":[{"id":2068,"uris":["http://zotero.org/users/3110659/items/X2IZT2Z2"],"itemData":{"id":2068,"type":"report","genre":"Open-File Report","language":"en","note":"collection-title: Open-File Report","number":"1283","page":"23","publisher":"US Geological Survey, US Department of the Interior","source":"DOI.org (Crossref)","title":"Rapid Assessment of U.S. Forest and Soil Organic Carbon Storage and Forest Biomass Carbon Sequestration Capacity","author":[{"family":"Sundquist","given":"Eric T."},{"family":"Ackerman","given":"Katherine V."},{"family":"Bliss","given":"Norman B."},{"family":"Kellndorfer","given":"Josef M."},{"family":"Reeves","given":"Matt C."},{"family":"Rollins","given":"Matthew G."}],"issued":{"date-parts":[["2009"]]}}}],"schema":"https://github.com/citation-style-language/schema/raw/master/csl-citation.json"}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[18]</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While the USGS map covers the conterminous USA (CONUS), uncertainties are hard to estimate due to spatial extrapolation for regions with incomplete measurement coverage. Spatially continuous SOC estimates for the US from 1991-2011 are also available from NASA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{"citationID":"zJoUqhW7","properties":{"formattedCitation":"[19,20]","plainCitation":"[19,20]","noteIndex":0},"citationItems":[{"id":2067,"uris":["http://zotero.org/users/3110659/items/A3Y8IAX3"],"itemData":{"id":2067,"type":"article-journal","abstract":"ORNL DAAC: This dataset provides two sets of gridded estimates of estimated soil organic carbon (SOC) and associated uncertainties for 0-30 cm topsoil layer in kg SOC/m2 at 250-m resolution across Mexico and the conterminous USA (CONUS). The first set of gridded SOC estimates, for the period 1991-2010, were derived using multi-source SOC field data and multiple environmental variables representative of the soil forming environment coupled with a machine learning approach (i.e., simulated annealing) and regression tree ensemble modeling for optimized SOC prediction. Predictions of gridded SOC and uncertainty based on multiple bulk density (BD) pedotransfer functions (PFTs) are also included. The second set of gridded SOC estimates, for the period 2009-2011, were derived from two fully independent validation field datasets from across both countries. Note that the same environmental variables and modeling approach used for the first set of estimates were applied to the second set to assess the models' sensitivity to multiple SOC data sources. The SOC field data for the first set of estimates are provided in this dataset and the other data sources, including the two independent validation field datasets, are referenced.","container-title":"ORNL DAAC","DOI":"10.3334/ORNLDAAC/1737","language":"en-US","source":"daac.ornl.gov","title":"Soil Organic Carbon Estimates for 30-cm Depth, Mexico and Conterminous USA, 1991-2011","URL":"https://daac.ornl.gov/cgi-bin/dsviewer.pl?ds_id=1737","author":[{"family":"Guevara","given":"M."},{"family":"Arroyo-Cruz","given":"C. E."},{"family":"Brunsell","given":"N."},{"family":"Cruz-Gaistardo","given":"C. O."},{"family":"Domke","given":"G. M."},{"family":"Equihua","given":"J."},{"family":"Etchevers","given":"J."},{"family":"Hayes","given":"D. J."},{"family":"Hengl","given":"T."},{"family":"Ibelles","given":"A."},{"family":"Johnson","given":"K."},{"family":"De Jong","given":"B."},{"family":"Libohova","given":"Z."},{"family":"Llamas","given":"R."},{"family":"Nave","given":"L."},{"family":"Ornelas","given":"J. L."},{"family":"Paz","given":"F."},{"family":"Ressl","given":"R."},{"family":"Schwartz","given":"A."},{"family":"Wills","given":"S."},{"family":"Vargas","given":"R."}],"accessed":{"date-parts":[["2022",5,14]]},"issued":{"date-parts":[["2020",5,14]]}}},{"id":2665,"uris":["http://zotero.org/users/3110659/items/B27T86P3"],"itemData":{"id":2665,"type":"article-journal","abstract":"Soil organic carbon (SOC) information is fundamental for improving global carbon cycle modeling efforts, but discrepancies exist from country-to-global scales. We predicted the spatial distribution of SOC stocks (topsoil; 0–30 cm) and quantified modeling uncertainty across Mexico and the conterminous United States (CONUS). We used a multisource SOC dataset (&gt;10 000 pedons, between 1991 and 2010) coupled with a simulated annealing regression framework that accounts for variable selection. Our model explained 50% of SOC spatial variability (across 250-m grids). We analyzed model variance, and the residual variance of six conventional pedotransfer functions for estimating bulk density to calculate SOC stocks. Two independent datasets confirmed that the SOC stock for both countries represents between 46 and 47 Pg with a total modeling variance of ±12 Pg. We report a residual variance of 10.4 ±5.1 Pg of SOC stocks calculated from six pedotransfer functions for soil bulk density. When reducing training data to define decades with relatively higher density of observations (1991–2000 and 2001–2010, respectively), model variance for predicted SOC stocks ranged between 41 and 55 Pg. We found nearly 42% of SOC across Mexico in forests and 24% in croplands, whereas 31% was found in forests and 28% in croplands across CONUS. Grasslands and shrublands stored 29 and 35% of SOC across Mexico and CONUS, respectively. We predicted SOC stocks &gt;30% below recent global estimates that do not account for uncertainty and are based on legacy data. Our results provide insights for interpretation of estimates based on SOC legacy data and benchmarks for improving regional-to-global monitoring efforts.","container-title":"Global Biogeochemical Cycles","DOI":"10.1029/2019GB006219","ISSN":"1944-9224","issue":"3","language":"en","license":"©2020. American Geophysical Union. All Rights Reserved.","note":"_eprint: https://onlinelibrary.wiley.com/doi/pdf/10.1029/2019GB006219","page":"e2019GB006219","source":"Wiley Online Library","title":"Soil Organic Carbon Across Mexico and the Conterminous United States (1991–2010)","volume":"34","author":[{"family":"Guevara","given":"Mario"},{"family":"Arroyo","given":"Carlos"},{"family":"Brunsell","given":"Nathaniel"},{"family":"Cruz","given":"Carlos O."},{"family":"Domke","given":"Grant"},{"family":"Equihua","given":"Julian"},{"family":"Etchevers","given":"Jorge"},{"family":"Hayes","given":"Daniel"},{"family":"Hengl","given":"Tomislav"},{"family":"Ibelles","given":"Alejandro"},{"family":"Johnson","given":"Kris"},{"family":"Jong","given":"Ben","non-dropping-particle":"de"},{"family":"Libohova","given":"Zamir"},{"family":"Llamas","given":"Ricardo"},{"family":"Nave","given":"Lucas"},{"family":"Ornelas","given":"Jose L."},{"family":"Paz","given":"Fernando"},{"family":"Ressl","given":"Rainer"},{"family":"Schwartz","given":"Anita"},{"family":"Victoria","given":"Arturo"},{"family":"Wills","given":"Skye"},{"family":"Vargas","given":"Rodrigo"}],"issued":{"date-parts":[["2020"]]}}}],"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[19,20]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These gridded estimates were derived from field data and environmental variables using a machine learning approach: a random forest regression within a simulated annealing framework. However, this work does not extend to the present and the SOC estimates are mapped at a fairly coarse resolution (250 m). </w:t>
      </w:r>
    </w:p>
    <w:p w14:paraId="0C3ED468" w14:textId="77777777" w:rsidR="00FB0376" w:rsidRPr="008E4EFB" w:rsidRDefault="00FB0376"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Other efforts focused on mapping SOC have incorporated remote sensing techniques and machine learning to increase monitoring capacity and resolution and enable better representation of SOC fluxes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{"citationID":"H5kfX6ft","properties":{"formattedCitation":"[21]","plainCitation":"[21]","noteIndex":0},"citationItems":[{"id":2050,"uris":["http://zotero.org/users/3110659/items/3MWVXB6K"],"itemData":{"id":2050,"type":"article-journal","abstract":"Towards the need for sustainable development, remote sensing (RS) techniques in the Visible-Near Infrared–Shortwave Infrared (VNIR–SWIR, 400–2500 nm) region could assist in a more direct, cost-effective and rapid manner to estimate important indicators for soil monitoring purposes. Soil reflectance spectroscopy has been applied in various domains apart from laboratory conditions, e.g., sensors mounted on satellites, aircrafts and Unmanned Aerial Systems. The aim of this review is to illustrate the research made for soil organic carbon estimation, with the use of RS techniques, reporting the methodology and results of each study. It also aims to provide a comprehensive introduction in soil spectroscopy for those who are less conversant with the subject. In total, 28 journal articles were selected and further analysed. It was observed that prediction accuracy reduces from Unmanned Aerial Systems (UASs) to satellite platforms, though advances in machine learning techniques could further assist in the generation of better calibration models. There are some challenges concerning atmospheric, radiometric and geometric corrections, vegetation cover, soil moisture and roughness that still need to be addressed. The advantages and disadvantages of each approach are highlighted and future considerations are also discussed at the end.","container-title":"Remote Sensing","DOI":"10.3390/rs11060676","ISSN":"2072-4292","issue":"6","language":"en","license":"http://creativecommons.org/licenses/by/3.0/","note":"number: 6\npublisher: Multidisciplinary Digital Publishing Institute","page":"676","source":"www.mdpi.com","title":"Remote Sensing Techniques for Soil Organic Carbon Estimation: A Review","title-short":"Remote Sensing Techniques for Soil Organic Carbon Estimation","volume":"11","author":[{"family":"Angelopoulou","given":"Theodora"},{"family":"Tziolas","given":"Nikolaos"},{"family":"Balafoutis","given":"Athanasios"},{"family":"Zalidis","given":"George"},{"family":"Bochtis","given":"Dionysis"}],"issued":{"date-parts":[["2019",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[21]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Venter et al. used a machine learning workflow – a random forest algorithm – with imagery from NASA/USGS’s Landsat 5, 7, and 8 satellites to map SOC stocks in South Africa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{"citationID":"8piAI0w4","properties":{"formattedCitation":"[3]","plainCitation":"[3]","noteIndex":0},"citationItems":[{"id":2061,"uris":["http://zotero.org/users/3110659/items/HHRLHXF4"],"itemData":{"id":2061,"type":"article-journal","abstract":"Estimation and monitoring of soil organic carbon (SOC) stocks is important for maintaining soil productivity and meeting climate change mitigation targets. Current global SOC maps do not provide enough detail for landscape-scale decision making, and do not allow for tracking carbon sequestration or loss over time. Using an optical satellite-driven machine learning workflow, we mapped SOC stocks (topsoil; 0 to 30 cm) under natural vegetation (86% of land area) over South Africa at 30 m spatial resolution between 1984 and 2019. We estimate a total topsoil SOC stock of 5.6 Pg C with a median SOC density of 6 kg C m−2 (IQR: interquartile range 2.9 kg C m−2). Over 35 years, predicted SOC underwent a net increase of 0.3% (relative to long-term mean) with the greatest net increases (1.7%) and decreases (−0.6%) occurring in the Grassland and Nama Karoo biomes, respectively. At the landscape scale, SOC changes of up to 25% were evident in some locations, as evidenced from fence-line contrasts, and were likely due to local management effects (e.g. woody encroachment associated with increased SOC and overgrazing associated with decreased SOC). Our SOC mapping approach exhibited lower uncertainty (R2 = 0.64; RMSE = 2.5 kg C m−2) and less bias compared to previous low-resolution (250–1000 m) national SOC mapping efforts (average R2 = 0.24; RMSE = 3.7 kg C m−2). Our trend map remains an estimate, pending repeated measures of soil samples in the same location (time-series); a global priority for tracking SOC changes. While high resolution SOC maps can inform land management decisions aimed at climate mitigation (natural climate solutions), potential increases in SOC are likely limited by local climate and soils. It is also important that climate mitigation efforts such as planting trees balance trade-offs between carbon, biodiversity and overall ecosystem function.","container-title":"Science of The Total Environment","DOI":"10.1016/j.scitotenv.2021.145384","ISSN":"0048-9697","journalAbbreviation":"Science of The Total Environment","language":"en","page":"145384","source":"ScienceDirect","title":"Mapping soil organic carbon stocks and trends with satellite-driven high resolution maps over South Africa","volume":"771","author":[{"family":"Venter","given":"Zander S."},{"family":"Hawkins","given":"Heidi-Jayne"},{"family":"Cramer","given":"Michael D."},{"family":"Mills","given":"Anthony J."}],"issued":{"date-parts":[["2021",6,1]]}}}],"schema":"https://github.com/citation-style-language/schema/raw/master/csl-citation.json"}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Work in the Mediterranean region also relied on Landsat but instead used stochastic gradient tree boosting to predict SOC distribution across the landscape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{"citationID":"9WSAaoNQ","properties":{"formattedCitation":"[22]","plainCitation":"[22]","noteIndex":0},"citationItems":[{"id":2051,"uris":["http://zotero.org/users/3110659/items/KLQYUI4G"],"itemData":{"id":2051,"type":"article-journal","abstract":"Efficient modelling methods to assess soil organic carbon (SOC) stocks have a pivotal importance as inputs for global carbon cycle studies and decision-making processes. However, laboratory analyses of SOC field samples are costly and time consuming. Global-scale estimates of SOC were recently made according to categorical variables, including land use and soil texture. Remote sensing (RS) data can contribute to the better modelling of the spatial distribution of SOC stock at a regional scale. In the present study, we used Stochastic Gradient Treeboost (SGT) to estimate the topsoil (0–30cm) SOC stock of a Mediterranean semiarid area (Sicily, Italy, 25,286km2). In particular, our study examined agricultural lands, which represent approximately 64% of the entire region. An extensive soil dataset (2202 samples, 1 profile/7.31km2 on average) was acquired from the soil database of Sicily. The georeferenced field observations were intersected with remotely sensed environmental data and other spatial data, including climatic data from WORLDCLIM, land cover from CORINE, soil texture, topography and derived indices. Finally, the SGT was compared to published global estimates (GSOC) and data from the International Soil Reference and Information Centre (ISRIC) Soil Grids by comparing the pseudo-regressions of the SGT, GSOC and ISRIC with soil observations. The mean SOC stock across the entire region that was estimated by GSOC and ISRIC was 3.9% lower and 46.2% higher compared to the SGT. The SGT efficiently predicted SOC stocks that were &lt;70tha−1 (corresponding to the 90th percentile of the observed values). On average, the coefficient of variation of the SGT model was 3.6% when computed on the whole dataset and remained lower than 23% when computed on a distribution basis. The SGT mean absolute error was 14.84tha−1, 18.4% and 36.3% lower than GSOC and ISRIC, respectively. The mean annual rainfall, soil texture, land use, mean annual temperature and Landsat 7 ETM+ panchromatic Band 8 were the most important predictors of SOC stock. Finally, SOC stocks were estimated for each land cover class. SGT predicted SOC stock better than GSOC and ISRIC for most data. This resulted in a percentage of data in the prediction confidence interval±50% compared to the observed values of 71.4%, 65.8%, and 50.7% for SGT, GSOC, and SGT, respectively. This consisted of a higher R2 and a slope (β) that was closer to 1 for the pseudo-regression constructed with SGT compared to GSOC and ISRIC. In conclusion, the results of the present study showed that the integration of RS with climatic and soil texture spatial data could strongly improve SOC prediction in a semi-arid Mediterranean region. In addition, the panchromatic band of Landsat 7 ETM+ was more predictive compared to the conventionally used NDVI. This information is crucial to guiding decision-making processes, especially at a regional scale and/or in semi-arid Mediterranean areas. The model performance of the SGT could be further improved by adopting predictors with greater spatial resolutions. The results of the present experiment yield valuable information, especially for assessing climate change or land use change scenarios for SOC stocks and their spatial distribution.","container-title":"Geoderma","DOI":"10.1016/j.geoderma.2016.10.019","ISSN":"0016-7061","journalAbbreviation":"Geoderma","language":"en","page":"35-45","source":"ScienceDirect","title":"Modelling the topsoil carbon stock of agricultural lands with the Stochastic Gradient Treeboost in a semi-arid Mediterranean region","volume":"286","author":[{"family":"Schillaci","given":"Calogero"},{"family":"Lombardo","given":"Luigi"},{"family":"Saia","given":"Sergio"},{"family":"Fantappiè","given":"Maria"},{"family":"Märker","given":"Michael"},{"family":"Acutis","given":"Marco"}],"issued":{"date-parts":[["2017",1,15]]}}}],"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Tian et al. developed a different approach, using a random forest model to map soil erosion, an import influence on soil carbon pools, from environmental variables and the normalized difference </w:t>
      </w:r>
      <w:r w:rsidRPr="008E4EFB">
        <w:rPr>
          <w:rFonts w:ascii="Times New Roman" w:hAnsi="Times New Roman" w:cs="Times New Roman"/>
          <w:sz w:val="24"/>
          <w:szCs w:val="24"/>
        </w:rPr>
        <w:lastRenderedPageBreak/>
        <w:t xml:space="preserve">vegetation index (NDVI) from the Moderate Resolution Imaging Spectroradiometer (MODIS), onboard NASA’s Terra satellite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{"citationID":"tXnLGlI0","properties":{"formattedCitation":"[23]","plainCitation":"[23]","noteIndex":0},"citationItems":[{"id":2062,"uris":["http://zotero.org/users/3110659/items/PWE9UIWA"],"itemData":{"id":2062,"type":"article-journal","abstract":"Soil erodibility (K factor) mapping has been accomplished mainly by soil map-linked or geo-statistical interpolation. However, the resulting maps usually have coarse spatial resolution at a regional scale. The objectives of this study were a) to map the K factors using a set of environmental variables and random forest (RF) model, and b) to identify the important environmental variables in the predictive mapping on a regional scale. We collected 101 surface soil samples across southeast China in the summer of 2019. For each sample, we measured the particle size distribution and organic matter content, and calculated the K factors using the nomograph equation. The hyperparameters of RF were optimized through 5-fold cross validation (mtry = 2, ntree = 500, p = 63), and a digital map with 250 m resolution was generated for the K factor. The lower and upper limits of a 90% prediction interval were also produced for uncertainty analysis. It was found that the important environmental variables for the K factor prediction were relief, climate, land surface temperature and vegetation indexes. Since the existing K factor map has an average polygonal area of 6.8 km2, our approach dramatically improves the spatial resolution of the K factor to 0.0625 km2. The new method captures more distinct differences in spatial details, and the spatial distribution of the K factor derived from RF prediction followed a similar pattern with kriging interpolation. This suggests the presented approach in this study is effective for mapping the K factor with limited sampling data.","container-title":"International Soil and Water Conservation Research","DOI":"10.1016/j.iswcr.2021.06.005","ISSN":"2095-6339","issue":"1","journalAbbreviation":"International Soil and Water Conservation Research","language":"en","page":"62-74","source":"ScienceDirect","title":"Mapping soil erodibility in southeast China at 250 m resolution: Using environmental variables and random forest regression with limited samples","title-short":"Mapping soil erodibility in southeast China at 250 m resolution","volume":"10","author":[{"family":"Tian","given":"Zhiyuan"},{"family":"Liu","given":"Feng"},{"family":"Liang","given":"Yin"},{"family":"Zhu","given":"Xuchao"}],"issued":{"date-parts":[["2022",3,1]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[23]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 similar study with Landsat relied on regression kriging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{"citationID":"oGGo8GX4","properties":{"formattedCitation":"[24]","plainCitation":"[24]","noteIndex":0},"citationItems":[{"id":2052,"uris":["http://zotero.org/users/3110659/items/TEGJZ4YY"],"itemData":{"id":2052,"type":"article-journal","abstract":"The present study has illustrated the estimation of the soil organic carbon (SOC) distribution from point survey data (prepared after laboratory test) by a hybrid interpolation method, viz. regression kriging (RK) in a part of the Narmada river basin in the central India. In this study, eight selected predictor variables are used such as, brightness index (BI), greenness index (GI), wetness index (WI), normalized difference vegetation index (NDVI), vegetation temperature condition index (VTCI), digital elevation model (DEM), and slope and compound topographic index (CTI). The RK method has given satisfactory results as observed from the level of accuracy. Finally, the amount of SOC content in varied slope, soil and landuse categories has been analysed. Concentration of SOC has been observed to be more in low elevated areas in clay soil with mainly agricultural and vegetated lands.","container-title":"The Egyptian Journal of Remote Sensing and Space Science","DOI":"10.1016/j.ejrs.2016.06.004","ISSN":"1110-9823","issue":"1","journalAbbreviation":"The Egyptian Journal of Remote Sensing and Space Science","language":"en","page":"61-70","source":"ScienceDirect","title":"Spatial soil organic carbon (SOC) prediction by regression kriging using remote sensing data","volume":"20","author":[{"family":"Mondal","given":"Arun"},{"family":"Khare","given":"Deepak"},{"family":"Kundu","given":"Sananda"},{"family":"Mondal","given":"Surajit"},{"family":"Mukherjee","given":"Sandip"},{"family":"Mukhopadhyay","given":"Anirban"}],"issued":{"date-parts":[["2017",6,1]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[24]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Recent work with ESA’s Sentinel satellite demonstrates a reasonable capacity to predict and map SOC in bare soils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{"citationID":"g8vGzFc7","properties":{"formattedCitation":"[25,26]","plainCitation":"[25,26]","noteIndex":0},"citationItems":[{"id":2053,"uris":["http://zotero.org/users/3110659/items/GJBITSZL"],"itemData":{"id":2053,"type":"article-journal","abstract":"Soil Organic Carbon (SOC) is a useful representative of soil fertility and an essential parameter in controlling the dynamics of various agrochemicals in soil. Soil texture is also used to calculate soil's ability to retain water for plant growth. SOC and soil texture are thus important parameters of agricultural soils and need to be regularly monitored. Optical satellite remote sensing offers the potential for frequent surveys over large areas. In addition, the recently-operated Sentinel-2 missions provide free imagery. This study compared the capabilities of Sentinel-2 for monitoring and mapping of SOC and soil texture (clay, silt and sand content) with those obtained from airborne hyperspectral (CASI/SASI sensors) and lab ASD FieldSpec spectroradiometer measurements at four agricultural sites in the Czech Republic. Combination of 10 extracted bands of the Sentinel-2 and 18 spectral indices, as independent variables, were used to train prediction models and then produce spatial distribution maps of the selected attributes. Results showed that the prediction accuracy based on lab spectroscopy, airborne and Sentinel-2 in the majority of the sites was adequate for SOC and fair for clay; however, Sentinel-2 imagery could not be used to detect and map variations in silt and sand. The SOC and clay maps derived from the airborne and spaceborne datasets showed similar trend, with both performing better where SOC levels were relatively high, though at the highest levels Sentinel-2 was able to create the SOC map more precisely than the airborne sensors. Taken across all SOC levels measured in the reference data, Sentinel-2 results were marginally lower than lab spectroscopy and airborne imagery, but this reduction in precision may be offset by the extensive geographical coverage and more frequent revisit characteristic of satellite observation. The increased temporal revisit and area are expected to be positive enhancements to the acquisition of high-quality information on variations in SOC and clay content of bare soils.","container-title":"Remote Sensing of Environment","DOI":"10.1016/j.rse.2018.09.015","ISSN":"0034-4257","journalAbbreviation":"Remote Sensing of Environment","language":"en","page":"89-103","source":"ScienceDirect","title":"Soil organic carbon and texture retrieving and mapping using proximal, airborne and Sentinel-2 spectral imaging","volume":"218","author":[{"family":"Gholizadeh","given":"Asa"},{"family":"Žižala","given":"Daniel"},{"family":"Saberioon","given":"Mohammadmehdi"},{"family":"Borůvka","given":"Luboš"}],"issued":{"date-parts":[["2018",12,1]]}}},{"id":2054,"uris":["http://zotero.org/users/3110659/items/S3AFVKLD"],"itemData":{"id":2054,"type":"article-journal","abstract":"To be fully operational for facilitating decisions made at any spatial level, models and indicators of soil ecosystem functions require the use of precise spatially referenced soil information as inputs. This study aimed at exploring the capacity for Sentinel-2A (S2A) multispectral satellite images to predict several topsoil properties in two contrasted pedoclimatic environments: a temperate region marked by intensive annual crop cultivation patterns and soils derived from loess or colluvium and/or marine limestone or chalk (Versailles Plain, 221 km2); and a Mediterranean region marked by vineyard cultivation and soils derived from lacustrine limestone, calcareous sandstones, colluvium, or alluvial deposits (Peyne catchment, 48 km2). Prediction models of soil properties based on partial least squares regressions (PLSR) were built from S2A spectra of 72 and 143 sampling locations across the Versailles Plain and Peyne catchment, respectively. Eight soil surface properties were investigated in both regions: pH, cation exchange capacity (CEC), texture fractions (Clay, Silt, Sand), Iron, Calcium Carbonate (CaCO3) and Soil Organic Carbon (SOC) content. Predictive abilities were studied according to the root mean square error of cross-validation (RMSECV) tests, cross-validated coefficient of determination (R2cv) and ratio of performance to deviation (RPD). Intermediate prediction performance outcomes (R2cv and RPD greater than or equal to 0.5 and 1.4, respectively) were obtained for 4 topsoil properties found across the Versailles Plain (SOC, pH, CaCO3 and CEC), and near-intermediate performance outcomes (0.5 &gt; R2cv &gt; 0.39, 1.4 &gt; RPD &gt; 1.3) were yielded for 3 topsoil properties (Clay, Iron, and CEC) found across the Peyne catchment and for 1 property (Clay) found across the Versailles Plain. The study results show what can be expected from Sentinel-2 images in terms of predictive capacities at the regional scale. The spatial structure of the estimated soil properties for bare soils pixels is highlighted, promising further improvements made to spatial prediction models for these properties based on the use of Digital Soil Mapping (DSM) techniques.","container-title":"Remote Sensing of Environment","DOI":"10.1016/j.rse.2019.01.006","ISSN":"0034-4257","journalAbbreviation":"Remote Sensing of Environment","language":"en","page":"21-33","source":"ScienceDirect","title":"Sentinel-2 image capacities to predict common topsoil properties of temperate and Mediterranean agroecosystems","volume":"223","author":[{"family":"Vaudour","given":"E."},{"family":"Gomez","given":"C."},{"family":"Fouad","given":"Y."},{"family":"Lagacherie","given":"P."}],"issued":{"date-parts":[["2019",3,15]]}}}],"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[25,26]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In general, however, approaches that require bare soil are geographically limited due to the lack of ground-based observations or, in the case of hyperspectral imagery with bare soil require significant spectral preprocessing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{"citationID":"tEkPYoCp","properties":{"formattedCitation":"[27]","plainCitation":"[27]","noteIndex":0},"citationItems":[{"id":2916,"uris":["http://zotero.org/users/3110659/items/YRMRGDH7"],"itemData":{"id":2916,"type":"article-journal","abstract":"Hyperspectral remote sensing technology can be used to monitor the soil nutrient changes in a rapid, real-time, and non-destructive manner, which is of great significance to promote the development of precision agriculture. In this paper, 225 soil samples were studied. The effects of different water treatments on soil organic carbon (SOC) content, and the relationship between SOC content and spectral reflectance (350–2500 nm) were studied. 17 kinds of preprocessing algorithm were performed on the original spectral (R), and the five allocation ratios of calibration to verification sets were set. Finally, the model was constructed by partial least squares regression (PLSR). The results showed that the effects of water treatment on SOC content were different in different growth stages of winter wheat. Results of correlation analysis showed that the differential transformation can refine the spectral characteristics, and improve the correlation between SOC content and spectral reflectance. Results of model construction showed that the models constructed by second-order differential transformation were not good. But the ratio of standard deviation to the standard prediction error (RPD) values of the models were constructed by simple mathematical transformation (T0–T5) and first-order differential transformation (T6–T11) can reach more than 1.4. The simple mathematical transformation (T0–T2, T4–T5) and the first-order differential transformation (T6–T10) resulted in the highest RPD in mode 5 and mode 2, respectively. Among all the models, the model of T7 in mode 2 reach the highest accuracy with a RPD value of 1.9861. Therefore, it is necessary to consider the data preprocessing algorithm and allocation ratio in the process of constructing the hyperspectral monitoring model of SOC.","container-title":"Scientific Reports","DOI":"10.1038/s41598-021-98143-0","ISSN":"2045-2322","issue":"1","journalAbbreviation":"Sci Rep","language":"en","license":"2021 The Author(s)","note":"number: 1\npublisher: Nature Publishing Group","page":"18582","source":"www.nature.com","title":"Study on hyperspectral estimation model of soil organic carbon content in the wheat field under different water treatments","volume":"11","author":[{"family":"Yang","given":"Chenbo"},{"family":"Feng","given":"Meichen"},{"family":"Song","given":"Lifang"},{"family":"Wang","given":"Chao"},{"family":"Yang","given":"Wude"},{"family":"Xie","given":"Yongkai"},{"family":"Jing","given":"Binghan"},{"family":"Xiao","given":"Lujie"},{"family":"Zhang","given":"Meijun"},{"family":"Song","given":"Xiaoyan"},{"family":"Saleem","given":"Muhammad"}],"issued":{"date-parts":[["2021",9,20]]}}}],"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[27]</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Research on the spatial and vertical distribution of SOC in Canadian soils relied on a random forest model and NDVI to create a map of SOC concentration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{"citationID":"igME2UNL","properties":{"formattedCitation":"[28]","plainCitation":"[28]","noteIndex":0},"citationItems":[{"id":2837,"uris":["http://zotero.org/users/3110659/items/EL47AWD7"],"itemData":{"id":2837,"type":"article-journal","abstract":"Canada has extensive forests and peatlands that play key roles in global carbon cycle. Canadian soils and peatlands are assumed to store approximately 20% of the world’s soil carbon stock. However, the spatial and vertical distributions of the soil organic carbon (SOC) concentration in Canada have not been systematically investigated. SOC concentration, expressed in g C kg−1 soil, affects the chemical and physical properties of the soil, such as water infiltration ability, moisture holding capacity, nutrient availability, and the biological activity of microorganisms. In this study, we tested a three dimensional (3D) machine learning approach and 40 spatial predictors derived from 20 years of optical and microwave satellite observations to estimate the spatial and vertical distributions of SOC concentration in Canada in six depth intervals up to 1 m. A quantile regression forest method was used to build an uncertainty map showing 80% of prediction intervals. Results showed that a random forest model associated with 25 covariates was successful in capturing 83% of spatial and vertical SOC variation over the country. Soil depth was the most important covariate to predict SOC concentration, followed by surface temperature and elevation. The SOC concentration in forested areas was highest in the top layers (0–5 cm), but soils located in peatlands showed higher C concentration in all soil depths. Among the terrestrial ecozones of Canada, Pacific Maritime and the Hudson Plain mostly covered by forest trees and peatlands, respectively, show highest SOC concentration, while the lowest concentration are observed in the Prairies and Mixed Wood Plain ecosystems that are the agricultural areas of the country. This study provides a deeper understanding of the major factors controlling SOC concentration in Canada and shows potential areas with high carbon reserves, which are crucial in view of the ongoing climate change. In addition, the presented methodological framework has great potential to be used in future soil carbon storage inventories using satellite observations. Mapping SOC concentration and associated uncertainties in Canada are fundamental to detect trends of gains or losses in SOC linked to recent and future national or global policy decisions related to soil quality and carbon sequestration.","container-title":"Geoderma","DOI":"10.1016/j.geoderma.2021.115402","ISSN":"0016-7061","journalAbbreviation":"Geoderma","page":"115402","source":"ScienceDirect","title":"Large scale mapping of soil organic carbon concentration with 3D machine learning and satellite observations","volume":"405","author":[{"family":"Sothe","given":"Camile"},{"family":"Gonsamo","given":"Alemu"},{"family":"Arabian","given":"Joyce"},{"family":"Snider","given":"James"}],"issued":{"date-parts":[["2022",1,1]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[28]</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Estimates of SOC with the US Department of Agriculture’s Rapid Carbon Assessment (RACA) data using a random forest model demonstrate the potential for SOC stock prediction in forested lands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{"citationID":"7EyN1yd7","properties":{"formattedCitation":"[29]","plainCitation":"[29]","noteIndex":0},"citationItems":[{"id":2684,"uris":["http://zotero.org/users/3110659/items/6YT2CS2B"],"itemData":{"id":2684,"type":"article-journal","abstract":"Soil organic carbon (SOC) is the largest terrestrial carbon (C) sink on Earth; this pool plays a critical role in ecosystem processes and climate change. Given the cost and time required to measure SOC, and particularly changes in SOC, many signatory nations to the United Nations Framework Convention on Climate Change report estimates of SOC stocks and stock changes using default values from the Intergovernmental Panel on Climate Change or country-s­pecific models. In the United States, SOC in forests is monitored by the national forest inventory (NFI) conducted by the Forest Inventory and Analysis (FIA) program within the U.S. Department of Agriculture, Forest Service. The FIA program has been consistently measuring soil attributes as part of the NFI since 2001 and has amassed an extensive inventory of SOC in forest land in the conterminous United States and southeast and southcentral coastal Alaska. That said, the FIA program has been using country-s­pecific predictions of SOC based, in part, upon a model using SOC estimates from the State Soil Geographic (STATSGO) database compiled by the Natural Resources Conservation Service. Estimates obtained from the STATSGO database are averages over large map units and are not expected to provide accurate estimates for specific locations, e.g., NFI plots. To improve the accuracy of SOC estimates in U.S. forests, NFI SOC observations were used for the first time to predict SOC density to a depth of 100 cm for all forested NFI plots. Incorporating soil-­forming factors along with observations of SOC into a new estimation framework resulted in a 75% (48 ± 0.78 Mg/ha) increase in SOC densities nationally. This substantially increases the contribution of the SOC pool, from approximately 44% (17 Pg) of the total forest ecosystem C stocks to 56% (28 Pg), in the forest C budget of the United States.","container-title":"Ecological Applications","DOI":"10.1002/eap.1516","ISSN":"10510761","issue":"4","journalAbbreviation":"Ecol Appl","language":"en","page":"1223-1235","source":"DOI.org (Crossref)","title":"Toward inventory-based estimates of soil organic carbon in forests of the United States","volume":"27","author":[{"family":"Domke","given":"G. M."},{"family":"Perry","given":"C. H."},{"family":"Walters","given":"B. F."},{"family":"Nave","given":"L. E."},{"family":"Woodall","given":"C. W."},{"family":"Swanston","given":"C. W."}],"issued":{"date-parts":[["2017",6]]}}}],"schema":"https://github.com/citation-style-language/schema/raw/master/csl-citation.json"}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[29]</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Other work using RACA data compared gradient boosting, random forest, and extreme gradient boosting methods to predict SOC stocks across the US using earth system model outputs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{"citationID":"NifvWNHy","properties":{"formattedCitation":"[30]","plainCitation":"[30]","noteIndex":0},"citationItems":[{"id":2687,"uris":["http://zotero.org/users/3110659/items/NP8KHEYJ"],"itemData":{"id":2687,"type":"article-journal","abstract":"Aims High-resolution information on soils’ vulnerability to climate-induced soil organic carbon (SOC) loss can enable environmental scientists, land managers, and policy makers to develop targeted mitigation strategies. This study aims to estimate baseline and decadal changes in continental US surface SOC stocks under future emission scenarios. Location Continental United States. Time period 2014–2100. Methods We used recent SOC field observations (n = 6,213 sites), environmental factors (n = 32), and an ensemble machine learning (ML) approach to estimate baseline SOC stocks in surface soils across the continental United States at 100-m spatial resolution, and decadal changes under the projected climate scenarios of Coupled Model Intercomparison Project Phase Six (CMIP6) earth system models (ESMs). Results Baseline SOC projections from ML approaches captured more than 50% of variability in SOC observations, whereas ESMs represented only 6–16% of observed SOC variability. ML estimates showed a mean total loss of 1.8 Pg C from US surface soils under the high-emission scenario by 2100, whereas ESMs showed no significant change in SOC stocks with wide variation among ESMs. Both ML and ESM predictions agree on the direction of SOC change (net emissions or sequestration) across 46–51% of continental US land area. These differences are attributable to the high-resolution site-specific data used in the ML models compared to the relatively coarse grid represented in CMIP6 ESMs. Main conclusions Our high-resolution estimates of baseline SOC stocks, identification of key environmental controllers, and projection of SOC changes from US land cover types under future climate scenarios suggest the need for high-resolution simulations of SOC in ESMs to represent the heterogeneity of SOC. We found that the SOC change is sensitive to key soil related factors (e.g. soil drainage and soil order) that have not been historically considered as input parameters in ESMs, because currently more than 95% variability in the SOC of CMIP6 ESMs is controlled by net primary productivity, temperature, and precipitation. Using additional environmental factors to estimate the baseline SOC stocks and predict the future trajectory of SOC change can provide more accurate results.","container-title":"Global Ecology and Biogeography","DOI":"10.1111/geb.13489","ISSN":"1466-8238","issue":"6","language":"en","license":"© 2022 The Authors. Global Ecology and Biogeography published by John Wiley &amp; Sons Ltd.","note":"_eprint: https://onlinelibrary.wiley.com/doi/pdf/10.1111/geb.13489","page":"1147-1160","source":"Wiley Online Library","title":"Continental United States may lose 1.8 petagrams of soil organic carbon under climate change by 2100","volume":"31","author":[{"family":"Gautam","given":"Sagar"},{"family":"Mishra","given":"Umakant"},{"family":"Scown","given":"Corinne D."},{"family":"Wills","given":"Skye A."},{"family":"Adhikari","given":"Kabindra"},{"family":"Drewniak","given":"Beth A."}],"issued":{"date-parts":[["2022"]]}}}],"schema":"https://github.com/citation-style-language/schema/raw/master/csl-citation.json"}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[30]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Work in Argentina predicted SOC stocks based on weighted averages of annual NDVI such that the current estimates were based on historical NDVI values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{"citationID":"oKmXR95o","properties":{"formattedCitation":"[31]","plainCitation":"[31]","noteIndex":0},"citationItems":[{"id":2749,"uris":["http://zotero.org/users/3110659/items/494ZXIVL"],"itemData":{"id":2749,"type":"article-journal","abstract":"Spatially resolved estimates of change in soil organic carbon (SOC) stocks are necessary for supporting national and international policies aimed at achieving land degradation neutrality and climate change mitigation. In this work we report on the development, implementation and application of a data-driven, statistical method for mapping SOC stocks in space and time, using Argentina as a pilot. We used quantile regression forest machine learning to predict annual SOC stock at 0–30 cm depth at 250 m resolution for Argentina between 1982 and 2017. The model was calibrated using over 5,000 SOC stock values from the 36-year time period and 35 environmental covariates. We preprocessed normalized difference vegetation index (NDVI) dynamic covariates using a temporal low-pass filter to allow the SOC stock for a given year to depend on the NDVI of the current as well as preceding years. Predictions had modest temporal variation, with an average decrease for the entire country from 2.55 to 2.48 kg C m−2 over the 36-year period (equivalent to a decline of 211 Gg C, 3.0% of the total 0–30 cm SOC stock in Argentina). The Pampa region had a larger estimated SOC stock decrease from 4.62 to 4.34 kg C m−2 (5.9%) during the same period. For the 2001–2015 period, predicted temporal variation was seven-fold larger than that obtained using the Tier 1 approach of the Intergovernmental Panel on Climate Change and United Nations Convention to Combat Desertification. Prediction uncertainties turned out to be substantial, mainly due to the limited number and poor spatial and temporal distribution of the calibration data, and the limited explanatory power of the covariates. Cross-validation confirmed that SOC stock prediction accuracy was limited, with a mean error of 0.03 kg C m−2 and a root mean squared error of 2.04 kg C m−2. In spite of the large uncertainties, this work showed that machine learning methods can be used for space–time SOC mapping and may yield valuable information to land managers and policymakers, provided that SOC observation density in space and time is sufficiently large. Highlights We tested the use of machine learning for space–time mapping of soil organic carbon (SOC) stock. Predictions for Argentina from 1982 to 2017 showed a 3% decrease of the topsoil SOC stock over time. The machine learning model predicted a greater temporal variation than the IPCC Tier 1 approach. Accurate machine learning SOC stock prediction requires dense soil sampling in space and time.","container-title":"European Journal of Soil Science","DOI":"10.1111/ejss.12998","ISSN":"1365-2389","issue":"4","language":"en","license":"© 2020 The Authors. European Journal of Soil Science published by John Wiley &amp; Sons Ltd on behalf of British Society of Soil Science.","note":"_eprint: https://onlinelibrary.wiley.com/doi/pdf/10.1111/ejss.12998","page":"1607-1623","source":"Wiley Online Library","title":"Machine learning in space and time for modelling soil organic carbon change","volume":"72","author":[{"family":"Heuvelink","given":"Gerard B. M."},{"family":"Angelini","given":"Marcos E."},{"family":"Poggio","given":"Laura"},{"family":"Bai","given":"Zhanguo"},{"family":"Batjes","given":"Niels H."},{"family":"Bosch","given":"Rik","non-dropping-particle":"van den"},{"family":"Bossio","given":"Deborah"},{"family":"Estella","given":"Sergio"},{"family":"Lehmann","given":"Johannes"},{"family":"Olmedo","given":"Guillermo F."},{"family":"Sanderman","given":"Jonathan"}],"issued":{"date-parts":[["2021"]]}}}],"schema":"https://github.com/citation-style-language/schema/raw/master/csl-citation.json"}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[31]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One study in Brazil found that clay content helped predict the spatial distribution of SOC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{"citationID":"jUIWRjN7","properties":{"formattedCitation":"[32]","plainCitation":"[32]","noteIndex":0},"citationItems":[{"id":"BPGgAIic/uxn6wNnl","uris":["http://zotero.org/users/3110659/items/7FA7LDLV"],"itemData":{"id":2913,"type":"article-journal","abstract":"Quantification of soil organic carbon (SOC) is a low-cost and necessary practice to meet increasing agricultural demands. Studies show that remote sensing (RS) is important for SOC prediction and its use has become crucial in agricultural management. In this study, a Multiple Linear Regression (MLR) model was constructed to predict SOC in a site in Piracicaba, São Paulo, Brazil. As predictor variables, we used the optical-satellite data of OLI/Landsat-8 sensor (bands 5 and 7, specifically), clay concentration, and the Normalized Difference Vegetation Index (NDVI). We collected 218 samples at the sampling points in the field to quantify clay and SOC in the laboratory as a calibration procedure. An Exposed Soil Mask (ESM) was created using the method GEOS3 technology, which showed pixels with greater variability of bare soil. The pixels were evaluated with their respective surface reflectance values obtained by the satellite sensor and their respective NDVI index values. We evaluated the model predictive performance based on the adjusted coefficient of determination (R2), the Root Mean-Squared Error (RMSE), and the Ratio of Performance to Interquartile Range (RPIQ) obtained in data validation. The MLR model presented R2 values 0.79 and 0.81 for calibration and validation, respectively. We obtained important RMSE and RPIQ values, 0.14 and 2.32, respectively. The high RPIQ indicated significative sampling distribution around the trendline. After construction, the model was applied to the C spatial distribution using the predictive variables as layers, predominant concentrations of 0.65 to 0.79 g. Kg−1 in 51 (23.4%) soil samples. The analysis presented here offer possibilities for SOC prediction using Geographic Information Systems (GIS) tools.","container-title":"Geoderma Regional","DOI":"10.1016/j.geodrs.2020.e00253","ISSN":"2352-0094","journalAbbreviation":"Geoderma Regional","page":"e00253","source":"ScienceDirect","title":"Using Landsat and soil clay content to map soil organic carbon of oxisols and Ultisols near São Paulo, Brazil","volume":"21","author":[{"family":"Padilha","given":"Manuela Corrêa de Castro"},{"family":"Vicente","given":"Luiz Eduardo"},{"family":"Demattê","given":"José A. M."},{"family":"Santos Wendriner Loebmann","given":"Daniel Gomes","non-dropping-particle":"dos"},{"family":"Vicente","given":"Andrea Koga"},{"family":"Salazar","given":"Diego F. U."},{"family":"Guimarães","given":"Clécia Cristina Barbosa"}],"issued":{"date-parts":[["2020",6,1]]}}}],"schema":"https://github.com/citation-style-language/schema/raw/master/csl-citation.json"}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[32]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However, they relied on a single date of Landsat imagery which does not adequately reflect the dynamics of crop growth over time and thus their model cannot be applied to additional dates or locations. One study in China relied on a timeseries of NDVI because the land use change data were not detailed enough to represent the variations in different agricultural management practices or fine-scale plant productivity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{"citationID":"l5O5Z4Lq","properties":{"formattedCitation":"[33]","plainCitation":"[33]","noteIndex":0},"citationItems":[{"id":"BPGgAIic/jKnOsduO","uris":["http://zotero.org/users/3110659/items/86L5344N"],"itemData":{"id":2910,"type":"article-journal","abstract":"Mapping the spatial distribution of soil organic carbon (SOC) content or stock is important for climate change studies and land management decisions. When using environmental covariates to map SOC content or stock, variables indicating human activities have drawn growing attentions. Crop species/crop rotations and agricultural management significantly affect the spatial variation of SOC in croplands. For areas where climatic conditions and farming managements are generally consistent in cultivation territory of one crop species, crop phenology largely indicates the crop response to soil. Therefore, phenological parameters incorporating with crop rotation could be effective for mapping soil organic carbon in these areas. In this study, we extracted phenological parameters from Normalized Difference Vegetation Index (NDVI) time series data, and used these variables with crop rotation for predicting topsoil organic carbon content in a cropland area in Anhui province, China. Forty-nine sampling points were collected in field. For these points, there were three crop rotations each with two crop species per year. Twenty-two HJ-1 A/B images for 2010 year with a 30 m resolution were obtained. Eleven phenological parameters for each of the two growing seasons were obtained with a dynamic threshold method. Various combinations of predictive variables were developed based on variable importance and experimented for predicting topsoil organic carbon using random forest. The prediction results were validated using a cross validation approach. Results showed that base levels (given as the average of the left and right minimum values of a time series profile) for both seasons were the most important predictors in this area. Adding both crop rotation and the two phenological parameters to the natural environment variables increased the prediction accuracies by 50% in terms of R2 and 13.4% in terms of root mean square error (RMSE). This study demonstrates the effectiveness of crop phenology in mapping SOC in croplands.","container-title":"Soil and Tillage Research","DOI":"10.1016/j.still.2019.104465","ISSN":"0167-1987","journalAbbreviation":"Soil and Tillage Research","page":"104465","source":"ScienceDirect","title":"Improving prediction of soil organic carbon content in croplands using phenological parameters extracted from NDVI time series data","volume":"196","author":[{"family":"Yang","given":"Lin"},{"family":"He","given":"Xianglin"},{"family":"Shen","given":"Feixue"},{"family":"Zhou","given":"Chenghu"},{"family":"Zhu","given":"A-Xing"},{"family":"Gao","given":"Bingbo"},{"family":"Chen","given":"Ziyue"},{"family":"Li","given":"Manchun"}],"issued":{"date-parts":[["2020",2,1]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[33]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Our work builds upon and unifies these approaches by using all available soil observations in the US and incorporating satellite imagery from the Landsat archive for more complete spatial coverage. Our approach improves upon previous work by incorporating more soil measurements but fewer other predictor variables, predicting SOC at a higher resolution, including changes over time, rigorously comparing machine learning algorithms rather than selecting a single method from a prior study, and putting our work into context with past literature.</w:t>
      </w:r>
    </w:p>
    <w:p w14:paraId="637CE10D" w14:textId="2B2F460F" w:rsidR="0097606E" w:rsidRPr="008E4EFB" w:rsidRDefault="0097606E" w:rsidP="00DC4266">
      <w:pPr>
        <w:pStyle w:val="Style3"/>
        <w:numPr>
          <w:ilvl w:val="1"/>
          <w:numId w:val="32"/>
        </w:numPr>
        <w:spacing w:before="0" w:line="360" w:lineRule="auto"/>
        <w:rPr>
          <w:rFonts w:cs="Times New Roman"/>
          <w:szCs w:val="24"/>
        </w:rPr>
      </w:pPr>
      <w:r w:rsidRPr="008E4EFB">
        <w:rPr>
          <w:rFonts w:cs="Times New Roman"/>
          <w:szCs w:val="24"/>
        </w:rPr>
        <w:t>Methods and Data</w:t>
      </w:r>
      <w:bookmarkEnd w:id="89"/>
    </w:p>
    <w:p w14:paraId="1A8E84EE" w14:textId="0FD415AD" w:rsidR="003B4242" w:rsidRPr="008E4EFB" w:rsidRDefault="003B4242"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We used all available SOC measurements in the US from the International Soil Carbon Network version 3 database (ISCN)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{"citationID":"rR68l919","properties":{"formattedCitation":"(L. Nave et al., 2016)","plainCitation":"(L. Nave et al., 2016)","noteIndex":0},"citationItems":[{"id":3215,"uris":["http://zotero.org/users/3110659/items/R8R9GWDY"],"itemData":{"id":3215,"type":"report","abstract":"The ISCN is an international scientific community devoted to the advancement of soil carbon research. The ISCN manages an open-access, community-driven soil carbon database. This is version 3-1 of the ISCN Database, released in December 2015. It gathers 38 separate dataset contributions, totalling 67,112 sites with data from 71,198 soil profiles and 431,324 soil layers. For more information about the ISCN, its scientific community and resources, data policies and partner networks visit: http://iscn.fluxdata.org/.","language":"English","note":"DOI: 10.17040/ISCN/1305039","publisher":"International Soil Carbon Network (ISCN)","source":"www.osti.gov","title":"International Soil Carbon Network (ISCN) Database v3-1","URL":"https://www.osti.gov/dataexplorer/biblio/dataset/1305039","author":[{"family":"Nave","given":"Luke"},{"family":"Johnson","given":"Kris"},{"family":"Ingen","given":"Catharine","non-dropping-particle":"van"},{"family":"Agarwal","given":"Deborah"},{"family":"Humphrey","given":"Marty"},{"family":"Beekwilder","given":"Norman"}],"accessed":{"date-parts":[["2024",5,1]]},"issued":{"date-parts":[["2016",1,1]]}}}],"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(L. Nave et al., 2016)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the World Soil Information Service (WOSIS)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{"citationID":"SNDqj42s","properties":{"formattedCitation":"(Niels H. Batjes et al., 2017)","plainCitation":"(Niels H. Batjes et al., 2017)","noteIndex":0},"citationItems":[{"id":2677,"uris":["http://zotero.org/users/3110659/items/RNVMBAXP"],"itemData":{"id":2677,"type":"article-journal","abstract":"The aim of the World Soil Information Service (WoSIS) is to serve quality-assessed, georeferenced soil data (point, polygon, and grid) to the international community upon their standardisation and harmonisation. So far, the focus has been on developing procedures for legacy point data with special attention to the selection of soil analytical and physical properties considered in the GlobalSoilMap specifications (e.g. organic carbon, soil pH, soil texture (sand, silt, and clay), coarse fragments ( &amp;lt; 2 mm), cation exchange capacity, electrical conductivity, bulk density, and water holding capacity). Profile data managed in WoSIS were contributed by a wide range of soil data providers; the data have been described, sampled, and analysed according to methods and standards in use in the originating countries. Hence, special attention was paid to measures for soil data quality and the standardisation of soil property definitions, soil property values, and soil analytical method descriptions. At the time of writing, the full WoSIS database contained some 118 400 unique shared soil profiles, of which some 96 000 are georeferenced within defined limits. In total, this corresponds with over 31 million soil records, of which some 20 % have so far been quality-assessed and standardised using the sequential procedure discussed in this paper. The number of measured data for each property varies between profiles and with depth, generally depending on the purpose of the initial studies. Overall, the data lineage strongly determined which data could be standardised with acceptable confidence in accord with WoSIS procedures, corresponding to over 4 million records for 94 441 profiles. The publicly available data – WoSIS snapshot of July 2016 – are persistently accessible from ISRIC WDC-Soils through doi:10.17027/isric-wdcsoils.20160003.","container-title":"Earth System Science Data","DOI":"10.5194/essd-9-1-2017","ISSN":"1866-3508","issue":"1","language":"English","note":"publisher: Copernicus GmbH","page":"1-14","source":"Copernicus Online Journals","title":"WoSIS: providing standardised soil profile data for the world","title-short":"WoSIS","volume":"9","author":[{"family":"Batjes","given":"Niels H."},{"family":"Ribeiro","given":"Eloi"},{"family":"Oostrum","given":"Ad","non-dropping-particle":"van"},{"family":"Leenaars","given":"Johan"},{"family":"Hengl","given":"Tom"},{"family":"Mendes de Jesus","given":"Jorge"}],"issued":{"date-parts":[["2017",1,17]]}}}],"schema":"https://github.com/citation-style-language/schema/raw/master/csl-citation.json"}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(Niels H. Batjes et al., 2017)</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and the RACA program. We also included observations from the Soils Data Harmonization Database (</w:t>
      </w:r>
      <w:proofErr w:type="spellStart"/>
      <w:r w:rsidRPr="008E4EFB">
        <w:rPr>
          <w:rFonts w:ascii="Times New Roman" w:hAnsi="Times New Roman" w:cs="Times New Roman"/>
          <w:sz w:val="24"/>
          <w:szCs w:val="24"/>
        </w:rPr>
        <w:t>SoDaH</w:t>
      </w:r>
      <w:proofErr w:type="spellEnd"/>
      <w:r w:rsidRPr="008E4EFB">
        <w:rPr>
          <w:rFonts w:ascii="Times New Roman" w:hAnsi="Times New Roman" w:cs="Times New Roman"/>
          <w:sz w:val="24"/>
          <w:szCs w:val="24"/>
        </w:rPr>
        <w:t xml:space="preserv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{"citationID":"dLxy8Xo1","properties":{"formattedCitation":"(Wieder et al., 2021)","plainCitation":"(Wieder et al., 2021)","noteIndex":0},"citationItems":[{"id":2745,"uris":["http://zotero.org/users/3110659/items/SRE2IXKE"],"itemData":{"id":2745,"type":"article-journal","abstract":"Abstract. Data collected from research networks present\nopportunities to test theories and develop models about factors responsible\nfor the long-term persistence and vulnerability of soil organic matter\n(SOM). Synthesizing datasets collected by different research networks\npresents opportunities to expand the ecological gradients and scientific\nbreadth of information available for inquiry. Synthesizing these data is\nchallenging, especially considering the legacy of soil data that have\nalready been collected and an expansion of new network science initiatives.\nTo facilitate this effort, here we present the SOils DAta Harmonization\ndatabase (SoDaH; https://lter.github.io/som-website, last access: 22 December 2020), a flexible database designed to harmonize diverse SOM datasets from\nmultiple research networks. SoDaH is built on several network science\nefforts in the United States, but the tools built for SoDaH aim to provide\nan open-access resource to facilitate synthesis of soil carbon data.\nMoreover, SoDaH allows for individual locations to contribute results from\nexperimental manipulations, repeated measurements from long-term studies,\nand local- to regional-scale gradients across ecosystems or landscapes.\nFinally, we also provide data visualization and analysis tools that can be\nused to query and analyze the aggregated database. The SoDaH v1.0 dataset is\narchived and available\nat https://doi.org/10.6073/pasta/9733f6b6d2ffd12bf126dc36a763e0b4 (Wieder et al., 2020).","container-title":"Earth System Science Data","DOI":"10.5194/essd-13-1843-2021","ISSN":"1866-3516","issue":"5","journalAbbreviation":"Earth Syst. Sci. Data","language":"en","page":"1843-1854","source":"DOI.org (Crossref)","title":"SoDaH: the SOils DAta Harmonization database, an open-source synthesis of soil data from research networks, version 1.0","title-short":"SoDaH","volume":"13","author":[{"family":"Wieder","given":"William R."},{"family":"Pierson","given":"Derek"},{"family":"Earl","given":"Stevan"},{"family":"Lajtha","given":"Kate"},{"family":"Baer","given":"Sara G."},{"family":"Ballantyne","given":"Ford"},{"family":"Berhe","given":"Asmeret Asefaw"},{"family":"Billings","given":"Sharon A."},{"family":"Brigham","given":"Laurel M."},{"family":"Chacon","given":"Stephany S."},{"family":"Fraterrigo","given":"Jennifer"},{"family":"Frey","given":"Serita D."},{"family":"Georgiou","given":"Katerina"},{"family":"De Graaff","given":"Marie-Anne"},{"family":"Grandy","given":"A. Stuart"},{"family":"Hartman","given":"Melannie D."},{"family":"Hobbie","given":"Sarah E."},{"family":"Johnson","given":"Chris"},{"family":"Kaye","given":"Jason"},{"family":"Kyker-Snowman","given":"Emily"},{"family":"Litvak","given":"Marcy E."},{"family":"Mack","given":"Michelle C."},{"family":"Malhotra","given":"Avni"},{"family":"Moore","given":"Jessica A. M."},{"family":"Nadelhoffer","given":"Knute"},{"family":"Rasmussen","given":"Craig"},{"family":"Silver","given":"Whendee L."},{"family":"Sulman","given":"Benjamin N."},{"family":"Walker","given":"Xanthe"},{"family":"Weintraub","given":"Samantha"}],"issued":{"date-parts":[["2021",5,5]]}}}],"schema":"https://github.com/citation-style-language/schema/raw/master/csl-citation.json"}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(Wieder et al., 2021)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and Sanderman et al.’s work on soil carbon related to land use change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{"citationID":"tuynwVMU","properties":{"formattedCitation":"(Sanderman et al., 2017)","plainCitation":"(Sanderman et al., 2017)","noteIndex":0},"citationItems":[{"id":2752,"uris":["http://zotero.org/users/3110659/items/7SW8ZM7A"],"itemData":{"id":2752,"type":"article-journal","abstract":"Human appropriation of land for agriculture has greatly altered the terrestrial carbon balance, creating a large but uncertain carbon debt in soils. Estimating the size and spatial distribution of soil organic carbon (SOC) loss due to land use and land cover change has been difficult but is a critical step in understanding whether SOC sequestration can be an effective climate mitigation strategy. In this study, a machine learning-based model was fitted using a global compilation of SOC data and the History Database of the Global Environment (HYDE) land use data in combination with climatic, landform and lithology covariates. Model results compared favorably with a global compilation of paired plot studies. Projection of this model onto a world without agriculture indicated a global carbon debt due to agriculture of 133 Pg C for the top 2 m of soil, with the rate of loss increasing dramatically in the past 200 years. The HYDE classes “grazing” and “cropland” contributed nearly equally to the loss of SOC. There were higher percent SOC losses on cropland but since more than twice as much land is grazed, slightly higher total losses were found from grazing land. Important spatial patterns of SOC loss were found: Hotspots of SOC loss coincided with some major cropping regions as well as semiarid grazing regions, while other major agricultural zones showed small losses and even net gains in SOC. This analysis has demonstrated that there are identifiable regions which can be targeted for SOC restoration efforts.","container-title":"Proceedings of the National Academy of Sciences","DOI":"10.1073/pnas.1706103114","issue":"36","note":"publisher: Proceedings of the National Academy of Sciences","page":"9575-9580","source":"pnas.org (Atypon)","title":"Soil carbon debt of 12,000 years of human land use","volume":"114","author":[{"family":"Sanderman","given":"Jonathan"},{"family":"Hengl","given":"Tomislav"},{"family":"Fiske","given":"Gregory J."}],"issued":{"date-parts":[["2017",9,5]]}}}],"schema":"https://github.com/citation-style-language/schema/raw/master/csl-citation.json"}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(Sanderman et al., 2017)</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We ensured that all </w:t>
      </w:r>
      <w:r w:rsidRPr="008E4EFB">
        <w:rPr>
          <w:rFonts w:ascii="Times New Roman" w:hAnsi="Times New Roman" w:cs="Times New Roman"/>
          <w:sz w:val="24"/>
          <w:szCs w:val="24"/>
        </w:rPr>
        <w:lastRenderedPageBreak/>
        <w:t>measurements were within the CONUS and taken after 1984 when Landsat 5 was launched. Landsat was chosen because of the combination of relatively fine resolution (30 m) and extremely long record (1984 – present). While NDVI products from finer spectral and spatial resolution satellites do now exist for the most recent years of the observational record, using multiple satellite products or switching between satellite products would increase the observational error already inherent in the atmospheric correction and scaling process.</w:t>
      </w:r>
    </w:p>
    <w:p w14:paraId="688E5AB4" w14:textId="314F170C" w:rsidR="003B4242" w:rsidRPr="008E4EFB" w:rsidRDefault="003B4242" w:rsidP="00DC4266">
      <w:pPr>
        <w:spacing w:after="0" w:line="360" w:lineRule="auto"/>
        <w:rPr>
          <w:rFonts w:ascii="Times New Roman" w:eastAsia="Times New Roman" w:hAnsi="Times New Roman" w:cs="Times New Roman"/>
          <w:sz w:val="24"/>
          <w:szCs w:val="24"/>
        </w:rPr>
      </w:pPr>
      <w:r w:rsidRPr="008E4EFB">
        <w:rPr>
          <w:rFonts w:ascii="Times New Roman" w:hAnsi="Times New Roman" w:cs="Times New Roman"/>
          <w:sz w:val="24"/>
          <w:szCs w:val="24"/>
        </w:rPr>
        <w:t xml:space="preserve">We then harmonized the datasets, ensuring that all of the observations had coordinates in the same projection, at least a 30 cm deep profile, a year associated with the measurement, and no error flags. In many cases, we had to find the original study in order to locate the exact coordinates and date of the soil sample. </w:t>
      </w:r>
      <w:r w:rsidRPr="008E4EFB">
        <w:rPr>
          <w:rFonts w:ascii="Times New Roman" w:eastAsia="Times New Roman" w:hAnsi="Times New Roman" w:cs="Times New Roman"/>
          <w:sz w:val="24"/>
          <w:szCs w:val="24"/>
        </w:rPr>
        <w:t xml:space="preserve">When samples had a place or town rather than coordinates listed, we looked up the latitude and longitude. For observations reported in concentrations rather than mass per unit area, we converted the measurement for a given layer using bulk density, when available </w:t>
      </w:r>
      <w:r w:rsidRPr="008E4EFB">
        <w:rPr>
          <w:rFonts w:ascii="Times New Roman" w:eastAsia="Times New Roman" w:hAnsi="Times New Roman" w:cs="Times New Roman"/>
          <w:sz w:val="24"/>
          <w:szCs w:val="24"/>
        </w:rPr>
        <w:fldChar w:fldCharType="begin"/>
      </w:r>
      <w:r w:rsidR="0004467C" w:rsidRPr="008E4EFB">
        <w:rPr>
          <w:rFonts w:ascii="Times New Roman" w:eastAsia="Times New Roman" w:hAnsi="Times New Roman" w:cs="Times New Roman"/>
          <w:sz w:val="24"/>
          <w:szCs w:val="24"/>
        </w:rPr>
        <w:instrText xml:space="preserve"> ADDIN ZOTERO_ITEM CSL_CITATION {"citationID":"EojuXNCn","properties":{"formattedCitation":"(Fowler et al., 2023; Tadiello et al., 2022)","plainCitation":"(Fowler et al., 2023; Tadiello et al., 2022)","noteIndex":0},"citationItems":[{"id":2832,"uris":["http://zotero.org/users/3110659/items/KX79RHLD"],"itemData":{"id":2832,"type":"article-journal","abstract":"To assess carbon sequestration in the agricultural and natural systems, it is usually required to report soil organic carbon (SOC) as mass per unit area (Mg ha-1) for a single soil layer (e.g., the 0-0.3 m ploughing layer). However, if the SOC data are reported as relative concentration (g kg-1 or %), it is required to compute the SOC stock and its standard deviation (SD) for a given layer as the product of SOC concentration and bulk density (BD). For a proper computation, it is required to consider that these two variables are correlated. Moreover, if the data are already reported as SOC stock for multiple sub-layers (e.g., 0-0.15 m, 0.15-0.3 m) it is necessary to compute the SOC stock and its SD for a single soil layer (e.g., 0-0.3 m). The correlation between stocks values from adjacent and non-adjacent soil sub-layers must be accounted to compute the SD of the single soil layer. The present work illustrates the methodology to compute SOC stock and its SD for a single soil layer based on SOC concentration and BD also from multiple sub-layers. An Excel workbook automatically computes the means of stocks and SD saving the results in a ready-to-use database.•Computation of a carbon (SOC) stock and its standard deviation (SD) from the product between SOC concentration and bulk density (BD), being correlated variables.•Computation of a SOC stock and its SD from the sum of SOC stocks of multiple correlated sub-layers.•An Excel workbook automatically computes the means of SOC stocks and SD and saves the results in a ready-to-use database.","container-title":"MethodsX","DOI":"10.1016/j.mex.2022.101662","ISSN":"2215-0161","journalAbbreviation":"MethodsX","page":"101662","source":"ScienceDirect","title":"Computation of total soil organic carbon stock and its standard deviation from layered soils","volume":"9","author":[{"family":"Tadiello","given":"Tommaso"},{"family":"Perego","given":"Alessia"},{"family":"Valkama","given":"Elena"},{"family":"Schillaci","given":"Calogero"},{"family":"Acutis","given":"Marco"}],"issued":{"date-parts":[["2022",1,1]]}}},{"id":2679,"uris":["http://zotero.org/users/3110659/items/6BJYTTFN"],"itemData":{"id":2679,"type":"article-journal","abstract":"Agricultural soils can act as a sink for large quantities of soil organic carbon (SOC) but can also be sources of carbon to the atmosphere. The international standard for assessing SOC stock and measuring stock change stipulates fixed depth sampling to at least 30 cm. The tendency of bulk density (BD) to decrease with decreasing disturbance and increasing SOC concentration and the assumption of constant SOC and BD within this depth profile promotes error in the estimates of SOC stock. A hypothetical but realistic change in BD from 1.5 to 1.1 g cm−3 from successive fixed depth sampling to 30 cm underestimates SOC stock change by 17%. Significant effort has been made to evaluate and reduce this fixed depth error by using the equivalent soil mass (ESM) approach, but with limited adoption. We evaluate the error in SOC stock assessment and change generated from fixed depth measurements over time relative to the ESM approach and propose a correction that can be readily adopted under current sampling and analytical methods. Our approach provides a more accurate estimate of SOC stock accumulation or loss that will help incentivize management practice changes that reduce the environmental impacts of agriculture and further legitimize the accounting practices used by the emerging carbon market and organizations that have pledged to reduce their supply chain greenhouse gas (GHG) footprints.","container-title":"Scientific Reports","DOI":"10.1038/s41598-023-29289-2","ISSN":"2045-2322","issue":"1","journalAbbreviation":"Sci Rep","language":"en","license":"2023 The Author(s)","note":"number: 1\npublisher: Nature Publishing Group","page":"2242","source":"www.nature.com","title":"A simple soil mass correction for a more accurate determination of soil carbon stock changes","volume":"13","author":[{"family":"Fowler","given":"Ames F."},{"family":"Basso","given":"Bruno"},{"family":"Millar","given":"Neville"},{"family":"Brinton","given":"William F."}],"issued":{"date-parts":[["2023",2,8]]}}}],"schema":"https://github.com/citation-style-language/schema/raw/master/csl-citation.json"}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04467C" w:rsidRPr="008E4EFB">
        <w:rPr>
          <w:rFonts w:ascii="Times New Roman" w:hAnsi="Times New Roman" w:cs="Times New Roman"/>
          <w:sz w:val="24"/>
          <w:szCs w:val="24"/>
        </w:rPr>
        <w:t>(Fowler et al., 2023; Tadiello et al., 2022)</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We then aggregated each profile to be a single value representing the total SOC for 0 – 30 cm, removing deeper or incomplete layers. The Intergovernmental Panel on Climate Change (IPCC) recommends 30 cm as a standard for measurements and comparisons, as most accumulations and losses occur in the upper soil layers </w:t>
      </w:r>
      <w:r w:rsidRPr="008E4EFB">
        <w:rPr>
          <w:rFonts w:ascii="Times New Roman" w:eastAsia="Times New Roman" w:hAnsi="Times New Roman" w:cs="Times New Roman"/>
          <w:sz w:val="24"/>
          <w:szCs w:val="24"/>
        </w:rPr>
        <w:fldChar w:fldCharType="begin"/>
      </w:r>
      <w:r w:rsidR="0004467C" w:rsidRPr="008E4EFB">
        <w:rPr>
          <w:rFonts w:ascii="Times New Roman" w:eastAsia="Times New Roman" w:hAnsi="Times New Roman" w:cs="Times New Roman"/>
          <w:sz w:val="24"/>
          <w:szCs w:val="24"/>
        </w:rPr>
        <w:instrText xml:space="preserve"> ADDIN ZOTERO_ITEM CSL_CITATION {"citationID":"jzIOSuPs","properties":{"formattedCitation":"(IPCC, 2019)","plainCitation":"(IPCC, 2019)","noteIndex":0},"citationItems":[{"id":3283,"uris":["http://zotero.org/users/3110659/items/SWLHYUNG"],"itemData":{"id":3283,"type":"document","publisher":"IPCC","title":"2019 Refinement to the 2006 IPCC Guidelines for National Greenhouse Gas Inventories","URL":"https://www.ipcc-nggip.iges.or.jp/","author":[{"family":"IPCC","given":""}],"accessed":{"date-parts":[["2024",5,20]]},"issued":{"date-parts":[["2019"]]}}}],"schema":"https://github.com/citation-style-language/schema/raw/master/csl-citation.json"}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04467C" w:rsidRPr="008E4EFB">
        <w:rPr>
          <w:rFonts w:ascii="Times New Roman" w:hAnsi="Times New Roman" w:cs="Times New Roman"/>
          <w:sz w:val="24"/>
          <w:szCs w:val="24"/>
        </w:rPr>
        <w:t>(IPCC, 2019)</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 xml:space="preserve">. The SOC values were highly positively skewed and so were transformed with a logarithmic function before modeling and then </w:t>
      </w:r>
      <w:proofErr w:type="gramStart"/>
      <w:r w:rsidRPr="008E4EFB">
        <w:rPr>
          <w:rFonts w:ascii="Times New Roman" w:eastAsia="Times New Roman" w:hAnsi="Times New Roman" w:cs="Times New Roman"/>
          <w:sz w:val="24"/>
          <w:szCs w:val="24"/>
        </w:rPr>
        <w:t>back-transformed</w:t>
      </w:r>
      <w:proofErr w:type="gramEnd"/>
      <w:r w:rsidRPr="008E4EFB">
        <w:rPr>
          <w:rFonts w:ascii="Times New Roman" w:eastAsia="Times New Roman" w:hAnsi="Times New Roman" w:cs="Times New Roman"/>
          <w:sz w:val="24"/>
          <w:szCs w:val="24"/>
        </w:rPr>
        <w:t xml:space="preserve"> for meaningful mapping when applying the machine learning algorithm. </w:t>
      </w:r>
    </w:p>
    <w:p w14:paraId="383A9DBB" w14:textId="6877AED2" w:rsidR="003B4242" w:rsidRPr="008E4EFB" w:rsidRDefault="003B4242"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Elevation was extracted for each soil sample location from a 10 m digital elevation model (DEM) of the CONUS, publicly available from the USGS. Slope and aspect were calculated from the DEM in ArcGIS Pro. A raster of bedrock geology was downloaded from the USGS. Clay content was extracted from the Unified North American Soil Map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{"citationID":"7jKQuLjL","properties":{"formattedCitation":"(S. Liu et al., 2014)","plainCitation":"(S. Liu et al., 2014)","noteIndex":0},"citationItems":[{"id":2922,"uris":["http://zotero.org/users/3110659/items/CG9VLC6T"],"itemData":{"id":2922,"type":"article-journal","abstract":"ORNL DAAC: This data set provides soil maps for the United States (US) (including Alaska), Canada, Mexico, and a part of Guatemala. The map information content includes maximum soil depth and eight soil attributes including sand, silt, and clay content, gravel content, organic carbon content, pH, cation exchange capacity, and bulk density for the topsoil layer (0-30 cm) and the subsoil layer (30-100 cm). The spatial resolution is 0.25 degree. The Unified North American Soil Map (UNASM) combined information from the state-of-the-art US General Soil Map (STATSGO2) and Soil Landscape of Canada (SLCs) databases. The area not covered by these data sets was filled by using the Harmonized World Soil Database version 1.21 (HWSD1.21). The Northern Circumpolar Soil Carbon (NCSCD) database was used to provide more accurate and up-to-date soil organic carbon information for the high-latitude permafrost region and was combined with soil organic carbon content derived from the UNASM (Liu et al., 2013). The UNASM data were utilized in the North American Carbon Program (NACP) Multi-Scale Synthesis and Terrestrial Model Intercomparison Project (MsTMIP) as model input driver data (Huntzinger et al., 2013). The driver data were used by 22 terrestrial biosphere models to run baseline and sensitivity simulations. The compilation of these data was facilitated by the NACP Modeling and Synthesis Thematic Data Center (MAST-DC). MAST-DC was a component of the NACP (www.nacarbon.org) designed to support NACP by providing data products and data management services needed for modeling and synthesis activities.","container-title":"ORNL DAAC","DOI":"10.3334/ORNLDAAC/1242","language":"en-US","source":"daac.ornl.gov","title":"NACP MsTMIP: Unified North American Soil Map","title-short":"NACP MsTMIP","URL":"https://daac.ornl.gov/cgi-bin/dsviewer.pl?ds_id=1242","author":[{"family":"Liu","given":"Shishi"},{"family":"Wei","given":"Y."},{"family":"Post","given":"W. M."},{"family":"Cook","given":"R. B."},{"family":"Schaefer","given":"K."},{"family":"Thornton","given":"M. M."}],"accessed":{"date-parts":[["2023",10,12]]},"issued":{"date-parts":[["2014",8,27]]}}}],"schema":"https://github.com/citation-style-language/schema/raw/master/csl-citation.json"}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(S. Liu et al., 2014)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Annual maximum and minimum temperature and annual precipitation were extracted from Daymet version 4, a 1 km gridded weather and climate product based on long-term observations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{"citationID":"GlfwlUQ7","properties":{"formattedCitation":"(P. E. Thornton et al., 2021)","plainCitation":"(P. E. Thornton et al., 2021)","noteIndex":0},"citationItems":[{"id":2920,"uris":["http://zotero.org/users/3110659/items/KZCL7HDH"],"itemData":{"id":2920,"type":"article-journal","abstract":"Access to daily high-resolution gridded surface weather data based on direct observations and over long time periods is essential for many studies and applications including vegetation, wildlife, soil health, hydrological modelling, and as driver data in Earth system models. We present Daymet V4, a 40-year daily meteorological dataset on a 1 km grid for North America, Hawaii, and Puerto Rico, providing temperature, precipitation, shortwave radiation, vapor pressure, snow water equivalent, and day length. The dataset includes an objective quantification of uncertainty based on strict cross-validation analysis for temperature and precipitation results. The dataset represents several improvements from a previous version, and this data descriptor provides complete documentation for updated methods. Improvements include: reductions in the timing bias of input reporting weather station measurements; improvement to the three-dimensional regression model techniques in the core algorithm; and a novel approach to handling high elevation temperature measurement biases. We show cross-validation analyses with the underlying weather station data to demonstrate the technical validity of new dataset generation methods, and to quantify improved accuracy.","container-title":"Scientific Data","DOI":"10.1038/s41597-021-00973-0","ISSN":"2052-4463","issue":"1","journalAbbreviation":"Sci Data","language":"en","license":"2021 This is a U.S. Government work and not under copyright protection in the US; foreign copyright protection may apply","note":"number: 1\npublisher: Nature Publishing Group","page":"190","source":"www.nature.com","title":"Gridded daily weather data for North America with comprehensive uncertainty quantification","volume":"8","author":[{"family":"Thornton","given":"Peter E."},{"family":"Shrestha","given":"Rupesh"},{"family":"Thornton","given":"Michele"},{"family":"Kao","given":"Shih-Chieh"},{"family":"Wei","given":"Yaxing"},{"family":"Wilson","given":"Bruce E."}],"issued":{"date-parts":[["2021",7,23]]}}}],"schema":"https://github.com/citation-style-language/schema/raw/master/csl-citation.json"}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(P. E. Thornton et al., 2021)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for each observation location. Soil moisture was extracted from the European Space Agency (ESA) Climate Change Initiative (CCI) soil moisture maps, publicly available on the ESA’s website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{"citationID":"5blNtNSA","properties":{"formattedCitation":"(European Space Agency, 2022)","plainCitation":"(European Space Agency, 2022)","noteIndex":0},"citationItems":[{"id":3190,"uris":["http://zotero.org/users/3110659/items/V2ZGG9FB"],"itemData":{"id":3190,"type":"webpage","abstract":"The Soil Moisture project has contributed to hundreds of hydrological and climatological studies worldwide, as well as the annual BAMS \"State of the Climate\" reports.","container-title":"The Soil Moisture Project","genre":"Overviews and Factsheets","language":"en","title":"Soil Moisture","URL":"https://climate.esa.int/en/projects/soil-moisture/","author":[{"family":"European Space Agency","given":""}],"accessed":{"date-parts":[["2024",4,15]]},"issued":{"date-parts":[["2022"]]}}}],"schema":"https://github.com/citation-style-language/schema/raw/master/csl-citation.json"}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(European Space Agency,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Historical and modeled land use raster were available from the US and the land use category was extracted for each soil sample location and date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{"citationID":"sdjZwhn3","properties":{"formattedCitation":"(T. Sohl et al., 2016; T. L. Sohl et al., 2014)","plainCitation":"(T. Sohl et al., 2016; T. L. Sohl et al., 2014)","noteIndex":0},"citationItems":[{"id":3102,"uris":["http://zotero.org/users/3110659/items/AI4ZKFEG"],"itemData":{"id":3102,"type":"article-journal","abstract":"Information on future land-use and land-cover (LULC) change is needed to analyze the impact of LULC change on ecological processes. The U.S. Geological Survey has produced spatially explicit, thematically detailed LULC projections for the conterminous United States. Four qualitative and quantitative scenarios of LULC change were developed, with characteristics consistent with the Intergovernmental Panel on Climate Change (IPCC) Special Report on Emission Scenarios (SRES). The four quantified scenarios (A1B, A2, B1, and B2) served as input to the forecasting scenarios of land-use change (FORE-SCE) model. Four spatially explicit data sets consistent with scenario storylines were produced for the conterminous United States, with annual LULC maps from 1992 through 2100. The future projections are characterized by a loss of natural land covers in most scenarios, with corresponding expansion of anthropogenic land uses. Along with the loss of natural land covers, remaining natural land covers experience increased fragmentation under most scenarios, with only the B2 scenario remaining relatively stable in both the proportion of remaining natural land covers and basic fragmentation measures. Forest stand age was also modeled. By 2100, scenarios and ecoregions with heavy forest cutting had relatively lower mean stand ages compared to those with less forest cutting. Stand ages differed substantially between unprotected and protected forest lands, as well as between different forest classes. The modeled data were compared to the National Land Cover Database (NLCD) and other data sources to assess model characteristics. The consistent, spatially explicit, and thematically detailed LULC projections and the associated forest stand-age data layers have been used to analyze LULC impacts on carbon and greenhouse gas fluxes, biodiversity, climate and weather variability, hydrologic change, and other ecological processes.","container-title":"Ecological Applications","DOI":"10.1890/13-1245.1","ISSN":"1939-5582","issue":"5","language":"en","license":"© 2014 by the Ecological Society of America","note":"_eprint: https://onlinelibrary.wiley.com/doi/pdf/10.1890/13-1245.1","page":"1015-1036","source":"Wiley Online Library","title":"Spatially explicit modeling of 1992–2100 land cover and forest stand age for the conterminous United States","volume":"24","author":[{"family":"Sohl","given":"Terry L."},{"family":"Sayler","given":"Kristi L."},{"family":"Bouchard","given":"Michelle A."},{"family":"Reker","given":"Ryan R."},{"family":"Friesz","given":"Aaron M."},{"family":"Bennett","given":"Stacie L."},{"family":"Sleeter","given":"Benjamin M."},{"family":"Sleeter","given":"Rachel R."},{"family":"Wilson","given":"Tamara"},{"family":"Soulard","given":"Chris"},{"family":"Knuppe","given":"Michelle"},{"family":"Van Hofwegen","given":"Travis"}],"issued":{"date-parts":[["2014"]]}}},{"id":3100,"uris":["http://zotero.org/users/3110659/items/R377HP64"],"itemData":{"id":3100,"type":"article-journal","abstract":"The landscape of the conterminous United States has changed dramatically over the last 200 years, with agricultural land use, urban expansion, forestry, and other anthropogenic activities altering land cover across vast swaths of the country. While land use and land cover (LULC) models have been developed to model potential future LULC change, few efforts have focused on recreating historical landscapes. Researchers at the US Geological Survey have used a wide range of historical data sources and a spatially explicit modeling framework to model spatially explicit historical LULC change in the conterminous United States from 1992 back to 1938. Annual LULC maps were produced at 250-m resolution, with 14 LULC classes. Assessment of model results showed good agreement with trends and spatial patterns in historical data sources such as the Census of Agriculture and historical housing density data, although comparison with historical data is complicated by definitional and methodological differences. The completion of this dataset allows researchers to assess historical LULC impacts on a range of ecological processes.","container-title":"Journal of Land Use Science","DOI":"10.1080/1747423X.2016.1147619","ISSN":"1747-423X","issue":"4","note":"publisher: Taylor &amp; Francis\n_eprint: https://doi.org/10.1080/1747423X.2016.1147619","page":"476-499","source":"Taylor and Francis+NEJM","title":"Modeled historical land use and land cover for the conterminous United States","volume":"11","author":[{"family":"Sohl","given":"Terry"},{"family":"Reker","given":"Ryan"},{"family":"Bouchard","given":"Michelle"},{"family":"Sayler","given":"Kristi"},{"family":"Dornbierer","given":"Jordan"},{"family":"Wika","given":"Steve"},{"family":"Quenzer","given":"Rob"},{"family":"Friesz","given":"Aaron"}],"issued":{"date-parts":[["2016",7,3]]}}}],"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(T. Sohl et al., 2016; T. L. Sohl et al., 2014)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w:t>
      </w:r>
    </w:p>
    <w:p w14:paraId="3BC1EFD1" w14:textId="77777777" w:rsidR="003B4242" w:rsidRPr="008E4EFB" w:rsidRDefault="003B4242"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lastRenderedPageBreak/>
        <w:t xml:space="preserve">Annual NDVI maps of the CONUS were created in Google Earth Engine for 1985-2022 using Landsat 5, 7, and 8 pixels. Clouds and haze were removed to improve landscape change detection and NDVI was calculated per pixel as </w:t>
      </w:r>
    </w:p>
    <w:p w14:paraId="1A19F973" w14:textId="0E71DB4B" w:rsidR="003B4242" w:rsidRPr="008E4EFB" w:rsidRDefault="00000000" w:rsidP="00DC4266">
      <w:pPr>
        <w:spacing w:after="0" w:line="360" w:lineRule="auto"/>
        <w:jc w:val="center"/>
        <w:rPr>
          <w:rFonts w:ascii="Times New Roman" w:eastAsiaTheme="minorEastAsia"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NIR-R</m:t>
              </m:r>
            </m:num>
            <m:den>
              <m:r>
                <w:rPr>
                  <w:rFonts w:ascii="Cambria Math" w:hAnsi="Cambria Math" w:cs="Times New Roman"/>
                  <w:sz w:val="24"/>
                  <w:szCs w:val="24"/>
                </w:rPr>
                <m:t>NIR+ R</m:t>
              </m:r>
            </m:den>
          </m:f>
        </m:oMath>
      </m:oMathPara>
    </w:p>
    <w:p w14:paraId="7183600E" w14:textId="77777777" w:rsidR="003B4242" w:rsidRPr="008E4EFB" w:rsidRDefault="003B4242" w:rsidP="00DC4266">
      <w:pPr>
        <w:spacing w:after="0" w:line="360" w:lineRule="auto"/>
        <w:rPr>
          <w:rFonts w:ascii="Times New Roman" w:eastAsiaTheme="minorEastAsia" w:hAnsi="Times New Roman" w:cs="Times New Roman"/>
          <w:sz w:val="24"/>
          <w:szCs w:val="24"/>
        </w:rPr>
      </w:pPr>
      <w:r w:rsidRPr="008E4EFB">
        <w:rPr>
          <w:rFonts w:ascii="Times New Roman" w:eastAsiaTheme="minorEastAsia" w:hAnsi="Times New Roman" w:cs="Times New Roman"/>
          <w:sz w:val="24"/>
          <w:szCs w:val="24"/>
        </w:rPr>
        <w:t>where NIR is near-infrared, and R is red. We found the median, 5</w:t>
      </w:r>
      <w:r w:rsidRPr="008E4EFB">
        <w:rPr>
          <w:rFonts w:ascii="Times New Roman" w:eastAsiaTheme="minorEastAsia" w:hAnsi="Times New Roman" w:cs="Times New Roman"/>
          <w:sz w:val="24"/>
          <w:szCs w:val="24"/>
          <w:vertAlign w:val="superscript"/>
        </w:rPr>
        <w:t>th</w:t>
      </w:r>
      <w:r w:rsidRPr="008E4EFB">
        <w:rPr>
          <w:rFonts w:ascii="Times New Roman" w:eastAsiaTheme="minorEastAsia" w:hAnsi="Times New Roman" w:cs="Times New Roman"/>
          <w:sz w:val="24"/>
          <w:szCs w:val="24"/>
        </w:rPr>
        <w:t xml:space="preserve"> percentile, and 95</w:t>
      </w:r>
      <w:r w:rsidRPr="008E4EFB">
        <w:rPr>
          <w:rFonts w:ascii="Times New Roman" w:eastAsiaTheme="minorEastAsia" w:hAnsi="Times New Roman" w:cs="Times New Roman"/>
          <w:sz w:val="24"/>
          <w:szCs w:val="24"/>
          <w:vertAlign w:val="superscript"/>
        </w:rPr>
        <w:t>th</w:t>
      </w:r>
      <w:r w:rsidRPr="008E4EFB">
        <w:rPr>
          <w:rFonts w:ascii="Times New Roman" w:eastAsiaTheme="minorEastAsia" w:hAnsi="Times New Roman" w:cs="Times New Roman"/>
          <w:sz w:val="24"/>
          <w:szCs w:val="24"/>
        </w:rPr>
        <w:t xml:space="preserve"> percentile for each year. </w:t>
      </w:r>
    </w:p>
    <w:p w14:paraId="5808EA87" w14:textId="7F6871DA" w:rsidR="003B4242" w:rsidRPr="008E4EFB" w:rsidRDefault="003B4242" w:rsidP="00DC4266">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All further analysis was done in R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{"citationID":"QbBDHtNk","properties":{"formattedCitation":"(R Core Team, 2022)","plainCitation":"(R Core Team, 2022)","noteIndex":0},"citationItems":[{"id":1131,"uris":["http://zotero.org/users/3110659/items/MCWFYDLN"],"itemData":{"id":1131,"type":"software","publisher":"R Foundation for Statistical Computing","title":"R: A Language and Environment for Statistical Computing","URL":"http://R-project.org/","version":"3.6.0","author":[{"family":"R Core Team","given":""}],"accessed":{"date-parts":[["2019",9,23]]},"issued":{"date-parts":[["2022"]]}}}],"schema":"https://github.com/citation-style-language/schema/raw/master/csl-citation.json"}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(R Core Team,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We stratified our dataset into validation and training such that 80% of the locations were training and 20% were designated as validation (</w:t>
      </w:r>
      <w:r w:rsidRPr="00427197">
        <w:rPr>
          <w:rFonts w:ascii="Times New Roman" w:hAnsi="Times New Roman" w:cs="Times New Roman"/>
          <w:b/>
          <w:bCs/>
          <w:sz w:val="24"/>
          <w:szCs w:val="24"/>
        </w:rPr>
        <w:t>Figure S</w:t>
      </w:r>
      <w:r w:rsidR="004B6893" w:rsidRPr="00427197">
        <w:rPr>
          <w:rFonts w:ascii="Times New Roman" w:hAnsi="Times New Roman" w:cs="Times New Roman"/>
          <w:b/>
          <w:bCs/>
          <w:sz w:val="24"/>
          <w:szCs w:val="24"/>
        </w:rPr>
        <w:t>6.</w:t>
      </w:r>
      <w:r w:rsidRPr="00427197">
        <w:rPr>
          <w:rFonts w:ascii="Times New Roman" w:hAnsi="Times New Roman" w:cs="Times New Roman"/>
          <w:b/>
          <w:bCs/>
          <w:sz w:val="24"/>
          <w:szCs w:val="24"/>
        </w:rPr>
        <w:t>1</w:t>
      </w:r>
      <w:r w:rsidRPr="008E4EFB">
        <w:rPr>
          <w:rFonts w:ascii="Times New Roman" w:hAnsi="Times New Roman" w:cs="Times New Roman"/>
          <w:sz w:val="24"/>
          <w:szCs w:val="24"/>
        </w:rPr>
        <w:t>). Because some locations had multiple samples, this means that all locations with multiple samples were either separated into validation or training and were not split between the two. We constructed a linear regression model to predict SOC from average annual maximum and minimum temperature, average annual precipitation, bedrock geology, elevation, slope, aspect, clay content, latitude, longitude, soil moisture, and NDVI for the current year and previous 5 years, and land use for the current year and previous 5 years. We created a linear regression model to understand how much of the variation in SOC can be explained by a simple linear relationship without machine learning. As expected, there is not a strong linear relationship between the predictor variables and SOC; for example, a one cm/year increase in precipitation across a region does not translate directly to a 1 mg/ha increase or decrease in SOC stocks across the region. Then multiple machine-learning models were constructed using the same variables:</w:t>
      </w:r>
    </w:p>
    <w:p w14:paraId="691A172E" w14:textId="77777777" w:rsidR="003B4242" w:rsidRPr="008E4EFB" w:rsidRDefault="003B4242" w:rsidP="00DC4266">
      <w:pPr>
        <w:pStyle w:val="ListParagraph"/>
        <w:numPr>
          <w:ilvl w:val="0"/>
          <w:numId w:val="22"/>
        </w:num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Random Forest (RF), R Package: randomForest</w:t>
      </w:r>
    </w:p>
    <w:p w14:paraId="28F82D42" w14:textId="77777777" w:rsidR="003B4242" w:rsidRPr="008E4EFB" w:rsidRDefault="003B4242" w:rsidP="00DC4266">
      <w:pPr>
        <w:pStyle w:val="ListParagraph"/>
        <w:numPr>
          <w:ilvl w:val="0"/>
          <w:numId w:val="22"/>
        </w:num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Regression Kriging, R Package: </w:t>
      </w:r>
      <w:proofErr w:type="spellStart"/>
      <w:r w:rsidRPr="008E4EFB">
        <w:rPr>
          <w:rFonts w:ascii="Times New Roman" w:hAnsi="Times New Roman" w:cs="Times New Roman"/>
          <w:sz w:val="24"/>
          <w:szCs w:val="24"/>
        </w:rPr>
        <w:t>gstat</w:t>
      </w:r>
      <w:proofErr w:type="spellEnd"/>
    </w:p>
    <w:p w14:paraId="53ED05E2" w14:textId="77777777" w:rsidR="003B4242" w:rsidRPr="008E4EFB" w:rsidRDefault="003B4242" w:rsidP="00DC4266">
      <w:pPr>
        <w:pStyle w:val="ListParagraph"/>
        <w:numPr>
          <w:ilvl w:val="0"/>
          <w:numId w:val="22"/>
        </w:num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Extreme Gradient Boosting (XGB), R Package: xgboost</w:t>
      </w:r>
    </w:p>
    <w:p w14:paraId="47077ED3" w14:textId="77777777" w:rsidR="003B4242" w:rsidRPr="008E4EFB" w:rsidRDefault="003B4242" w:rsidP="00DC4266">
      <w:pPr>
        <w:pStyle w:val="ListParagraph"/>
        <w:numPr>
          <w:ilvl w:val="0"/>
          <w:numId w:val="22"/>
        </w:num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Generalized Boosted Regression (GB), R Package: </w:t>
      </w:r>
      <w:proofErr w:type="spellStart"/>
      <w:r w:rsidRPr="008E4EFB">
        <w:rPr>
          <w:rFonts w:ascii="Times New Roman" w:hAnsi="Times New Roman" w:cs="Times New Roman"/>
          <w:sz w:val="24"/>
          <w:szCs w:val="24"/>
        </w:rPr>
        <w:t>gbm</w:t>
      </w:r>
      <w:proofErr w:type="spellEnd"/>
    </w:p>
    <w:p w14:paraId="059948AF" w14:textId="77777777" w:rsidR="003B4242" w:rsidRPr="008E4EFB" w:rsidRDefault="003B4242" w:rsidP="00DC4266">
      <w:pPr>
        <w:pStyle w:val="ListParagraph"/>
        <w:numPr>
          <w:ilvl w:val="0"/>
          <w:numId w:val="22"/>
        </w:num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Support Vector Machine (SVM), R Package: e1071</w:t>
      </w:r>
    </w:p>
    <w:p w14:paraId="648627DB" w14:textId="77777777" w:rsidR="003B4242" w:rsidRPr="008E4EFB" w:rsidRDefault="003B4242" w:rsidP="00DC4266">
      <w:pPr>
        <w:pStyle w:val="ListParagraph"/>
        <w:numPr>
          <w:ilvl w:val="0"/>
          <w:numId w:val="22"/>
        </w:num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Artificial Neural Network (ANN), R Package: </w:t>
      </w:r>
      <w:proofErr w:type="spellStart"/>
      <w:r w:rsidRPr="008E4EFB">
        <w:rPr>
          <w:rFonts w:ascii="Times New Roman" w:hAnsi="Times New Roman" w:cs="Times New Roman"/>
          <w:sz w:val="24"/>
          <w:szCs w:val="24"/>
        </w:rPr>
        <w:t>neuralnet</w:t>
      </w:r>
      <w:proofErr w:type="spellEnd"/>
    </w:p>
    <w:p w14:paraId="09B3E4F0" w14:textId="77777777" w:rsidR="003B4242" w:rsidRPr="008E4EFB" w:rsidRDefault="003B4242" w:rsidP="00DC4266">
      <w:pPr>
        <w:pStyle w:val="ListParagraph"/>
        <w:numPr>
          <w:ilvl w:val="0"/>
          <w:numId w:val="22"/>
        </w:num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K-Nearest Neighbors (KNN), R Package: caret</w:t>
      </w:r>
    </w:p>
    <w:p w14:paraId="55627FA3" w14:textId="32FE410B" w:rsidR="003B4242" w:rsidRPr="008E4EFB" w:rsidRDefault="003B4242" w:rsidP="00DC4266">
      <w:pPr>
        <w:pStyle w:val="NormalWeb"/>
        <w:spacing w:before="0" w:beforeAutospacing="0" w:after="0" w:afterAutospacing="0" w:line="360" w:lineRule="auto"/>
      </w:pPr>
      <w:r w:rsidRPr="008E4EFB">
        <w:t>Error and accuracy were assessed with root mean squared error (RMSE), mean absolute error (MAE), R</w:t>
      </w:r>
      <w:r w:rsidRPr="008E4EFB">
        <w:rPr>
          <w:vertAlign w:val="superscript"/>
        </w:rPr>
        <w:t xml:space="preserve">2 </w:t>
      </w:r>
      <w:r w:rsidRPr="008E4EFB">
        <w:t>values, and the slope of the predicted vs. observed line. The model with the lowest RMSE and MAE and highest R</w:t>
      </w:r>
      <w:r w:rsidRPr="008E4EFB">
        <w:rPr>
          <w:vertAlign w:val="superscript"/>
        </w:rPr>
        <w:t>2</w:t>
      </w:r>
      <w:r w:rsidRPr="008E4EFB">
        <w:t xml:space="preserve"> – the random forest (</w:t>
      </w:r>
      <w:r w:rsidRPr="007F0D68">
        <w:rPr>
          <w:b/>
          <w:bCs/>
        </w:rPr>
        <w:t xml:space="preserve">Table </w:t>
      </w:r>
      <w:r w:rsidR="00C65D39" w:rsidRPr="007F0D68">
        <w:rPr>
          <w:b/>
          <w:bCs/>
        </w:rPr>
        <w:t>6.</w:t>
      </w:r>
      <w:r w:rsidRPr="007F0D68">
        <w:rPr>
          <w:b/>
          <w:bCs/>
        </w:rPr>
        <w:t>1</w:t>
      </w:r>
      <w:r w:rsidRPr="008E4EFB">
        <w:t xml:space="preserve">) – was selected to apply to the </w:t>
      </w:r>
      <w:r w:rsidRPr="008E4EFB">
        <w:lastRenderedPageBreak/>
        <w:t xml:space="preserve">CONUS for all years with available input data. Because we needed the previous 5 years of NDVI values for creating SOC maps by interpolation with the Random Forest, this limited our analysis to 1990 (1985, when Landsat 5 was launched + 5 years) to 2022. </w:t>
      </w:r>
    </w:p>
    <w:p w14:paraId="3EC76FC0" w14:textId="328EF4BE" w:rsidR="003B4242" w:rsidRDefault="003B4242" w:rsidP="00DC4266">
      <w:pPr>
        <w:pStyle w:val="NormalWeb"/>
        <w:spacing w:before="0" w:beforeAutospacing="0" w:after="0" w:afterAutospacing="0" w:line="360" w:lineRule="auto"/>
      </w:pPr>
      <w:r w:rsidRPr="008E4EFB">
        <w:t xml:space="preserve">Further data analysis was done using the </w:t>
      </w:r>
      <w:r w:rsidRPr="008E4EFB">
        <w:rPr>
          <w:shd w:val="clear" w:color="auto" w:fill="FFFFFF"/>
        </w:rPr>
        <w:t>US Department of Agriculture (</w:t>
      </w:r>
      <w:r w:rsidRPr="008E4EFB">
        <w:t>USDA) farm resource regions (</w:t>
      </w:r>
      <w:r w:rsidRPr="00427197">
        <w:rPr>
          <w:b/>
          <w:bCs/>
        </w:rPr>
        <w:t xml:space="preserve">Figure </w:t>
      </w:r>
      <w:r w:rsidR="004B6893" w:rsidRPr="00427197">
        <w:rPr>
          <w:b/>
          <w:bCs/>
        </w:rPr>
        <w:t>6.</w:t>
      </w:r>
      <w:r w:rsidRPr="00427197">
        <w:rPr>
          <w:b/>
          <w:bCs/>
        </w:rPr>
        <w:t>1</w:t>
      </w:r>
      <w:r w:rsidRPr="008E4EFB">
        <w:t xml:space="preserve">), which are a set of regions in the CONUS where counties are grouped together based on farm attributes and commodities produced to better delineate geographic specialization. </w:t>
      </w:r>
    </w:p>
    <w:p w14:paraId="75740393" w14:textId="77777777" w:rsidR="005564E7" w:rsidRPr="008E4EFB" w:rsidRDefault="005564E7" w:rsidP="005564E7">
      <w:pPr>
        <w:pStyle w:val="Style3"/>
        <w:numPr>
          <w:ilvl w:val="1"/>
          <w:numId w:val="32"/>
        </w:numPr>
        <w:spacing w:after="240" w:line="240" w:lineRule="auto"/>
        <w:rPr>
          <w:rFonts w:cs="Times New Roman"/>
          <w:szCs w:val="24"/>
        </w:rPr>
      </w:pPr>
      <w:bookmarkStart w:id="90" w:name="_Toc179917996"/>
      <w:r w:rsidRPr="008E4EFB">
        <w:rPr>
          <w:rFonts w:cs="Times New Roman"/>
          <w:szCs w:val="24"/>
        </w:rPr>
        <w:t>Results</w:t>
      </w:r>
      <w:bookmarkEnd w:id="90"/>
    </w:p>
    <w:p w14:paraId="07BD6B44" w14:textId="1653EBA6" w:rsidR="005564E7" w:rsidRPr="008E4EFB" w:rsidRDefault="005564E7" w:rsidP="005564E7">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The Random Forest model was the algorithm with a combination of the highest R</w:t>
      </w:r>
      <w:r w:rsidRPr="008E4EFB">
        <w:rPr>
          <w:rFonts w:ascii="Times New Roman" w:hAnsi="Times New Roman" w:cs="Times New Roman"/>
          <w:sz w:val="24"/>
          <w:szCs w:val="24"/>
          <w:vertAlign w:val="superscript"/>
        </w:rPr>
        <w:t xml:space="preserve">2 </w:t>
      </w:r>
      <w:r w:rsidRPr="008E4EFB">
        <w:rPr>
          <w:rFonts w:ascii="Times New Roman" w:hAnsi="Times New Roman" w:cs="Times New Roman"/>
          <w:sz w:val="24"/>
          <w:szCs w:val="24"/>
        </w:rPr>
        <w:t>value and the lowest RMSE and MAE values for the validation dataset (</w:t>
      </w:r>
      <w:r w:rsidRPr="007F0D68">
        <w:rPr>
          <w:rFonts w:ascii="Times New Roman" w:hAnsi="Times New Roman" w:cs="Times New Roman"/>
          <w:b/>
          <w:bCs/>
          <w:sz w:val="24"/>
          <w:szCs w:val="24"/>
        </w:rPr>
        <w:t>Table 6.1</w:t>
      </w:r>
      <w:r w:rsidRPr="008E4EFB">
        <w:rPr>
          <w:rFonts w:ascii="Times New Roman" w:hAnsi="Times New Roman" w:cs="Times New Roman"/>
          <w:sz w:val="24"/>
          <w:szCs w:val="24"/>
        </w:rPr>
        <w:t>). MAE and RMSE are measured in mg/m</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While the ANN and the KNN had the lowest overall MAE and RMSE values, the slope of the line between the predicted and observed was only 0.28 (for the ANN) and 0.32 (for the KNN) with similar R</w:t>
      </w:r>
      <w:r w:rsidRPr="008E4EFB">
        <w:rPr>
          <w:rFonts w:ascii="Times New Roman" w:hAnsi="Times New Roman" w:cs="Times New Roman"/>
          <w:sz w:val="24"/>
          <w:szCs w:val="24"/>
          <w:vertAlign w:val="superscript"/>
        </w:rPr>
        <w:t xml:space="preserve">2 </w:t>
      </w:r>
      <w:r w:rsidRPr="008E4EFB">
        <w:rPr>
          <w:rFonts w:ascii="Times New Roman" w:hAnsi="Times New Roman" w:cs="Times New Roman"/>
          <w:sz w:val="24"/>
          <w:szCs w:val="24"/>
        </w:rPr>
        <w:t>values. Other algorithms had slopes closer to 1 with higher R</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values. This means that the KNN and ANN models may be the most accurate –</w:t>
      </w:r>
      <w:r w:rsidRPr="005564E7">
        <w:rPr>
          <w:rFonts w:ascii="Times New Roman" w:hAnsi="Times New Roman" w:cs="Times New Roman"/>
          <w:sz w:val="24"/>
          <w:szCs w:val="24"/>
        </w:rPr>
        <w:t xml:space="preserve"> </w:t>
      </w:r>
      <w:r w:rsidRPr="008E4EFB">
        <w:rPr>
          <w:rFonts w:ascii="Times New Roman" w:hAnsi="Times New Roman" w:cs="Times New Roman"/>
          <w:sz w:val="24"/>
          <w:szCs w:val="24"/>
        </w:rPr>
        <w:t xml:space="preserve">predicting values at the same scale or order of magnitude – but they are not effectively explaining the variation in SOC based on the predictor variables.  </w:t>
      </w:r>
    </w:p>
    <w:p w14:paraId="5DBDAC0D" w14:textId="77777777" w:rsidR="005564E7" w:rsidRPr="008E4EFB" w:rsidRDefault="005564E7" w:rsidP="005564E7">
      <w:pPr>
        <w:spacing w:after="0" w:line="360" w:lineRule="auto"/>
        <w:rPr>
          <w:rFonts w:ascii="Times New Roman" w:hAnsi="Times New Roman" w:cs="Times New Roman"/>
          <w:sz w:val="24"/>
          <w:szCs w:val="24"/>
        </w:rPr>
      </w:pPr>
      <w:r w:rsidRPr="008E4EFB">
        <w:rPr>
          <w:rFonts w:ascii="Times New Roman" w:eastAsia="Times New Roman" w:hAnsi="Times New Roman" w:cs="Times New Roman"/>
          <w:sz w:val="24"/>
          <w:szCs w:val="24"/>
        </w:rPr>
        <w:t xml:space="preserve">Applying the Random Forest algorithm to </w:t>
      </w:r>
      <w:proofErr w:type="gramStart"/>
      <w:r w:rsidRPr="008E4EFB">
        <w:rPr>
          <w:rFonts w:ascii="Times New Roman" w:eastAsia="Times New Roman" w:hAnsi="Times New Roman" w:cs="Times New Roman"/>
          <w:sz w:val="24"/>
          <w:szCs w:val="24"/>
        </w:rPr>
        <w:t>the CONUS</w:t>
      </w:r>
      <w:proofErr w:type="gramEnd"/>
      <w:r w:rsidRPr="008E4EFB">
        <w:rPr>
          <w:rFonts w:ascii="Times New Roman" w:eastAsia="Times New Roman" w:hAnsi="Times New Roman" w:cs="Times New Roman"/>
          <w:sz w:val="24"/>
          <w:szCs w:val="24"/>
        </w:rPr>
        <w:t xml:space="preserve"> to interpolate between soil observations results in spatially and temporally consistent 30 m resolution maps. Variable importance is shown in </w:t>
      </w:r>
      <w:r w:rsidRPr="00CD3752">
        <w:rPr>
          <w:rFonts w:ascii="Times New Roman" w:eastAsia="Times New Roman" w:hAnsi="Times New Roman" w:cs="Times New Roman"/>
          <w:b/>
          <w:bCs/>
          <w:sz w:val="24"/>
          <w:szCs w:val="24"/>
        </w:rPr>
        <w:t>Figure S6.2</w:t>
      </w:r>
      <w:r w:rsidRPr="008E4EFB">
        <w:rPr>
          <w:rFonts w:ascii="Times New Roman" w:eastAsia="Times New Roman" w:hAnsi="Times New Roman" w:cs="Times New Roman"/>
          <w:sz w:val="24"/>
          <w:szCs w:val="24"/>
        </w:rPr>
        <w:t xml:space="preserve"> and the fit of the model is shown in </w:t>
      </w:r>
      <w:r w:rsidRPr="005564E7">
        <w:rPr>
          <w:rFonts w:ascii="Times New Roman" w:eastAsia="Times New Roman" w:hAnsi="Times New Roman" w:cs="Times New Roman"/>
          <w:b/>
          <w:bCs/>
          <w:sz w:val="24"/>
          <w:szCs w:val="24"/>
        </w:rPr>
        <w:t>Figure S6.3</w:t>
      </w:r>
      <w:r w:rsidRPr="008E4EFB">
        <w:rPr>
          <w:rFonts w:ascii="Times New Roman" w:eastAsia="Times New Roman" w:hAnsi="Times New Roman" w:cs="Times New Roman"/>
          <w:sz w:val="24"/>
          <w:szCs w:val="24"/>
        </w:rPr>
        <w:t xml:space="preserve">. </w:t>
      </w:r>
      <w:r w:rsidRPr="008E4EFB">
        <w:rPr>
          <w:rFonts w:ascii="Times New Roman" w:hAnsi="Times New Roman" w:cs="Times New Roman"/>
          <w:sz w:val="24"/>
          <w:szCs w:val="24"/>
        </w:rPr>
        <w:t xml:space="preserve">We produced a map for each year from 1990-2022 (available in the GitHub code repository) and calculated the </w:t>
      </w:r>
      <w:proofErr w:type="gramStart"/>
      <w:r w:rsidRPr="008E4EFB">
        <w:rPr>
          <w:rFonts w:ascii="Times New Roman" w:hAnsi="Times New Roman" w:cs="Times New Roman"/>
          <w:sz w:val="24"/>
          <w:szCs w:val="24"/>
        </w:rPr>
        <w:t>mean</w:t>
      </w:r>
      <w:proofErr w:type="gramEnd"/>
      <w:r w:rsidRPr="008E4EFB">
        <w:rPr>
          <w:rFonts w:ascii="Times New Roman" w:hAnsi="Times New Roman" w:cs="Times New Roman"/>
          <w:sz w:val="24"/>
          <w:szCs w:val="24"/>
        </w:rPr>
        <w:t xml:space="preserve"> (</w:t>
      </w:r>
      <w:r w:rsidRPr="00427197">
        <w:rPr>
          <w:rFonts w:ascii="Times New Roman" w:hAnsi="Times New Roman" w:cs="Times New Roman"/>
          <w:b/>
          <w:bCs/>
          <w:sz w:val="24"/>
          <w:szCs w:val="24"/>
        </w:rPr>
        <w:t>Figure 6.2A</w:t>
      </w:r>
      <w:r w:rsidRPr="008E4EFB">
        <w:rPr>
          <w:rFonts w:ascii="Times New Roman" w:hAnsi="Times New Roman" w:cs="Times New Roman"/>
          <w:sz w:val="24"/>
          <w:szCs w:val="24"/>
        </w:rPr>
        <w:t xml:space="preserve">). </w:t>
      </w:r>
    </w:p>
    <w:p w14:paraId="2375B380" w14:textId="3D82689D" w:rsidR="005564E7" w:rsidRPr="005564E7" w:rsidRDefault="005564E7" w:rsidP="005564E7">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Mean soil carbon values are not consistent between USDA farm resource regions in the US (</w:t>
      </w:r>
      <w:r w:rsidRPr="00427197">
        <w:rPr>
          <w:rFonts w:ascii="Times New Roman" w:hAnsi="Times New Roman" w:cs="Times New Roman"/>
          <w:b/>
          <w:bCs/>
          <w:sz w:val="24"/>
          <w:szCs w:val="24"/>
        </w:rPr>
        <w:t>Figure 6.3</w:t>
      </w:r>
      <w:r w:rsidRPr="008E4EFB">
        <w:rPr>
          <w:rFonts w:ascii="Times New Roman" w:hAnsi="Times New Roman" w:cs="Times New Roman"/>
          <w:sz w:val="24"/>
          <w:szCs w:val="24"/>
        </w:rPr>
        <w:t>) and one would not expect them to be given the different sizes of the regions (</w:t>
      </w:r>
      <w:r w:rsidRPr="00427197">
        <w:rPr>
          <w:rFonts w:ascii="Times New Roman" w:hAnsi="Times New Roman" w:cs="Times New Roman"/>
          <w:b/>
          <w:bCs/>
          <w:sz w:val="24"/>
          <w:szCs w:val="24"/>
        </w:rPr>
        <w:t>Figure S6.4</w:t>
      </w:r>
      <w:r w:rsidRPr="008E4EFB">
        <w:rPr>
          <w:rFonts w:ascii="Times New Roman" w:hAnsi="Times New Roman" w:cs="Times New Roman"/>
          <w:sz w:val="24"/>
          <w:szCs w:val="24"/>
        </w:rPr>
        <w:t xml:space="preserve">), different land use types, soil types, and climates, but the </w:t>
      </w:r>
      <w:proofErr w:type="gramStart"/>
      <w:r w:rsidRPr="008E4EFB">
        <w:rPr>
          <w:rFonts w:ascii="Times New Roman" w:hAnsi="Times New Roman" w:cs="Times New Roman"/>
          <w:sz w:val="24"/>
          <w:szCs w:val="24"/>
        </w:rPr>
        <w:t>mean</w:t>
      </w:r>
      <w:proofErr w:type="gramEnd"/>
      <w:r w:rsidRPr="008E4EFB">
        <w:rPr>
          <w:rFonts w:ascii="Times New Roman" w:hAnsi="Times New Roman" w:cs="Times New Roman"/>
          <w:sz w:val="24"/>
          <w:szCs w:val="24"/>
        </w:rPr>
        <w:t xml:space="preserve"> shows this discrepancy particularly well. There is little interannual variation but there are large regional differences. The regions with the lowest total SOC estimates were the Mississippi Portal (1.94 ± 0.03 Pg), the Eastern Uplands (4.35 ± 0.07 Pg), and the Southern Seaboard (5.00 ± 0.15 Pg). The total SOC estimate for the Northern Great Plains is 6.63 ± 0.21 Pg. For the Prairie Gateway, it is 7.81 ± 0.37 Pg and for the Heartland, it is 6.73 ± 0.07 Pg. The highest SOC estimates were found in the Basin and Range (</w:t>
      </w:r>
      <w:r w:rsidRPr="008E4EFB">
        <w:rPr>
          <w:rStyle w:val="gnvwddmdn3b"/>
          <w:rFonts w:ascii="Times New Roman" w:hAnsi="Times New Roman" w:cs="Times New Roman"/>
          <w:sz w:val="24"/>
          <w:szCs w:val="24"/>
          <w:bdr w:val="none" w:sz="0" w:space="0" w:color="auto" w:frame="1"/>
        </w:rPr>
        <w:t>11.24</w:t>
      </w:r>
      <w:r w:rsidRPr="008E4EFB">
        <w:rPr>
          <w:rFonts w:ascii="Times New Roman" w:hAnsi="Times New Roman" w:cs="Times New Roman"/>
          <w:sz w:val="24"/>
          <w:szCs w:val="24"/>
        </w:rPr>
        <w:t xml:space="preserve"> ± 0.22 Pg), Fruitful Rim (8.60 ± 0.28 Pg), and the Northern Crescent (7.69 ± 0.09 Pg). </w:t>
      </w:r>
    </w:p>
    <w:p w14:paraId="110B1C59" w14:textId="77777777" w:rsidR="0008555D" w:rsidRPr="008E4EFB" w:rsidRDefault="0008555D" w:rsidP="00ED686E">
      <w:pPr>
        <w:pStyle w:val="NormalWeb"/>
        <w:spacing w:before="60" w:beforeAutospacing="0" w:after="60" w:afterAutospacing="0"/>
      </w:pPr>
    </w:p>
    <w:p w14:paraId="724B2E16" w14:textId="77777777" w:rsidR="0008555D" w:rsidRPr="008E4EFB" w:rsidRDefault="0008555D" w:rsidP="00ED686E">
      <w:pPr>
        <w:spacing w:line="240" w:lineRule="auto"/>
        <w:rPr>
          <w:rFonts w:ascii="Times New Roman" w:hAnsi="Times New Roman" w:cs="Times New Roman"/>
          <w:sz w:val="24"/>
          <w:szCs w:val="24"/>
        </w:rPr>
      </w:pPr>
      <w:r w:rsidRPr="008E4EFB">
        <w:rPr>
          <w:rFonts w:ascii="Times New Roman" w:hAnsi="Times New Roman" w:cs="Times New Roman"/>
          <w:noProof/>
          <w:sz w:val="24"/>
          <w:szCs w:val="24"/>
        </w:rPr>
        <w:drawing>
          <wp:inline distT="0" distB="0" distL="0" distR="0" wp14:anchorId="6BB804BC" wp14:editId="0D9A9BA2">
            <wp:extent cx="5943600" cy="3567430"/>
            <wp:effectExtent l="0" t="0" r="0" b="0"/>
            <wp:docPr id="662297181"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297181" name="Picture 1" descr="A map of the united states&#10;&#10;Description automatically generated"/>
                    <pic:cNvPicPr/>
                  </pic:nvPicPr>
                  <pic:blipFill>
                    <a:blip r:embed="rId55"/>
                    <a:stretch>
                      <a:fillRect/>
                    </a:stretch>
                  </pic:blipFill>
                  <pic:spPr>
                    <a:xfrm>
                      <a:off x="0" y="0"/>
                      <a:ext cx="5943600" cy="3567430"/>
                    </a:xfrm>
                    <a:prstGeom prst="rect">
                      <a:avLst/>
                    </a:prstGeom>
                  </pic:spPr>
                </pic:pic>
              </a:graphicData>
            </a:graphic>
          </wp:inline>
        </w:drawing>
      </w:r>
    </w:p>
    <w:p w14:paraId="2A3A88AE" w14:textId="20F66007" w:rsidR="002A0D52" w:rsidRPr="008E4EFB" w:rsidRDefault="002A0D52" w:rsidP="00ED686E">
      <w:pPr>
        <w:pStyle w:val="Caption"/>
        <w:rPr>
          <w:rFonts w:ascii="Times New Roman" w:hAnsi="Times New Roman" w:cs="Times New Roman"/>
          <w:i w:val="0"/>
          <w:iCs w:val="0"/>
          <w:color w:val="auto"/>
          <w:sz w:val="24"/>
          <w:szCs w:val="24"/>
        </w:rPr>
      </w:pPr>
      <w:bookmarkStart w:id="91" w:name="_Toc179917572"/>
      <w:bookmarkStart w:id="92" w:name="_Toc179918052"/>
      <w:bookmarkStart w:id="93" w:name="_Toc184062913"/>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6</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1</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Farm Resource Regions, from the USDA.</w:t>
      </w:r>
      <w:bookmarkEnd w:id="91"/>
      <w:bookmarkEnd w:id="92"/>
      <w:bookmarkEnd w:id="93"/>
    </w:p>
    <w:p w14:paraId="1859467C" w14:textId="77777777" w:rsidR="005564E7" w:rsidRDefault="005564E7" w:rsidP="005564E7">
      <w:pPr>
        <w:pStyle w:val="Caption"/>
        <w:spacing w:after="0"/>
        <w:rPr>
          <w:rFonts w:ascii="Times New Roman" w:hAnsi="Times New Roman" w:cs="Times New Roman"/>
          <w:i w:val="0"/>
          <w:iCs w:val="0"/>
          <w:color w:val="auto"/>
          <w:sz w:val="24"/>
          <w:szCs w:val="24"/>
        </w:rPr>
      </w:pPr>
      <w:bookmarkStart w:id="94" w:name="_Toc184062959"/>
    </w:p>
    <w:p w14:paraId="56F01023" w14:textId="507E4CE8" w:rsidR="00537FE1" w:rsidRPr="008E4EFB" w:rsidRDefault="00C82F2D" w:rsidP="005564E7">
      <w:pPr>
        <w:pStyle w:val="Caption"/>
        <w:spacing w:after="0"/>
        <w:rPr>
          <w:rFonts w:ascii="Times New Roman" w:hAnsi="Times New Roman" w:cs="Times New Roman"/>
          <w:i w:val="0"/>
          <w:iCs w:val="0"/>
          <w:color w:val="auto"/>
          <w:sz w:val="24"/>
          <w:szCs w:val="24"/>
        </w:rPr>
      </w:pPr>
      <w:r w:rsidRPr="008E4EFB">
        <w:rPr>
          <w:rFonts w:ascii="Times New Roman" w:hAnsi="Times New Roman" w:cs="Times New Roman"/>
          <w:i w:val="0"/>
          <w:iCs w:val="0"/>
          <w:color w:val="auto"/>
          <w:sz w:val="24"/>
          <w:szCs w:val="24"/>
        </w:rPr>
        <w:t xml:space="preserve">Table </w:t>
      </w:r>
      <w:r w:rsidR="00987D24" w:rsidRPr="008E4EFB">
        <w:rPr>
          <w:rFonts w:ascii="Times New Roman" w:hAnsi="Times New Roman" w:cs="Times New Roman"/>
          <w:i w:val="0"/>
          <w:iCs w:val="0"/>
          <w:color w:val="auto"/>
          <w:sz w:val="24"/>
          <w:szCs w:val="24"/>
        </w:rPr>
        <w:t>6</w:t>
      </w:r>
      <w:r w:rsidR="001A6D79" w:rsidRPr="008E4EFB">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Table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1</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Statistical description of model fit for the machine learning algorithms and the linear regression model.</w:t>
      </w:r>
      <w:bookmarkEnd w:id="94"/>
    </w:p>
    <w:p w14:paraId="52A7FDD5" w14:textId="2C8923B3" w:rsidR="00537FE1" w:rsidRPr="008E4EFB" w:rsidRDefault="00FC0AB9" w:rsidP="00ED686E">
      <w:pPr>
        <w:spacing w:line="240" w:lineRule="auto"/>
        <w:rPr>
          <w:rFonts w:ascii="Times New Roman" w:hAnsi="Times New Roman" w:cs="Times New Roman"/>
          <w:sz w:val="24"/>
          <w:szCs w:val="24"/>
        </w:rPr>
      </w:pPr>
      <w:r w:rsidRPr="00FC0AB9">
        <w:rPr>
          <w:noProof/>
        </w:rPr>
        <w:drawing>
          <wp:inline distT="0" distB="0" distL="0" distR="0" wp14:anchorId="155C130E" wp14:editId="242B649E">
            <wp:extent cx="5943600" cy="1737360"/>
            <wp:effectExtent l="0" t="0" r="0" b="0"/>
            <wp:docPr id="618758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1737360"/>
                    </a:xfrm>
                    <a:prstGeom prst="rect">
                      <a:avLst/>
                    </a:prstGeom>
                    <a:noFill/>
                    <a:ln>
                      <a:noFill/>
                    </a:ln>
                  </pic:spPr>
                </pic:pic>
              </a:graphicData>
            </a:graphic>
          </wp:inline>
        </w:drawing>
      </w:r>
    </w:p>
    <w:p w14:paraId="11C1BC88" w14:textId="77777777" w:rsidR="00537FE1" w:rsidRPr="008E4EFB" w:rsidRDefault="00537FE1" w:rsidP="00ED686E">
      <w:pPr>
        <w:spacing w:line="240" w:lineRule="auto"/>
        <w:rPr>
          <w:rFonts w:ascii="Times New Roman" w:eastAsia="Times New Roman" w:hAnsi="Times New Roman" w:cs="Times New Roman"/>
          <w:sz w:val="24"/>
          <w:szCs w:val="24"/>
        </w:rPr>
      </w:pPr>
    </w:p>
    <w:p w14:paraId="2D29396C" w14:textId="4828398E" w:rsidR="00537FE1" w:rsidRPr="008E4EFB" w:rsidRDefault="00BF3347" w:rsidP="00ED686E">
      <w:pPr>
        <w:spacing w:line="240" w:lineRule="auto"/>
        <w:rPr>
          <w:rFonts w:ascii="Times New Roman" w:eastAsia="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4A34C857" wp14:editId="62B9C462">
            <wp:extent cx="5943600" cy="3705225"/>
            <wp:effectExtent l="0" t="0" r="0" b="9525"/>
            <wp:docPr id="1693338495"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38495" name="Picture 1" descr="A map of the united states&#10;&#10;Description automatically generated"/>
                    <pic:cNvPicPr/>
                  </pic:nvPicPr>
                  <pic:blipFill>
                    <a:blip r:embed="rId57"/>
                    <a:stretch>
                      <a:fillRect/>
                    </a:stretch>
                  </pic:blipFill>
                  <pic:spPr>
                    <a:xfrm>
                      <a:off x="0" y="0"/>
                      <a:ext cx="5943600" cy="3705225"/>
                    </a:xfrm>
                    <a:prstGeom prst="rect">
                      <a:avLst/>
                    </a:prstGeom>
                  </pic:spPr>
                </pic:pic>
              </a:graphicData>
            </a:graphic>
          </wp:inline>
        </w:drawing>
      </w:r>
    </w:p>
    <w:p w14:paraId="3CEAE6E8" w14:textId="3807DEAD" w:rsidR="002A0D52" w:rsidRPr="008E4EFB" w:rsidRDefault="002A0D52" w:rsidP="00ED686E">
      <w:pPr>
        <w:pStyle w:val="Caption"/>
        <w:rPr>
          <w:rFonts w:ascii="Times New Roman" w:eastAsia="Times New Roman" w:hAnsi="Times New Roman" w:cs="Times New Roman"/>
          <w:i w:val="0"/>
          <w:iCs w:val="0"/>
          <w:color w:val="auto"/>
          <w:sz w:val="24"/>
          <w:szCs w:val="24"/>
        </w:rPr>
      </w:pPr>
      <w:bookmarkStart w:id="95" w:name="_Toc179917573"/>
      <w:bookmarkStart w:id="96" w:name="_Toc179918053"/>
      <w:bookmarkStart w:id="97" w:name="_Toc184062914"/>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6</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A) Mean SOC (kg/m2) from 1990-2022 in the top 30 cm of soil. </w:t>
      </w:r>
      <w:r w:rsidRPr="008E4EFB">
        <w:rPr>
          <w:rFonts w:ascii="Times New Roman" w:eastAsia="Times New Roman" w:hAnsi="Times New Roman" w:cs="Times New Roman"/>
          <w:i w:val="0"/>
          <w:iCs w:val="0"/>
          <w:color w:val="auto"/>
          <w:sz w:val="24"/>
          <w:szCs w:val="24"/>
        </w:rPr>
        <w:t xml:space="preserve">B) </w:t>
      </w:r>
      <w:r w:rsidRPr="008E4EFB">
        <w:rPr>
          <w:rFonts w:ascii="Times New Roman" w:hAnsi="Times New Roman" w:cs="Times New Roman"/>
          <w:i w:val="0"/>
          <w:iCs w:val="0"/>
          <w:color w:val="auto"/>
          <w:sz w:val="24"/>
          <w:szCs w:val="24"/>
        </w:rPr>
        <w:t>The slope of the trendline in SOC stocks from 1990 – 2022 by pixel. Blue indicates an estimated gain in SOC and red indicates an estimated loss in SOC.</w:t>
      </w:r>
      <w:bookmarkEnd w:id="95"/>
      <w:bookmarkEnd w:id="96"/>
      <w:bookmarkEnd w:id="97"/>
    </w:p>
    <w:p w14:paraId="2FF749FB" w14:textId="3348EA64" w:rsidR="00537FE1" w:rsidRPr="008E4EFB" w:rsidRDefault="00235A8D" w:rsidP="00ED686E">
      <w:pPr>
        <w:spacing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b/>
          <w:bCs/>
          <w:noProof/>
        </w:rPr>
        <w:lastRenderedPageBreak/>
        <w:drawing>
          <wp:inline distT="0" distB="0" distL="0" distR="0" wp14:anchorId="0F54D95F" wp14:editId="7053817D">
            <wp:extent cx="5943600" cy="3698240"/>
            <wp:effectExtent l="0" t="0" r="0" b="0"/>
            <wp:docPr id="1000697176"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7176" name="Picture 1" descr="A map of the united states&#10;&#10;Description automatically generated"/>
                    <pic:cNvPicPr/>
                  </pic:nvPicPr>
                  <pic:blipFill>
                    <a:blip r:embed="rId58"/>
                    <a:stretch>
                      <a:fillRect/>
                    </a:stretch>
                  </pic:blipFill>
                  <pic:spPr>
                    <a:xfrm>
                      <a:off x="0" y="0"/>
                      <a:ext cx="5943600" cy="3698240"/>
                    </a:xfrm>
                    <a:prstGeom prst="rect">
                      <a:avLst/>
                    </a:prstGeom>
                  </pic:spPr>
                </pic:pic>
              </a:graphicData>
            </a:graphic>
          </wp:inline>
        </w:drawing>
      </w:r>
      <w:r w:rsidR="00537FE1" w:rsidRPr="008E4EFB">
        <w:rPr>
          <w:rFonts w:ascii="Times New Roman" w:eastAsia="Times New Roman" w:hAnsi="Times New Roman" w:cs="Times New Roman"/>
          <w:sz w:val="24"/>
          <w:szCs w:val="24"/>
        </w:rPr>
        <w:t xml:space="preserve">Figure </w:t>
      </w:r>
      <w:r w:rsidR="00987D24" w:rsidRPr="008E4EFB">
        <w:rPr>
          <w:rFonts w:ascii="Times New Roman" w:eastAsia="Times New Roman" w:hAnsi="Times New Roman" w:cs="Times New Roman"/>
          <w:sz w:val="24"/>
          <w:szCs w:val="24"/>
        </w:rPr>
        <w:t>6</w:t>
      </w:r>
      <w:r w:rsidR="00537FE1" w:rsidRPr="008E4EFB">
        <w:rPr>
          <w:rFonts w:ascii="Times New Roman" w:eastAsia="Times New Roman" w:hAnsi="Times New Roman" w:cs="Times New Roman"/>
          <w:sz w:val="24"/>
          <w:szCs w:val="24"/>
        </w:rPr>
        <w:t>.2</w:t>
      </w:r>
      <w:r w:rsidR="002A0D52" w:rsidRPr="008E4EFB">
        <w:rPr>
          <w:rFonts w:ascii="Times New Roman" w:eastAsia="Times New Roman" w:hAnsi="Times New Roman" w:cs="Times New Roman"/>
          <w:sz w:val="24"/>
          <w:szCs w:val="24"/>
        </w:rPr>
        <w:t xml:space="preserve"> (Continued)</w:t>
      </w:r>
    </w:p>
    <w:p w14:paraId="2848C450" w14:textId="50E7B855" w:rsidR="00537FE1" w:rsidRPr="008E4EFB" w:rsidRDefault="000C79D2" w:rsidP="00ED686E">
      <w:pPr>
        <w:spacing w:line="240" w:lineRule="auto"/>
        <w:rPr>
          <w:rFonts w:ascii="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64977E9A" wp14:editId="3F49EA33">
            <wp:extent cx="5943600" cy="4457700"/>
            <wp:effectExtent l="0" t="0" r="0" b="0"/>
            <wp:docPr id="1329601346" name="Picture 4" descr="A graph of a graph&#10;&#10;Description automatically generated with medium confidence">
              <a:extLst xmlns:a="http://schemas.openxmlformats.org/drawingml/2006/main">
                <a:ext uri="{FF2B5EF4-FFF2-40B4-BE49-F238E27FC236}">
                  <a16:creationId xmlns:a16="http://schemas.microsoft.com/office/drawing/2014/main" id="{B766DAD1-C945-F3E7-FFD1-1A78BE7C21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graph&#10;&#10;Description automatically generated with medium confidence">
                      <a:extLst>
                        <a:ext uri="{FF2B5EF4-FFF2-40B4-BE49-F238E27FC236}">
                          <a16:creationId xmlns:a16="http://schemas.microsoft.com/office/drawing/2014/main" id="{B766DAD1-C945-F3E7-FFD1-1A78BE7C2146}"/>
                        </a:ext>
                      </a:extLst>
                    </pic:cNvPr>
                    <pic:cNvPicPr>
                      <a:picLocks noChangeAspect="1"/>
                    </pic:cNvPicPr>
                  </pic:nvPicPr>
                  <pic:blipFill>
                    <a:blip r:embed="rId59"/>
                    <a:stretch>
                      <a:fillRect/>
                    </a:stretch>
                  </pic:blipFill>
                  <pic:spPr>
                    <a:xfrm>
                      <a:off x="0" y="0"/>
                      <a:ext cx="5943600" cy="4457700"/>
                    </a:xfrm>
                    <a:prstGeom prst="rect">
                      <a:avLst/>
                    </a:prstGeom>
                  </pic:spPr>
                </pic:pic>
              </a:graphicData>
            </a:graphic>
          </wp:inline>
        </w:drawing>
      </w:r>
    </w:p>
    <w:p w14:paraId="0AA00908" w14:textId="6061EB8A" w:rsidR="00537FE1" w:rsidRPr="008E4EFB" w:rsidRDefault="00154B00" w:rsidP="00ED686E">
      <w:pPr>
        <w:pStyle w:val="Caption"/>
        <w:rPr>
          <w:rFonts w:ascii="Times New Roman" w:hAnsi="Times New Roman" w:cs="Times New Roman"/>
          <w:i w:val="0"/>
          <w:iCs w:val="0"/>
          <w:color w:val="auto"/>
          <w:sz w:val="24"/>
          <w:szCs w:val="24"/>
        </w:rPr>
      </w:pPr>
      <w:bookmarkStart w:id="98" w:name="_Toc179917574"/>
      <w:bookmarkStart w:id="99" w:name="_Toc179918054"/>
      <w:bookmarkStart w:id="100" w:name="_Toc184062915"/>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6</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3</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Changes in annual SOC stocks by farm resource regi</w:t>
      </w:r>
      <w:bookmarkEnd w:id="98"/>
      <w:bookmarkEnd w:id="99"/>
      <w:r w:rsidR="009D5F79" w:rsidRPr="008E4EFB">
        <w:rPr>
          <w:rFonts w:ascii="Times New Roman" w:hAnsi="Times New Roman" w:cs="Times New Roman"/>
          <w:i w:val="0"/>
          <w:iCs w:val="0"/>
          <w:color w:val="auto"/>
          <w:sz w:val="24"/>
          <w:szCs w:val="24"/>
        </w:rPr>
        <w:t>on.</w:t>
      </w:r>
      <w:bookmarkEnd w:id="100"/>
    </w:p>
    <w:p w14:paraId="4D66673A" w14:textId="77777777" w:rsidR="00167BB4" w:rsidRDefault="00167BB4" w:rsidP="00D555F0">
      <w:pPr>
        <w:spacing w:after="0" w:line="360" w:lineRule="auto"/>
        <w:rPr>
          <w:rFonts w:ascii="Times New Roman" w:hAnsi="Times New Roman" w:cs="Times New Roman"/>
          <w:sz w:val="24"/>
          <w:szCs w:val="24"/>
        </w:rPr>
      </w:pPr>
    </w:p>
    <w:p w14:paraId="0455D324" w14:textId="77777777" w:rsidR="005564E7" w:rsidRDefault="005564E7" w:rsidP="00D555F0">
      <w:pPr>
        <w:spacing w:after="0" w:line="360" w:lineRule="auto"/>
        <w:rPr>
          <w:rFonts w:ascii="Times New Roman" w:hAnsi="Times New Roman" w:cs="Times New Roman"/>
          <w:sz w:val="24"/>
          <w:szCs w:val="24"/>
        </w:rPr>
      </w:pPr>
    </w:p>
    <w:p w14:paraId="5317E91E" w14:textId="77777777" w:rsidR="005564E7" w:rsidRDefault="005564E7" w:rsidP="00D555F0">
      <w:pPr>
        <w:spacing w:after="0" w:line="360" w:lineRule="auto"/>
        <w:rPr>
          <w:rFonts w:ascii="Times New Roman" w:hAnsi="Times New Roman" w:cs="Times New Roman"/>
          <w:sz w:val="24"/>
          <w:szCs w:val="24"/>
        </w:rPr>
      </w:pPr>
    </w:p>
    <w:p w14:paraId="3FDB0720" w14:textId="77777777" w:rsidR="005564E7" w:rsidRDefault="005564E7" w:rsidP="00D555F0">
      <w:pPr>
        <w:spacing w:after="0" w:line="360" w:lineRule="auto"/>
        <w:rPr>
          <w:rFonts w:ascii="Times New Roman" w:hAnsi="Times New Roman" w:cs="Times New Roman"/>
          <w:sz w:val="24"/>
          <w:szCs w:val="24"/>
        </w:rPr>
      </w:pPr>
    </w:p>
    <w:p w14:paraId="1E31E207" w14:textId="77777777" w:rsidR="005564E7" w:rsidRDefault="005564E7" w:rsidP="00D555F0">
      <w:pPr>
        <w:spacing w:after="0" w:line="360" w:lineRule="auto"/>
        <w:rPr>
          <w:rFonts w:ascii="Times New Roman" w:hAnsi="Times New Roman" w:cs="Times New Roman"/>
          <w:sz w:val="24"/>
          <w:szCs w:val="24"/>
        </w:rPr>
      </w:pPr>
    </w:p>
    <w:p w14:paraId="21DE347D" w14:textId="77777777" w:rsidR="005564E7" w:rsidRDefault="005564E7" w:rsidP="00D555F0">
      <w:pPr>
        <w:spacing w:after="0" w:line="360" w:lineRule="auto"/>
        <w:rPr>
          <w:rFonts w:ascii="Times New Roman" w:hAnsi="Times New Roman" w:cs="Times New Roman"/>
          <w:sz w:val="24"/>
          <w:szCs w:val="24"/>
        </w:rPr>
      </w:pPr>
    </w:p>
    <w:p w14:paraId="12D67CF7" w14:textId="77777777" w:rsidR="005564E7" w:rsidRDefault="005564E7" w:rsidP="00D555F0">
      <w:pPr>
        <w:spacing w:after="0" w:line="360" w:lineRule="auto"/>
        <w:rPr>
          <w:rFonts w:ascii="Times New Roman" w:hAnsi="Times New Roman" w:cs="Times New Roman"/>
          <w:sz w:val="24"/>
          <w:szCs w:val="24"/>
        </w:rPr>
      </w:pPr>
    </w:p>
    <w:p w14:paraId="03EE6931" w14:textId="77777777" w:rsidR="005564E7" w:rsidRDefault="005564E7" w:rsidP="00D555F0">
      <w:pPr>
        <w:spacing w:after="0" w:line="360" w:lineRule="auto"/>
        <w:rPr>
          <w:rFonts w:ascii="Times New Roman" w:hAnsi="Times New Roman" w:cs="Times New Roman"/>
          <w:sz w:val="24"/>
          <w:szCs w:val="24"/>
        </w:rPr>
      </w:pPr>
    </w:p>
    <w:p w14:paraId="59C87BB5" w14:textId="77777777" w:rsidR="005564E7" w:rsidRDefault="005564E7" w:rsidP="00D555F0">
      <w:pPr>
        <w:spacing w:after="0" w:line="360" w:lineRule="auto"/>
        <w:rPr>
          <w:rFonts w:ascii="Times New Roman" w:hAnsi="Times New Roman" w:cs="Times New Roman"/>
          <w:sz w:val="24"/>
          <w:szCs w:val="24"/>
        </w:rPr>
      </w:pPr>
    </w:p>
    <w:p w14:paraId="308881DB" w14:textId="77777777" w:rsidR="005564E7" w:rsidRDefault="005564E7" w:rsidP="00D555F0">
      <w:pPr>
        <w:spacing w:after="0" w:line="360" w:lineRule="auto"/>
        <w:rPr>
          <w:rFonts w:ascii="Times New Roman" w:hAnsi="Times New Roman" w:cs="Times New Roman"/>
          <w:sz w:val="24"/>
          <w:szCs w:val="24"/>
        </w:rPr>
      </w:pPr>
    </w:p>
    <w:p w14:paraId="5EF636F9" w14:textId="77777777" w:rsidR="005564E7" w:rsidRDefault="005564E7" w:rsidP="00D555F0">
      <w:pPr>
        <w:spacing w:after="0" w:line="360" w:lineRule="auto"/>
        <w:rPr>
          <w:rFonts w:ascii="Times New Roman" w:hAnsi="Times New Roman" w:cs="Times New Roman"/>
          <w:sz w:val="24"/>
          <w:szCs w:val="24"/>
        </w:rPr>
      </w:pPr>
    </w:p>
    <w:p w14:paraId="0FFAC36B" w14:textId="77777777" w:rsidR="005564E7" w:rsidRDefault="005564E7" w:rsidP="00D555F0">
      <w:pPr>
        <w:spacing w:after="0" w:line="360" w:lineRule="auto"/>
        <w:rPr>
          <w:rFonts w:ascii="Times New Roman" w:hAnsi="Times New Roman" w:cs="Times New Roman"/>
          <w:sz w:val="24"/>
          <w:szCs w:val="24"/>
        </w:rPr>
      </w:pPr>
    </w:p>
    <w:p w14:paraId="7581367F" w14:textId="26A7D749" w:rsidR="009D261D" w:rsidRPr="008E4EFB" w:rsidRDefault="009D261D"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lastRenderedPageBreak/>
        <w:t xml:space="preserve">Using the land cover rasters from the USGS that were part of the input datasets for the Random Forest algorithm, we separated land use classes by year and calculated the average total SOC value for each year in each land use class. We find that of the 60.4 Pg C stored in the top 30 cm of CONUS </w:t>
      </w:r>
      <w:proofErr w:type="gramStart"/>
      <w:r w:rsidRPr="008E4EFB">
        <w:rPr>
          <w:rFonts w:ascii="Times New Roman" w:hAnsi="Times New Roman" w:cs="Times New Roman"/>
          <w:sz w:val="24"/>
          <w:szCs w:val="24"/>
        </w:rPr>
        <w:t>soils</w:t>
      </w:r>
      <w:proofErr w:type="gramEnd"/>
      <w:r w:rsidRPr="008E4EFB">
        <w:rPr>
          <w:rFonts w:ascii="Times New Roman" w:hAnsi="Times New Roman" w:cs="Times New Roman"/>
          <w:sz w:val="24"/>
          <w:szCs w:val="24"/>
        </w:rPr>
        <w:t>, about a third of it is stored in shrubland and grassland soils and another third is stored in agricultural soils (</w:t>
      </w:r>
      <w:r w:rsidRPr="00427197">
        <w:rPr>
          <w:rFonts w:ascii="Times New Roman" w:hAnsi="Times New Roman" w:cs="Times New Roman"/>
          <w:b/>
          <w:bCs/>
          <w:sz w:val="24"/>
          <w:szCs w:val="24"/>
        </w:rPr>
        <w:t xml:space="preserve">Figure </w:t>
      </w:r>
      <w:r w:rsidR="004B6893" w:rsidRPr="00427197">
        <w:rPr>
          <w:rFonts w:ascii="Times New Roman" w:hAnsi="Times New Roman" w:cs="Times New Roman"/>
          <w:b/>
          <w:bCs/>
          <w:sz w:val="24"/>
          <w:szCs w:val="24"/>
        </w:rPr>
        <w:t>6.</w:t>
      </w:r>
      <w:r w:rsidRPr="00427197">
        <w:rPr>
          <w:rFonts w:ascii="Times New Roman" w:hAnsi="Times New Roman" w:cs="Times New Roman"/>
          <w:b/>
          <w:bCs/>
          <w:sz w:val="24"/>
          <w:szCs w:val="24"/>
        </w:rPr>
        <w:t>4</w:t>
      </w:r>
      <w:r w:rsidRPr="008E4EFB">
        <w:rPr>
          <w:rFonts w:ascii="Times New Roman" w:hAnsi="Times New Roman" w:cs="Times New Roman"/>
          <w:sz w:val="24"/>
          <w:szCs w:val="24"/>
        </w:rPr>
        <w:t xml:space="preserve">). Forested soils make up around a quarter of the total and the rest is split between wetlands, urban areas, barren lands and mining, and water and permanent ice or snow. </w:t>
      </w:r>
    </w:p>
    <w:p w14:paraId="5BD21F3C" w14:textId="77777777" w:rsidR="00C12D8F" w:rsidRDefault="009D261D" w:rsidP="00C12D8F">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The SOC stock in land areas that experience high annual </w:t>
      </w:r>
      <w:proofErr w:type="gramStart"/>
      <w:r w:rsidRPr="008E4EFB">
        <w:rPr>
          <w:rFonts w:ascii="Times New Roman" w:hAnsi="Times New Roman" w:cs="Times New Roman"/>
          <w:sz w:val="24"/>
          <w:szCs w:val="24"/>
        </w:rPr>
        <w:t>temperatures</w:t>
      </w:r>
      <w:proofErr w:type="gramEnd"/>
      <w:r w:rsidRPr="008E4EFB">
        <w:rPr>
          <w:rFonts w:ascii="Times New Roman" w:hAnsi="Times New Roman" w:cs="Times New Roman"/>
          <w:sz w:val="24"/>
          <w:szCs w:val="24"/>
        </w:rPr>
        <w:t xml:space="preserve"> and precipitation remains consistent at close to 65% of the total (</w:t>
      </w:r>
      <w:r w:rsidRPr="00427197">
        <w:rPr>
          <w:rFonts w:ascii="Times New Roman" w:hAnsi="Times New Roman" w:cs="Times New Roman"/>
          <w:b/>
          <w:bCs/>
          <w:sz w:val="24"/>
          <w:szCs w:val="24"/>
        </w:rPr>
        <w:t xml:space="preserve">Figure </w:t>
      </w:r>
      <w:r w:rsidR="004B6893" w:rsidRPr="00427197">
        <w:rPr>
          <w:rFonts w:ascii="Times New Roman" w:hAnsi="Times New Roman" w:cs="Times New Roman"/>
          <w:b/>
          <w:bCs/>
          <w:sz w:val="24"/>
          <w:szCs w:val="24"/>
        </w:rPr>
        <w:t>6.</w:t>
      </w:r>
      <w:r w:rsidRPr="00427197">
        <w:rPr>
          <w:rFonts w:ascii="Times New Roman" w:hAnsi="Times New Roman" w:cs="Times New Roman"/>
          <w:b/>
          <w:bCs/>
          <w:sz w:val="24"/>
          <w:szCs w:val="24"/>
        </w:rPr>
        <w:t>5</w:t>
      </w:r>
      <w:r w:rsidRPr="008E4EFB">
        <w:rPr>
          <w:rFonts w:ascii="Times New Roman" w:hAnsi="Times New Roman" w:cs="Times New Roman"/>
          <w:sz w:val="24"/>
          <w:szCs w:val="24"/>
        </w:rPr>
        <w:t xml:space="preserve">), even as the land areas that meet this qualification may change from year to year. </w:t>
      </w:r>
      <w:r w:rsidR="00C12D8F" w:rsidRPr="008E4EFB">
        <w:rPr>
          <w:rFonts w:ascii="Times New Roman" w:hAnsi="Times New Roman" w:cs="Times New Roman"/>
          <w:sz w:val="24"/>
          <w:szCs w:val="24"/>
        </w:rPr>
        <w:t>The annual percentage of SOC in land areas that have experienced higher than usual temperatures and precipitation rates (greater than the 95</w:t>
      </w:r>
      <w:r w:rsidR="00C12D8F" w:rsidRPr="008E4EFB">
        <w:rPr>
          <w:rFonts w:ascii="Times New Roman" w:hAnsi="Times New Roman" w:cs="Times New Roman"/>
          <w:sz w:val="24"/>
          <w:szCs w:val="24"/>
          <w:vertAlign w:val="superscript"/>
        </w:rPr>
        <w:t>th</w:t>
      </w:r>
      <w:r w:rsidR="00C12D8F" w:rsidRPr="008E4EFB">
        <w:rPr>
          <w:rFonts w:ascii="Times New Roman" w:hAnsi="Times New Roman" w:cs="Times New Roman"/>
          <w:sz w:val="24"/>
          <w:szCs w:val="24"/>
        </w:rPr>
        <w:t xml:space="preserve"> percentile of the entire time period for each pixel) for that year are shown in </w:t>
      </w:r>
      <w:r w:rsidR="00C12D8F" w:rsidRPr="00C12D8F">
        <w:rPr>
          <w:rFonts w:ascii="Times New Roman" w:hAnsi="Times New Roman" w:cs="Times New Roman"/>
          <w:b/>
          <w:bCs/>
          <w:sz w:val="24"/>
          <w:szCs w:val="24"/>
        </w:rPr>
        <w:t>Figure 6.5</w:t>
      </w:r>
      <w:r w:rsidR="00C12D8F" w:rsidRPr="008E4EFB">
        <w:rPr>
          <w:rFonts w:ascii="Times New Roman" w:hAnsi="Times New Roman" w:cs="Times New Roman"/>
          <w:sz w:val="24"/>
          <w:szCs w:val="24"/>
        </w:rPr>
        <w:t xml:space="preserve">. </w:t>
      </w:r>
    </w:p>
    <w:p w14:paraId="19D7B9B8" w14:textId="77777777" w:rsidR="00C12D8F" w:rsidRPr="008E4EFB" w:rsidRDefault="00C12D8F" w:rsidP="00C12D8F">
      <w:pPr>
        <w:pStyle w:val="Style3"/>
        <w:numPr>
          <w:ilvl w:val="1"/>
          <w:numId w:val="32"/>
        </w:numPr>
        <w:spacing w:before="0" w:line="360" w:lineRule="auto"/>
        <w:rPr>
          <w:rFonts w:cs="Times New Roman"/>
          <w:szCs w:val="24"/>
        </w:rPr>
      </w:pPr>
      <w:r w:rsidRPr="008E4EFB">
        <w:rPr>
          <w:rFonts w:cs="Times New Roman"/>
          <w:szCs w:val="24"/>
        </w:rPr>
        <w:t>Discussion</w:t>
      </w:r>
    </w:p>
    <w:p w14:paraId="7914AF8D" w14:textId="46BE9B49" w:rsidR="009D261D" w:rsidRPr="008E4EFB" w:rsidRDefault="00C12D8F"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Based on the difference in error metrics between the training and validation datasets, the machine learning models are overfitting the training data and therefore are not fully capturing the relationships between the input layers and the soil carbon observations. The linear regression, on the other hand, has nearly identical error metrics describing the relationship between the input layers and the SOC observations in both the training and validation datasets, meaning that around 30% of the variation in SOC (from the R</w:t>
      </w:r>
      <w:r w:rsidRPr="008E4EFB">
        <w:rPr>
          <w:rFonts w:ascii="Times New Roman" w:hAnsi="Times New Roman" w:cs="Times New Roman"/>
          <w:sz w:val="24"/>
          <w:szCs w:val="24"/>
          <w:vertAlign w:val="superscript"/>
        </w:rPr>
        <w:t>2</w:t>
      </w:r>
      <w:r w:rsidRPr="008E4EFB">
        <w:rPr>
          <w:rFonts w:ascii="Times New Roman" w:hAnsi="Times New Roman" w:cs="Times New Roman"/>
          <w:sz w:val="24"/>
          <w:szCs w:val="24"/>
        </w:rPr>
        <w:t xml:space="preserve">, </w:t>
      </w:r>
      <w:r w:rsidRPr="00C12D8F">
        <w:rPr>
          <w:rFonts w:ascii="Times New Roman" w:hAnsi="Times New Roman" w:cs="Times New Roman"/>
          <w:b/>
          <w:bCs/>
          <w:sz w:val="24"/>
          <w:szCs w:val="24"/>
        </w:rPr>
        <w:t>Table 6.1</w:t>
      </w:r>
      <w:r w:rsidRPr="008E4EFB">
        <w:rPr>
          <w:rFonts w:ascii="Times New Roman" w:hAnsi="Times New Roman" w:cs="Times New Roman"/>
          <w:sz w:val="24"/>
          <w:szCs w:val="24"/>
        </w:rPr>
        <w:t>) value can be explained by a linear relationship between climate, topography, soil moisture, greenness (NDVI), and soil organic carbon. Soil moisture is positively correlated with SOC sequestration since water availability is</w:t>
      </w:r>
      <w:r w:rsidRPr="00C12D8F">
        <w:rPr>
          <w:rFonts w:ascii="Times New Roman" w:hAnsi="Times New Roman" w:cs="Times New Roman"/>
          <w:sz w:val="24"/>
          <w:szCs w:val="24"/>
        </w:rPr>
        <w:t xml:space="preserve"> </w:t>
      </w:r>
      <w:r w:rsidRPr="008E4EFB">
        <w:rPr>
          <w:rFonts w:ascii="Times New Roman" w:hAnsi="Times New Roman" w:cs="Times New Roman"/>
          <w:sz w:val="24"/>
          <w:szCs w:val="24"/>
        </w:rPr>
        <w:t xml:space="preserve">crucial for plant growth, however, soil moisture also directly impacts the decomposition rate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{"citationID":"g3KjP0X2","properties":{"formattedCitation":"(V\\uc0\\u233{}d\\uc0\\u232{}re et al., 2022)","plainCitation":"(Védère et al., 2022)","noteIndex":0},"citationItems":[{"id":3587,"uris":["http://zotero.org/users/3110659/items/YSCAFYEG"],"itemData":{"id":3587,"type":"article-journal","abstract":"Due to its influence on multiple soil processes, water intervenes in biogeochemical cycles at multiple spatial scales with contrasting effects on soil organic carbon (SOC) dynamics. On all scales, water availability influences biological processes, such as plant growth and (micro-)biological activity, leading to organic matter input, its decomposition and stabilisation. On the other hand, SOC influences soil hydrology via its impact on soil wettability and its structural organisation. Our objectives were to review the mechanisms involved in the complex relationship between water and SOC at different scales and to discuss levers of action to improve its modelling and management. We carried out a systematic review and synthesised the information of 987 articles dealing with SOC sequestration and soil water. At the landscape scale, precipitation levels influence vegetation type and biomass production as well as horizontal and vertical transport, determining SOC stocks and their spatial distribution. At the profile scale, SOC and water both control biological processes including those involved in soil aggregate formation, and organisation of soil porosity. Soil organic matter (SOM) decomposition and stabilisation processes occur at the microscale, where water movement facilitates the co-occurrence of SOM and microorganisms. All these multiscale processes may change the nature and distribution of SOM, leading to promotion or inhibition not only of biogeochemical cycling but also of the water cycle. Taking into account these mutual feedback mechanisms in mechanistic models requires their representation at multiple scales through developing modelling parameters in particular for microbial processes occurring in the pore space. This could greatly reduce modelling uncertainty and improve our understanding of global carbon cycling. Levers of action to improve soil water status and consequently SOC accrual include irrigation, and use of organic amendments. Sustainable agricultural practices should focus on (1) optimising the management of water resources and (2) choosing crop species adapted to various water levels to maintain and foster SOC sequestration, to adapt to climate change and in particular extreme events, such as drought and flooding.","container-title":"Earth-Science Reviews","DOI":"10.1016/j.earscirev.2022.104214","ISSN":"0012-8252","journalAbbreviation":"Earth-Science Reviews","page":"104214","source":"ScienceDirect","title":"How does soil water status influence the fate of soil organic matter? A review of processes across scales","title-short":"How does soil water status influence the fate of soil organic matter?","volume":"234","author":[{"family":"Védère","given":"Charlotte"},{"family":"Lebrun","given":"Manhattan"},{"family":"Honvault","given":"Nicolas"},{"family":"Aubertin","given":"Marie-Liesse"},{"family":"Girardin","given":"Cyril"},{"family":"Garnier","given":"Patricia"},{"family":"Dignac","given":"Marie-France"},{"family":"Houben","given":"David"},{"family":"Rumpel","given":"Cornelia"}],"issued":{"date-parts":[["2022",11,1]]}}}],"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(Védère et al.,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Similarly, increased temperatures promote litter decomposition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{"citationID":"vJnnzKH5","properties":{"formattedCitation":"(Gregorich et al., 2017)","plainCitation":"(Gregorich et al., 2017)","noteIndex":0},"citationItems":[{"id":3589,"uris":["http://zotero.org/users/3110659/items/QW28WK35"],"itemData":{"id":3589,"type":"article-journal","abstract":"Widespread global changes, including rising atmospheric CO2 concentrations, climate warming and loss of biodiversity, are predicted for this century; all of these will affect terrestrial ecosystem processes like plant litter decomposition. Conversely, increased plant litter decomposition can have potential carbon-cycle feedbacks on atmospheric CO2 levels, climate warming and biodiversity. But predicting litter decomposition is difficult because of many interacting factors related to the chemical, physical and biological properties of soil, as well as to climate and agricultural management practices. We applied 13C-labelled plant litter to soil at ten sites spanning a 3500-km transect across the agricultural regions of Canada and measured its decomposition over five years. Despite large differences in soil type and climatic conditions, we found that the kinetics of litter decomposition were similar once the effect of temperature had been removed, indicating no measurable effect of soil properties. A two-pool exponential decay model expressing undecomposed carbon simply as a function of thermal time accurately described kinetics of decomposition. (R2 = 0.94; RMSE = 0.0508). Soil properties such as texture, cation exchange capacity, pH and moisture, although very different among sites, had minimal discernible influence on decomposition kinetics. Using this kinetic model under different climate change scenarios, we projected that the time required to decompose 50% of the litter (i.e. the labile fractions) would be reduced by 1–4 months, whereas time required to decompose 90% of the litter (including recalcitrant fractions) would be reduced by 1 year in cooler sites to as much as 2 years in warmer sites. These findings confirm quantitatively the sensitivity of litter decomposition to temperature increases and demonstrate how climate change may constrain future soil carbon storage, an effect apparently not influenced by soil properties.","container-title":"Global Change Biology","DOI":"10.1111/gcb.13502","ISSN":"1365-2486","issue":"4","language":"en","license":"© 2016 Her Majesty the Queen in Right of Canada. Global Change Biology. Published by 2016 John Wiley &amp; Sons Ltd.","note":"_eprint: https://onlinelibrary.wiley.com/doi/pdf/10.1111/gcb.13502","page":"1725-1734","source":"Wiley Online Library","title":"Litter decay controlled by temperature, not soil properties, affecting future soil carbon","volume":"23","author":[{"family":"Gregorich","given":"Edward G."},{"family":"Janzen","given":"Henry"},{"family":"Ellert","given":"Benjamin H."},{"family":"Helgason","given":"Bobbi L."},{"family":"Qian","given":"Budong"},{"family":"Zebarth","given":"Bernie J."},{"family":"Angers","given":"Denis A."},{"family":"Beyaert","given":"Ronald P."},{"family":"Drury","given":"Craig F."},{"family":"Duguid","given":"Scott D."},{"family":"May","given":"William E."},{"family":"McConkey","given":"Brian G."},{"family":"Dyck","given":"Miles F."}],"issued":{"date-parts":[["2017"]]}}}],"schema":"https://github.com/citation-style-language/schema/raw/master/csl-citation.json"}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(Gregorich et al., 2017)</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but this is offset by the CO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fertilization effect expected with climate change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{"citationID":"BkxCZ5aF","properties":{"formattedCitation":"(Davidson &amp; Janssens, 2006)","plainCitation":"(Davidson &amp; Janssens, 2006)","noteIndex":0},"citationItems":[{"id":3593,"uris":["http://zotero.org/users/3110659/items/FWIVYM8K"],"itemData":{"id":3593,"type":"article-journal","abstract":"Significantly more carbon is stored in the world's soils—including peatlands, wetlands and permafrost—than is present in the atmosphere. Disagreement exists, however, regarding the effects of climate change on global soil carbon stocks. If carbon stored belowground is transferred to the atmosphere by a warming-induced acceleration of its decomposition, a positive feedback to climate change would occur. Conversely, if increases of plant-derived carbon inputs to soils exceed increases in decomposition, the feedback would be negative. Despite much research, a consensus has not yet emerged on the temperature sensitivity of soil carbon decomposition. Unravelling the feedback effect is particularly difficult, because the diverse soil organic compounds exhibit a wide range of kinetic properties, which determine the intrinsic temperature sensitivity of their decomposition. Moreover, several environmental constraints obscure the intrinsic temperature sensitivity of substrate decomposition, causing lower observed ‘apparent’ temperature sensitivity, and these constraints may, themselves, be sensitive to climate.","container-title":"Nature","DOI":"10.1038/nature04514","ISSN":"1476-4687","issue":"7081","language":"en","license":"2006 Springer Nature Limited","note":"publisher: Nature Publishing Group","page":"165-173","source":"www.nature.com","title":"Temperature sensitivity of soil carbon decomposition and feedbacks to climate change","volume":"440","author":[{"family":"Davidson","given":"Eric A."},{"family":"Janssens","given":"Ivan A."}],"issued":{"date-parts":[["2006",3]]}}}],"schema":"https://github.com/citation-style-language/schema/raw/master/csl-citation.json"}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(Davidson &amp; Janssens, 2006)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Topography has a similar impact where SOC increases with elevation due to cooler temperatures and more water storage capacity, but biomass inputs and soil thickness decrease at higher elevations, leading to lower SOC sequestration </w:t>
      </w:r>
      <w:r w:rsidRPr="008E4EFB">
        <w:rPr>
          <w:rFonts w:ascii="Times New Roman" w:hAnsi="Times New Roman" w:cs="Times New Roman"/>
          <w:sz w:val="24"/>
          <w:szCs w:val="24"/>
        </w:rPr>
        <w:fldChar w:fldCharType="begin"/>
      </w:r>
      <w:r w:rsidRPr="008E4EFB">
        <w:rPr>
          <w:rFonts w:ascii="Times New Roman" w:hAnsi="Times New Roman" w:cs="Times New Roman"/>
          <w:sz w:val="24"/>
          <w:szCs w:val="24"/>
        </w:rPr>
        <w:instrText xml:space="preserve"> ADDIN ZOTERO_ITEM CSL_CITATION {"citationID":"vEEJaM1s","properties":{"formattedCitation":"(Patton et al., 2019)","plainCitation":"(Patton et al., 2019)","noteIndex":0},"citationItems":[{"id":3595,"uris":["http://zotero.org/users/3110659/items/5ECGQUKW"],"itemData":{"id":3595,"type":"article-journal","abstract":"Large uncertainties in global carbon (C) budgets stem from soil carbon estimates and associated challenges in distributing soil organic carbon (SOC) at local to landscape scales owing to lack of information on soil thickness and controls on SOC storage. Here we show that 94% of the fine-scale variation in total profile SOC within a 1.8 km2 semi-arid catchment in Idaho, U.S.A. can be explained as a function of aspect and hillslope curvature when the entire vertical dimension of SOC is measured and fine-resolution (3 m) digital elevation models are utilized. Catchment SOC stocks below 0.3 m depth based on our SOC-curvature model account for &gt;50% of the total SOC indicating substantial underestimation of stocks if sampled at shallower depths. A rapid assessment method introduced here also allows for accurate catchment-wide total SOC inventory estimation with a minimum of one soil pit and topographic data if spatial distribution of total profile SOC is not required. Comparison of multiple datasets shows generality in linear SOC-curvature and -soil thickness relationships at multiple scales. We conclude that mechanisms driving variations in carbon storage in hillslope catchment soils vary spatially at relatively small scales and can be described in a deterministic fashion given adequate topographic data.","container-title":"Scientific Reports","DOI":"10.1038/s41598-019-42556-5","ISSN":"2045-2322","issue":"1","journalAbbreviation":"Sci Rep","language":"en","license":"2019 The Author(s)","note":"publisher: Nature Publishing Group","page":"6390","source":"www.nature.com","title":"Topographic controls of soil organic carbon on soil-mantled landscapes","volume":"9","author":[{"family":"Patton","given":"Nicholas R."},{"family":"Lohse","given":"Kathleen A."},{"family":"Seyfried","given":"Mark S."},{"family":"Godsey","given":"Sarah E."},{"family":"Parsons","given":"Susan B."}],"issued":{"date-parts":[["2019",4,23]]}}}],"schema":"https://github.com/citation-style-language/schema/raw/master/csl-citation.json"} </w:instrText>
      </w:r>
      <w:r w:rsidRPr="008E4EFB">
        <w:rPr>
          <w:rFonts w:ascii="Times New Roman" w:hAnsi="Times New Roman" w:cs="Times New Roman"/>
          <w:sz w:val="24"/>
          <w:szCs w:val="24"/>
        </w:rPr>
        <w:fldChar w:fldCharType="separate"/>
      </w:r>
      <w:r w:rsidRPr="008E4EFB">
        <w:rPr>
          <w:rFonts w:ascii="Times New Roman" w:hAnsi="Times New Roman" w:cs="Times New Roman"/>
          <w:sz w:val="24"/>
          <w:szCs w:val="24"/>
        </w:rPr>
        <w:t>(Patton et al., 2019)</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The machine learning algorithms, particularly the Random Forest, improve upon this</w:t>
      </w:r>
      <w:r w:rsidRPr="00C12D8F">
        <w:rPr>
          <w:rFonts w:ascii="Times New Roman" w:hAnsi="Times New Roman" w:cs="Times New Roman"/>
          <w:sz w:val="24"/>
          <w:szCs w:val="24"/>
        </w:rPr>
        <w:t xml:space="preserve"> </w:t>
      </w:r>
      <w:r w:rsidRPr="008E4EFB">
        <w:rPr>
          <w:rFonts w:ascii="Times New Roman" w:hAnsi="Times New Roman" w:cs="Times New Roman"/>
          <w:sz w:val="24"/>
          <w:szCs w:val="24"/>
        </w:rPr>
        <w:t>understanding by quantifying these non-linear relationships. One way of doing this is, for example in the case of the KNN, to memorize the training data; the end result of applying this function is a very low R</w:t>
      </w:r>
      <w:r w:rsidRPr="008E4EFB">
        <w:rPr>
          <w:rFonts w:ascii="Times New Roman" w:hAnsi="Times New Roman" w:cs="Times New Roman"/>
          <w:sz w:val="24"/>
          <w:szCs w:val="24"/>
        </w:rPr>
        <w:softHyphen/>
      </w:r>
      <w:r w:rsidRPr="008E4EFB">
        <w:rPr>
          <w:rFonts w:ascii="Times New Roman" w:hAnsi="Times New Roman" w:cs="Times New Roman"/>
          <w:sz w:val="24"/>
          <w:szCs w:val="24"/>
          <w:vertAlign w:val="superscript"/>
        </w:rPr>
        <w:t xml:space="preserve">2 </w:t>
      </w:r>
      <w:r w:rsidRPr="008E4EFB">
        <w:rPr>
          <w:rFonts w:ascii="Times New Roman" w:hAnsi="Times New Roman" w:cs="Times New Roman"/>
          <w:sz w:val="24"/>
          <w:szCs w:val="24"/>
        </w:rPr>
        <w:t>value for the validation dataset and an output map of soil carbon that is</w:t>
      </w:r>
    </w:p>
    <w:p w14:paraId="11C3150C" w14:textId="42CB21F4" w:rsidR="00537FE1" w:rsidRPr="008E4EFB" w:rsidRDefault="005F6365" w:rsidP="00ED686E">
      <w:pPr>
        <w:spacing w:line="240" w:lineRule="auto"/>
        <w:rPr>
          <w:rFonts w:ascii="Times New Roman" w:hAnsi="Times New Roman" w:cs="Times New Roman"/>
          <w:noProof/>
          <w:sz w:val="24"/>
          <w:szCs w:val="24"/>
        </w:rPr>
      </w:pPr>
      <w:r w:rsidRPr="008E4EFB">
        <w:rPr>
          <w:noProof/>
        </w:rPr>
        <w:lastRenderedPageBreak/>
        <w:drawing>
          <wp:inline distT="0" distB="0" distL="0" distR="0" wp14:anchorId="05E25A99" wp14:editId="57BA4199">
            <wp:extent cx="4953000" cy="3320521"/>
            <wp:effectExtent l="0" t="0" r="0" b="0"/>
            <wp:docPr id="1802557003" name="Picture 1" descr="A pie chart with different colored sec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57003" name="Picture 1" descr="A pie chart with different colored sections&#10;&#10;Description automatically generated"/>
                    <pic:cNvPicPr/>
                  </pic:nvPicPr>
                  <pic:blipFill>
                    <a:blip r:embed="rId60"/>
                    <a:stretch>
                      <a:fillRect/>
                    </a:stretch>
                  </pic:blipFill>
                  <pic:spPr>
                    <a:xfrm>
                      <a:off x="0" y="0"/>
                      <a:ext cx="4960267" cy="3325393"/>
                    </a:xfrm>
                    <a:prstGeom prst="rect">
                      <a:avLst/>
                    </a:prstGeom>
                  </pic:spPr>
                </pic:pic>
              </a:graphicData>
            </a:graphic>
          </wp:inline>
        </w:drawing>
      </w:r>
    </w:p>
    <w:p w14:paraId="2E093C1C" w14:textId="26D794A0" w:rsidR="005F6365" w:rsidRDefault="00154B00" w:rsidP="00C12D8F">
      <w:pPr>
        <w:pStyle w:val="Caption"/>
        <w:rPr>
          <w:rFonts w:ascii="Times New Roman" w:hAnsi="Times New Roman" w:cs="Times New Roman"/>
          <w:i w:val="0"/>
          <w:iCs w:val="0"/>
          <w:color w:val="auto"/>
          <w:sz w:val="24"/>
          <w:szCs w:val="24"/>
        </w:rPr>
      </w:pPr>
      <w:bookmarkStart w:id="101" w:name="_Toc179917575"/>
      <w:bookmarkStart w:id="102" w:name="_Toc179918055"/>
      <w:bookmarkStart w:id="103" w:name="_Toc184062916"/>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6</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4</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SOC stocks by land cover category in the CONUS, averaged from 1990-2022.</w:t>
      </w:r>
      <w:bookmarkEnd w:id="101"/>
      <w:bookmarkEnd w:id="102"/>
      <w:bookmarkEnd w:id="103"/>
    </w:p>
    <w:p w14:paraId="7F60B372" w14:textId="77777777" w:rsidR="00C12D8F" w:rsidRDefault="00C12D8F" w:rsidP="00C12D8F"/>
    <w:p w14:paraId="60D6449F" w14:textId="77777777" w:rsidR="00C12D8F" w:rsidRDefault="00C12D8F" w:rsidP="00C12D8F"/>
    <w:p w14:paraId="629908CF" w14:textId="77777777" w:rsidR="00C12D8F" w:rsidRDefault="00C12D8F" w:rsidP="00C12D8F"/>
    <w:p w14:paraId="59FC7E3E" w14:textId="77777777" w:rsidR="00C12D8F" w:rsidRDefault="00C12D8F" w:rsidP="00C12D8F"/>
    <w:p w14:paraId="51353BC1" w14:textId="77777777" w:rsidR="00C12D8F" w:rsidRPr="00C12D8F" w:rsidRDefault="00C12D8F" w:rsidP="00C12D8F"/>
    <w:p w14:paraId="50E3FDB6" w14:textId="77777777" w:rsidR="00C65D39" w:rsidRPr="008E4EFB" w:rsidRDefault="00C65D39" w:rsidP="00ED686E">
      <w:pPr>
        <w:spacing w:line="240" w:lineRule="auto"/>
        <w:rPr>
          <w:rFonts w:ascii="Times New Roman" w:hAnsi="Times New Roman" w:cs="Times New Roman"/>
          <w:sz w:val="24"/>
          <w:szCs w:val="24"/>
        </w:rPr>
      </w:pPr>
    </w:p>
    <w:p w14:paraId="774C04F1" w14:textId="5F5A80BA" w:rsidR="00537FE1" w:rsidRPr="008E4EFB" w:rsidRDefault="00537FE1" w:rsidP="00ED686E">
      <w:pPr>
        <w:spacing w:line="240" w:lineRule="auto"/>
        <w:rPr>
          <w:rFonts w:ascii="Times New Roman" w:hAnsi="Times New Roman" w:cs="Times New Roman"/>
          <w:sz w:val="24"/>
          <w:szCs w:val="24"/>
        </w:rPr>
      </w:pPr>
      <w:r w:rsidRPr="008E4EFB">
        <w:rPr>
          <w:rFonts w:ascii="Times New Roman" w:hAnsi="Times New Roman" w:cs="Times New Roman"/>
          <w:noProof/>
          <w:sz w:val="24"/>
          <w:szCs w:val="24"/>
        </w:rPr>
        <w:lastRenderedPageBreak/>
        <w:drawing>
          <wp:inline distT="0" distB="0" distL="0" distR="0" wp14:anchorId="5C906DEA" wp14:editId="2BD596F5">
            <wp:extent cx="5943600" cy="3116580"/>
            <wp:effectExtent l="0" t="0" r="0" b="7620"/>
            <wp:docPr id="1067927347" name="Picture 1" descr="A graph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27347" name="Picture 1" descr="A graph of different colors&#10;&#10;Description automatically generated with medium confidence"/>
                    <pic:cNvPicPr/>
                  </pic:nvPicPr>
                  <pic:blipFill>
                    <a:blip r:embed="rId61"/>
                    <a:stretch>
                      <a:fillRect/>
                    </a:stretch>
                  </pic:blipFill>
                  <pic:spPr>
                    <a:xfrm>
                      <a:off x="0" y="0"/>
                      <a:ext cx="5943600" cy="3116580"/>
                    </a:xfrm>
                    <a:prstGeom prst="rect">
                      <a:avLst/>
                    </a:prstGeom>
                  </pic:spPr>
                </pic:pic>
              </a:graphicData>
            </a:graphic>
          </wp:inline>
        </w:drawing>
      </w:r>
    </w:p>
    <w:p w14:paraId="3A667847" w14:textId="12EFCB55" w:rsidR="00537FE1" w:rsidRPr="008E4EFB" w:rsidRDefault="00154B00" w:rsidP="00ED686E">
      <w:pPr>
        <w:pStyle w:val="Caption"/>
        <w:rPr>
          <w:rFonts w:ascii="Times New Roman" w:hAnsi="Times New Roman" w:cs="Times New Roman"/>
          <w:i w:val="0"/>
          <w:iCs w:val="0"/>
          <w:color w:val="auto"/>
          <w:sz w:val="24"/>
          <w:szCs w:val="24"/>
        </w:rPr>
      </w:pPr>
      <w:bookmarkStart w:id="104" w:name="_Toc179917576"/>
      <w:bookmarkStart w:id="105" w:name="_Toc179918056"/>
      <w:bookmarkStart w:id="106" w:name="_Toc184062917"/>
      <w:r w:rsidRPr="008E4EFB">
        <w:rPr>
          <w:rFonts w:ascii="Times New Roman" w:hAnsi="Times New Roman" w:cs="Times New Roman"/>
          <w:i w:val="0"/>
          <w:iCs w:val="0"/>
          <w:color w:val="auto"/>
          <w:sz w:val="24"/>
          <w:szCs w:val="24"/>
        </w:rPr>
        <w:t xml:space="preserve">Figure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6</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Figure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5</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Annual percentage of SOC stocks contained in land areas with maximum temperatures greater than the 95th percentile of the maximum temperature from 1990-2022 (red), </w:t>
      </w:r>
      <w:r w:rsidR="00537FE1" w:rsidRPr="008E4EFB">
        <w:rPr>
          <w:rFonts w:ascii="Times New Roman" w:hAnsi="Times New Roman" w:cs="Times New Roman"/>
          <w:i w:val="0"/>
          <w:iCs w:val="0"/>
          <w:color w:val="auto"/>
          <w:sz w:val="24"/>
          <w:szCs w:val="24"/>
        </w:rPr>
        <w:t>with maximum temperatures less than the 95</w:t>
      </w:r>
      <w:r w:rsidR="00537FE1" w:rsidRPr="008E4EFB">
        <w:rPr>
          <w:rFonts w:ascii="Times New Roman" w:hAnsi="Times New Roman" w:cs="Times New Roman"/>
          <w:i w:val="0"/>
          <w:iCs w:val="0"/>
          <w:color w:val="auto"/>
          <w:sz w:val="24"/>
          <w:szCs w:val="24"/>
          <w:vertAlign w:val="superscript"/>
        </w:rPr>
        <w:t>th</w:t>
      </w:r>
      <w:r w:rsidR="00537FE1" w:rsidRPr="008E4EFB">
        <w:rPr>
          <w:rFonts w:ascii="Times New Roman" w:hAnsi="Times New Roman" w:cs="Times New Roman"/>
          <w:i w:val="0"/>
          <w:iCs w:val="0"/>
          <w:color w:val="auto"/>
          <w:sz w:val="24"/>
          <w:szCs w:val="24"/>
        </w:rPr>
        <w:t xml:space="preserve"> percentile of the maximum temperature from 1990-2022 (pink), with annual precipitation greater than the 95</w:t>
      </w:r>
      <w:r w:rsidR="00537FE1" w:rsidRPr="008E4EFB">
        <w:rPr>
          <w:rFonts w:ascii="Times New Roman" w:hAnsi="Times New Roman" w:cs="Times New Roman"/>
          <w:i w:val="0"/>
          <w:iCs w:val="0"/>
          <w:color w:val="auto"/>
          <w:sz w:val="24"/>
          <w:szCs w:val="24"/>
          <w:vertAlign w:val="superscript"/>
        </w:rPr>
        <w:t>th</w:t>
      </w:r>
      <w:r w:rsidR="00537FE1" w:rsidRPr="008E4EFB">
        <w:rPr>
          <w:rFonts w:ascii="Times New Roman" w:hAnsi="Times New Roman" w:cs="Times New Roman"/>
          <w:i w:val="0"/>
          <w:iCs w:val="0"/>
          <w:color w:val="auto"/>
          <w:sz w:val="24"/>
          <w:szCs w:val="24"/>
        </w:rPr>
        <w:t xml:space="preserve"> percentile of the annual precipitation from 1990-2022 (dark blue), and with annual precipitation less than the 95</w:t>
      </w:r>
      <w:r w:rsidR="00537FE1" w:rsidRPr="008E4EFB">
        <w:rPr>
          <w:rFonts w:ascii="Times New Roman" w:hAnsi="Times New Roman" w:cs="Times New Roman"/>
          <w:i w:val="0"/>
          <w:iCs w:val="0"/>
          <w:color w:val="auto"/>
          <w:sz w:val="24"/>
          <w:szCs w:val="24"/>
          <w:vertAlign w:val="superscript"/>
        </w:rPr>
        <w:t>th</w:t>
      </w:r>
      <w:r w:rsidR="00537FE1" w:rsidRPr="008E4EFB">
        <w:rPr>
          <w:rFonts w:ascii="Times New Roman" w:hAnsi="Times New Roman" w:cs="Times New Roman"/>
          <w:i w:val="0"/>
          <w:iCs w:val="0"/>
          <w:color w:val="auto"/>
          <w:sz w:val="24"/>
          <w:szCs w:val="24"/>
        </w:rPr>
        <w:t xml:space="preserve"> percentile of the annual precipitation from 1990-2022 (light blue). SOC stocks are calculated on a per pixel basis, with each pixel either exceeding or being less than the 95</w:t>
      </w:r>
      <w:r w:rsidR="00537FE1" w:rsidRPr="008E4EFB">
        <w:rPr>
          <w:rFonts w:ascii="Times New Roman" w:hAnsi="Times New Roman" w:cs="Times New Roman"/>
          <w:i w:val="0"/>
          <w:iCs w:val="0"/>
          <w:color w:val="auto"/>
          <w:sz w:val="24"/>
          <w:szCs w:val="24"/>
          <w:vertAlign w:val="superscript"/>
        </w:rPr>
        <w:t>th</w:t>
      </w:r>
      <w:r w:rsidR="00537FE1" w:rsidRPr="008E4EFB">
        <w:rPr>
          <w:rFonts w:ascii="Times New Roman" w:hAnsi="Times New Roman" w:cs="Times New Roman"/>
          <w:i w:val="0"/>
          <w:iCs w:val="0"/>
          <w:color w:val="auto"/>
          <w:sz w:val="24"/>
          <w:szCs w:val="24"/>
        </w:rPr>
        <w:t xml:space="preserve"> percentile of the entire time period for that pixel.</w:t>
      </w:r>
      <w:bookmarkEnd w:id="104"/>
      <w:bookmarkEnd w:id="105"/>
      <w:bookmarkEnd w:id="106"/>
      <w:r w:rsidR="00537FE1" w:rsidRPr="008E4EFB">
        <w:rPr>
          <w:rFonts w:ascii="Times New Roman" w:hAnsi="Times New Roman" w:cs="Times New Roman"/>
          <w:i w:val="0"/>
          <w:iCs w:val="0"/>
          <w:color w:val="auto"/>
          <w:sz w:val="24"/>
          <w:szCs w:val="24"/>
        </w:rPr>
        <w:t xml:space="preserve"> </w:t>
      </w:r>
    </w:p>
    <w:p w14:paraId="17A0B87B" w14:textId="77777777" w:rsidR="003310B8" w:rsidRDefault="003310B8">
      <w:pPr>
        <w:rPr>
          <w:rFonts w:ascii="Times New Roman" w:hAnsi="Times New Roman" w:cs="Times New Roman"/>
          <w:sz w:val="24"/>
          <w:szCs w:val="24"/>
        </w:rPr>
      </w:pPr>
      <w:r>
        <w:rPr>
          <w:rFonts w:ascii="Times New Roman" w:hAnsi="Times New Roman" w:cs="Times New Roman"/>
          <w:i/>
          <w:iCs/>
          <w:sz w:val="24"/>
          <w:szCs w:val="24"/>
        </w:rPr>
        <w:br w:type="page"/>
      </w:r>
    </w:p>
    <w:p w14:paraId="082116D6" w14:textId="1895EB48" w:rsidR="00537FE1" w:rsidRPr="008E4EFB" w:rsidRDefault="00C2009E" w:rsidP="00ED686E">
      <w:pPr>
        <w:pStyle w:val="Caption"/>
        <w:rPr>
          <w:rFonts w:ascii="Times New Roman" w:hAnsi="Times New Roman" w:cs="Times New Roman"/>
          <w:i w:val="0"/>
          <w:iCs w:val="0"/>
          <w:color w:val="auto"/>
          <w:sz w:val="24"/>
          <w:szCs w:val="24"/>
        </w:rPr>
      </w:pPr>
      <w:bookmarkStart w:id="107" w:name="_Toc184062960"/>
      <w:r w:rsidRPr="008E4EFB">
        <w:rPr>
          <w:rFonts w:ascii="Times New Roman" w:hAnsi="Times New Roman" w:cs="Times New Roman"/>
          <w:i w:val="0"/>
          <w:iCs w:val="0"/>
          <w:color w:val="auto"/>
          <w:sz w:val="24"/>
          <w:szCs w:val="24"/>
        </w:rPr>
        <w:lastRenderedPageBreak/>
        <w:t xml:space="preserve">Table </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STYLEREF 1 \s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6</w:t>
      </w:r>
      <w:r w:rsidR="00216FF7">
        <w:rPr>
          <w:rFonts w:ascii="Times New Roman" w:hAnsi="Times New Roman" w:cs="Times New Roman"/>
          <w:i w:val="0"/>
          <w:iCs w:val="0"/>
          <w:color w:val="auto"/>
          <w:sz w:val="24"/>
          <w:szCs w:val="24"/>
        </w:rPr>
        <w:fldChar w:fldCharType="end"/>
      </w:r>
      <w:r w:rsidR="00216FF7">
        <w:rPr>
          <w:rFonts w:ascii="Times New Roman" w:hAnsi="Times New Roman" w:cs="Times New Roman"/>
          <w:i w:val="0"/>
          <w:iCs w:val="0"/>
          <w:color w:val="auto"/>
          <w:sz w:val="24"/>
          <w:szCs w:val="24"/>
        </w:rPr>
        <w:t>.</w:t>
      </w:r>
      <w:r w:rsidR="00216FF7">
        <w:rPr>
          <w:rFonts w:ascii="Times New Roman" w:hAnsi="Times New Roman" w:cs="Times New Roman"/>
          <w:i w:val="0"/>
          <w:iCs w:val="0"/>
          <w:color w:val="auto"/>
          <w:sz w:val="24"/>
          <w:szCs w:val="24"/>
        </w:rPr>
        <w:fldChar w:fldCharType="begin"/>
      </w:r>
      <w:r w:rsidR="00216FF7">
        <w:rPr>
          <w:rFonts w:ascii="Times New Roman" w:hAnsi="Times New Roman" w:cs="Times New Roman"/>
          <w:i w:val="0"/>
          <w:iCs w:val="0"/>
          <w:color w:val="auto"/>
          <w:sz w:val="24"/>
          <w:szCs w:val="24"/>
        </w:rPr>
        <w:instrText xml:space="preserve"> SEQ Table \* ARABIC \s 1 </w:instrText>
      </w:r>
      <w:r w:rsidR="00216FF7">
        <w:rPr>
          <w:rFonts w:ascii="Times New Roman" w:hAnsi="Times New Roman" w:cs="Times New Roman"/>
          <w:i w:val="0"/>
          <w:iCs w:val="0"/>
          <w:color w:val="auto"/>
          <w:sz w:val="24"/>
          <w:szCs w:val="24"/>
        </w:rPr>
        <w:fldChar w:fldCharType="separate"/>
      </w:r>
      <w:r w:rsidR="00216FF7">
        <w:rPr>
          <w:rFonts w:ascii="Times New Roman" w:hAnsi="Times New Roman" w:cs="Times New Roman"/>
          <w:i w:val="0"/>
          <w:iCs w:val="0"/>
          <w:noProof/>
          <w:color w:val="auto"/>
          <w:sz w:val="24"/>
          <w:szCs w:val="24"/>
        </w:rPr>
        <w:t>2</w:t>
      </w:r>
      <w:r w:rsidR="00216FF7">
        <w:rPr>
          <w:rFonts w:ascii="Times New Roman" w:hAnsi="Times New Roman" w:cs="Times New Roman"/>
          <w:i w:val="0"/>
          <w:iCs w:val="0"/>
          <w:color w:val="auto"/>
          <w:sz w:val="24"/>
          <w:szCs w:val="24"/>
        </w:rPr>
        <w:fldChar w:fldCharType="end"/>
      </w:r>
      <w:r w:rsidRPr="008E4EFB">
        <w:rPr>
          <w:rFonts w:ascii="Times New Roman" w:hAnsi="Times New Roman" w:cs="Times New Roman"/>
          <w:i w:val="0"/>
          <w:iCs w:val="0"/>
          <w:color w:val="auto"/>
          <w:sz w:val="24"/>
          <w:szCs w:val="24"/>
        </w:rPr>
        <w:t xml:space="preserve"> Modeled SOC values for the CONUS from recent literature. My study is highlighted in green. Acronyms are included below the table for improved reading comprehension.</w:t>
      </w:r>
      <w:bookmarkEnd w:id="107"/>
    </w:p>
    <w:tbl>
      <w:tblPr>
        <w:tblStyle w:val="PlainTable5"/>
        <w:tblW w:w="9389" w:type="dxa"/>
        <w:tblLook w:val="04A0" w:firstRow="1" w:lastRow="0" w:firstColumn="1" w:lastColumn="0" w:noHBand="0" w:noVBand="1"/>
      </w:tblPr>
      <w:tblGrid>
        <w:gridCol w:w="1830"/>
        <w:gridCol w:w="846"/>
        <w:gridCol w:w="1257"/>
        <w:gridCol w:w="1861"/>
        <w:gridCol w:w="1496"/>
        <w:gridCol w:w="2099"/>
      </w:tblGrid>
      <w:tr w:rsidR="008E4EFB" w:rsidRPr="003310B8" w14:paraId="70AE5AE8" w14:textId="77777777" w:rsidTr="000C6A78">
        <w:trPr>
          <w:cnfStyle w:val="100000000000" w:firstRow="1" w:lastRow="0" w:firstColumn="0" w:lastColumn="0" w:oddVBand="0" w:evenVBand="0" w:oddHBand="0" w:evenHBand="0" w:firstRowFirstColumn="0" w:firstRowLastColumn="0" w:lastRowFirstColumn="0" w:lastRowLastColumn="0"/>
          <w:trHeight w:val="305"/>
        </w:trPr>
        <w:tc>
          <w:tcPr>
            <w:cnfStyle w:val="001000000100" w:firstRow="0" w:lastRow="0" w:firstColumn="1" w:lastColumn="0" w:oddVBand="0" w:evenVBand="0" w:oddHBand="0" w:evenHBand="0" w:firstRowFirstColumn="1" w:firstRowLastColumn="0" w:lastRowFirstColumn="0" w:lastRowLastColumn="0"/>
            <w:tcW w:w="1830" w:type="dxa"/>
            <w:noWrap/>
            <w:hideMark/>
          </w:tcPr>
          <w:p w14:paraId="76CC29D7" w14:textId="77777777" w:rsidR="00F6597D" w:rsidRPr="003310B8" w:rsidRDefault="00F6597D" w:rsidP="003310B8">
            <w:pPr>
              <w:jc w:val="center"/>
              <w:rPr>
                <w:rFonts w:ascii="Times New Roman" w:eastAsia="Times New Roman" w:hAnsi="Times New Roman" w:cs="Times New Roman"/>
                <w:i w:val="0"/>
                <w:iCs w:val="0"/>
                <w:sz w:val="24"/>
                <w:szCs w:val="24"/>
              </w:rPr>
            </w:pPr>
            <w:r w:rsidRPr="003310B8">
              <w:rPr>
                <w:rFonts w:ascii="Times New Roman" w:eastAsia="Times New Roman" w:hAnsi="Times New Roman" w:cs="Times New Roman"/>
                <w:i w:val="0"/>
                <w:iCs w:val="0"/>
                <w:sz w:val="24"/>
                <w:szCs w:val="24"/>
              </w:rPr>
              <w:t>Study</w:t>
            </w:r>
          </w:p>
        </w:tc>
        <w:tc>
          <w:tcPr>
            <w:tcW w:w="846" w:type="dxa"/>
            <w:noWrap/>
            <w:hideMark/>
          </w:tcPr>
          <w:p w14:paraId="116E269A" w14:textId="77777777" w:rsidR="00F6597D" w:rsidRPr="003310B8" w:rsidRDefault="00F6597D" w:rsidP="003310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sz w:val="24"/>
                <w:szCs w:val="24"/>
              </w:rPr>
            </w:pPr>
            <w:r w:rsidRPr="003310B8">
              <w:rPr>
                <w:rFonts w:ascii="Times New Roman" w:eastAsia="Times New Roman" w:hAnsi="Times New Roman" w:cs="Times New Roman"/>
                <w:i w:val="0"/>
                <w:iCs w:val="0"/>
                <w:sz w:val="24"/>
                <w:szCs w:val="24"/>
              </w:rPr>
              <w:t>SOC (Pg C)</w:t>
            </w:r>
          </w:p>
        </w:tc>
        <w:tc>
          <w:tcPr>
            <w:tcW w:w="1257" w:type="dxa"/>
            <w:noWrap/>
            <w:hideMark/>
          </w:tcPr>
          <w:p w14:paraId="49CBA169" w14:textId="77777777" w:rsidR="00F6597D" w:rsidRPr="003310B8" w:rsidRDefault="00F6597D" w:rsidP="003310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sz w:val="24"/>
                <w:szCs w:val="24"/>
              </w:rPr>
            </w:pPr>
            <w:r w:rsidRPr="003310B8">
              <w:rPr>
                <w:rFonts w:ascii="Times New Roman" w:eastAsia="Times New Roman" w:hAnsi="Times New Roman" w:cs="Times New Roman"/>
                <w:i w:val="0"/>
                <w:iCs w:val="0"/>
                <w:sz w:val="24"/>
                <w:szCs w:val="24"/>
              </w:rPr>
              <w:t>Resolution</w:t>
            </w:r>
          </w:p>
        </w:tc>
        <w:tc>
          <w:tcPr>
            <w:tcW w:w="1861" w:type="dxa"/>
            <w:noWrap/>
            <w:hideMark/>
          </w:tcPr>
          <w:p w14:paraId="23FC0D37" w14:textId="77777777" w:rsidR="00F6597D" w:rsidRPr="003310B8" w:rsidRDefault="00F6597D" w:rsidP="003310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sz w:val="24"/>
                <w:szCs w:val="24"/>
              </w:rPr>
            </w:pPr>
            <w:r w:rsidRPr="003310B8">
              <w:rPr>
                <w:rFonts w:ascii="Times New Roman" w:eastAsia="Times New Roman" w:hAnsi="Times New Roman" w:cs="Times New Roman"/>
                <w:i w:val="0"/>
                <w:iCs w:val="0"/>
                <w:sz w:val="24"/>
                <w:szCs w:val="24"/>
              </w:rPr>
              <w:t>Method</w:t>
            </w:r>
          </w:p>
        </w:tc>
        <w:tc>
          <w:tcPr>
            <w:tcW w:w="1496" w:type="dxa"/>
            <w:hideMark/>
          </w:tcPr>
          <w:p w14:paraId="1793C92E" w14:textId="77777777" w:rsidR="00F6597D" w:rsidRPr="003310B8" w:rsidRDefault="00F6597D" w:rsidP="003310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sz w:val="24"/>
                <w:szCs w:val="24"/>
              </w:rPr>
            </w:pPr>
            <w:r w:rsidRPr="003310B8">
              <w:rPr>
                <w:rFonts w:ascii="Times New Roman" w:eastAsia="Times New Roman" w:hAnsi="Times New Roman" w:cs="Times New Roman"/>
                <w:i w:val="0"/>
                <w:iCs w:val="0"/>
                <w:sz w:val="24"/>
                <w:szCs w:val="24"/>
              </w:rPr>
              <w:t>SOC Datasets (CONUS only)</w:t>
            </w:r>
          </w:p>
        </w:tc>
        <w:tc>
          <w:tcPr>
            <w:tcW w:w="2099" w:type="dxa"/>
            <w:noWrap/>
            <w:hideMark/>
          </w:tcPr>
          <w:p w14:paraId="1B99A728" w14:textId="77777777" w:rsidR="00F6597D" w:rsidRPr="003310B8" w:rsidRDefault="00F6597D" w:rsidP="003310B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sz w:val="24"/>
                <w:szCs w:val="24"/>
              </w:rPr>
            </w:pPr>
            <w:r w:rsidRPr="003310B8">
              <w:rPr>
                <w:rFonts w:ascii="Times New Roman" w:eastAsia="Times New Roman" w:hAnsi="Times New Roman" w:cs="Times New Roman"/>
                <w:i w:val="0"/>
                <w:iCs w:val="0"/>
                <w:sz w:val="24"/>
                <w:szCs w:val="24"/>
              </w:rPr>
              <w:t>Time Period</w:t>
            </w:r>
          </w:p>
        </w:tc>
      </w:tr>
      <w:tr w:rsidR="008E4EFB" w:rsidRPr="003310B8" w14:paraId="1BA7DFE8" w14:textId="77777777" w:rsidTr="000C6A78">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830" w:type="dxa"/>
            <w:hideMark/>
          </w:tcPr>
          <w:p w14:paraId="6BE26B04" w14:textId="77777777" w:rsidR="00F6597D" w:rsidRPr="003310B8" w:rsidRDefault="00F6597D" w:rsidP="003310B8">
            <w:pPr>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Bliss et al., 2014 (using SSURGO)</w:t>
            </w:r>
          </w:p>
        </w:tc>
        <w:tc>
          <w:tcPr>
            <w:tcW w:w="846" w:type="dxa"/>
            <w:hideMark/>
          </w:tcPr>
          <w:p w14:paraId="683078A7"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29.3</w:t>
            </w:r>
          </w:p>
        </w:tc>
        <w:tc>
          <w:tcPr>
            <w:tcW w:w="1257" w:type="dxa"/>
            <w:hideMark/>
          </w:tcPr>
          <w:p w14:paraId="269196C8"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30 m</w:t>
            </w:r>
          </w:p>
        </w:tc>
        <w:tc>
          <w:tcPr>
            <w:tcW w:w="1861" w:type="dxa"/>
            <w:hideMark/>
          </w:tcPr>
          <w:p w14:paraId="3A5230A7"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percentage of SOM from soil surveys</w:t>
            </w:r>
          </w:p>
        </w:tc>
        <w:tc>
          <w:tcPr>
            <w:tcW w:w="1496" w:type="dxa"/>
            <w:hideMark/>
          </w:tcPr>
          <w:p w14:paraId="7E2140C5"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SSURGO, STATSGO2</w:t>
            </w:r>
          </w:p>
        </w:tc>
        <w:tc>
          <w:tcPr>
            <w:tcW w:w="2099" w:type="dxa"/>
            <w:hideMark/>
          </w:tcPr>
          <w:p w14:paraId="5CBEB80E"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Not stated</w:t>
            </w:r>
          </w:p>
        </w:tc>
      </w:tr>
      <w:tr w:rsidR="008E4EFB" w:rsidRPr="003310B8" w14:paraId="593E9949" w14:textId="77777777" w:rsidTr="000C6A78">
        <w:trPr>
          <w:trHeight w:val="810"/>
        </w:trPr>
        <w:tc>
          <w:tcPr>
            <w:cnfStyle w:val="001000000000" w:firstRow="0" w:lastRow="0" w:firstColumn="1" w:lastColumn="0" w:oddVBand="0" w:evenVBand="0" w:oddHBand="0" w:evenHBand="0" w:firstRowFirstColumn="0" w:firstRowLastColumn="0" w:lastRowFirstColumn="0" w:lastRowLastColumn="0"/>
            <w:tcW w:w="1830" w:type="dxa"/>
            <w:hideMark/>
          </w:tcPr>
          <w:p w14:paraId="12459390" w14:textId="77777777" w:rsidR="00F6597D" w:rsidRPr="003310B8" w:rsidRDefault="00F6597D" w:rsidP="003310B8">
            <w:pPr>
              <w:spacing w:before="240"/>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Wang et al., 2024</w:t>
            </w:r>
          </w:p>
        </w:tc>
        <w:tc>
          <w:tcPr>
            <w:tcW w:w="846" w:type="dxa"/>
            <w:hideMark/>
          </w:tcPr>
          <w:p w14:paraId="123AAB58"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35.4</w:t>
            </w:r>
          </w:p>
        </w:tc>
        <w:tc>
          <w:tcPr>
            <w:tcW w:w="1257" w:type="dxa"/>
            <w:hideMark/>
          </w:tcPr>
          <w:p w14:paraId="6FCC1300"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1 km</w:t>
            </w:r>
          </w:p>
        </w:tc>
        <w:tc>
          <w:tcPr>
            <w:tcW w:w="1861" w:type="dxa"/>
            <w:hideMark/>
          </w:tcPr>
          <w:p w14:paraId="0301E482"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multivariate geographic clustering, RF</w:t>
            </w:r>
          </w:p>
        </w:tc>
        <w:tc>
          <w:tcPr>
            <w:tcW w:w="1496" w:type="dxa"/>
            <w:hideMark/>
          </w:tcPr>
          <w:p w14:paraId="7AA80C4A"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ISCN, NEON</w:t>
            </w:r>
          </w:p>
        </w:tc>
        <w:tc>
          <w:tcPr>
            <w:tcW w:w="2099" w:type="dxa"/>
            <w:hideMark/>
          </w:tcPr>
          <w:p w14:paraId="1BEC7483"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Soil samples from 1920s to 2010s, bioclimatic variables from 1970-2000, MODIS from 2000-2015</w:t>
            </w:r>
          </w:p>
        </w:tc>
      </w:tr>
      <w:tr w:rsidR="008E4EFB" w:rsidRPr="003310B8" w14:paraId="4CB2EC0F" w14:textId="77777777" w:rsidTr="000C6A7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830" w:type="dxa"/>
            <w:hideMark/>
          </w:tcPr>
          <w:p w14:paraId="518B5B3D" w14:textId="77777777" w:rsidR="00F6597D" w:rsidRPr="003310B8" w:rsidRDefault="00F6597D" w:rsidP="003310B8">
            <w:pPr>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HWSD-NCSCD</w:t>
            </w:r>
          </w:p>
        </w:tc>
        <w:tc>
          <w:tcPr>
            <w:tcW w:w="846" w:type="dxa"/>
            <w:hideMark/>
          </w:tcPr>
          <w:p w14:paraId="6A380534"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33.4</w:t>
            </w:r>
          </w:p>
        </w:tc>
        <w:tc>
          <w:tcPr>
            <w:tcW w:w="1257" w:type="dxa"/>
            <w:hideMark/>
          </w:tcPr>
          <w:p w14:paraId="022C9820"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1 km</w:t>
            </w:r>
          </w:p>
        </w:tc>
        <w:tc>
          <w:tcPr>
            <w:tcW w:w="1861" w:type="dxa"/>
            <w:hideMark/>
          </w:tcPr>
          <w:p w14:paraId="03D4BD40"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3310B8">
              <w:rPr>
                <w:rFonts w:ascii="Times New Roman" w:eastAsia="Times New Roman" w:hAnsi="Times New Roman" w:cs="Times New Roman"/>
                <w:sz w:val="24"/>
                <w:szCs w:val="24"/>
              </w:rPr>
              <w:t>Taxotransfer</w:t>
            </w:r>
            <w:proofErr w:type="spellEnd"/>
            <w:r w:rsidRPr="003310B8">
              <w:rPr>
                <w:rFonts w:ascii="Times New Roman" w:eastAsia="Times New Roman" w:hAnsi="Times New Roman" w:cs="Times New Roman"/>
                <w:sz w:val="24"/>
                <w:szCs w:val="24"/>
              </w:rPr>
              <w:t xml:space="preserve"> procedure</w:t>
            </w:r>
          </w:p>
        </w:tc>
        <w:tc>
          <w:tcPr>
            <w:tcW w:w="1496" w:type="dxa"/>
            <w:hideMark/>
          </w:tcPr>
          <w:p w14:paraId="136CE785"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ISRIC-WISE</w:t>
            </w:r>
          </w:p>
        </w:tc>
        <w:tc>
          <w:tcPr>
            <w:tcW w:w="2099" w:type="dxa"/>
            <w:hideMark/>
          </w:tcPr>
          <w:p w14:paraId="53FA8451"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Not stated</w:t>
            </w:r>
          </w:p>
        </w:tc>
      </w:tr>
      <w:tr w:rsidR="008E4EFB" w:rsidRPr="003310B8" w14:paraId="04C621C1" w14:textId="77777777" w:rsidTr="000C6A78">
        <w:trPr>
          <w:trHeight w:val="702"/>
        </w:trPr>
        <w:tc>
          <w:tcPr>
            <w:cnfStyle w:val="001000000000" w:firstRow="0" w:lastRow="0" w:firstColumn="1" w:lastColumn="0" w:oddVBand="0" w:evenVBand="0" w:oddHBand="0" w:evenHBand="0" w:firstRowFirstColumn="0" w:firstRowLastColumn="0" w:lastRowFirstColumn="0" w:lastRowLastColumn="0"/>
            <w:tcW w:w="1830" w:type="dxa"/>
            <w:hideMark/>
          </w:tcPr>
          <w:p w14:paraId="0716C854" w14:textId="77777777" w:rsidR="00F6597D" w:rsidRPr="003310B8" w:rsidRDefault="00F6597D" w:rsidP="003310B8">
            <w:pPr>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Poggio et al., 2021 (</w:t>
            </w:r>
            <w:proofErr w:type="spellStart"/>
            <w:r w:rsidRPr="003310B8">
              <w:rPr>
                <w:rFonts w:ascii="Times New Roman" w:eastAsia="Times New Roman" w:hAnsi="Times New Roman" w:cs="Times New Roman"/>
                <w:sz w:val="24"/>
                <w:szCs w:val="24"/>
              </w:rPr>
              <w:t>SoilGrids</w:t>
            </w:r>
            <w:proofErr w:type="spellEnd"/>
            <w:r w:rsidRPr="003310B8">
              <w:rPr>
                <w:rFonts w:ascii="Times New Roman" w:eastAsia="Times New Roman" w:hAnsi="Times New Roman" w:cs="Times New Roman"/>
                <w:sz w:val="24"/>
                <w:szCs w:val="24"/>
              </w:rPr>
              <w:t xml:space="preserve"> 2.0)</w:t>
            </w:r>
          </w:p>
        </w:tc>
        <w:tc>
          <w:tcPr>
            <w:tcW w:w="846" w:type="dxa"/>
            <w:hideMark/>
          </w:tcPr>
          <w:p w14:paraId="100FFFEE"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33.9</w:t>
            </w:r>
          </w:p>
        </w:tc>
        <w:tc>
          <w:tcPr>
            <w:tcW w:w="1257" w:type="dxa"/>
            <w:hideMark/>
          </w:tcPr>
          <w:p w14:paraId="50DA16E4"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250 m</w:t>
            </w:r>
          </w:p>
        </w:tc>
        <w:tc>
          <w:tcPr>
            <w:tcW w:w="1861" w:type="dxa"/>
            <w:hideMark/>
          </w:tcPr>
          <w:p w14:paraId="59AD02F7"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recursive feature elimination</w:t>
            </w:r>
          </w:p>
        </w:tc>
        <w:tc>
          <w:tcPr>
            <w:tcW w:w="1496" w:type="dxa"/>
            <w:hideMark/>
          </w:tcPr>
          <w:p w14:paraId="5D57AB46"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3310B8">
              <w:rPr>
                <w:rFonts w:ascii="Times New Roman" w:eastAsia="Times New Roman" w:hAnsi="Times New Roman" w:cs="Times New Roman"/>
                <w:sz w:val="24"/>
                <w:szCs w:val="24"/>
              </w:rPr>
              <w:t>WoSIS</w:t>
            </w:r>
            <w:proofErr w:type="spellEnd"/>
          </w:p>
        </w:tc>
        <w:tc>
          <w:tcPr>
            <w:tcW w:w="2099" w:type="dxa"/>
            <w:hideMark/>
          </w:tcPr>
          <w:p w14:paraId="07528BB4"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Climatic variables and vegetation from 2001-2015, soil samples from 1960-2020</w:t>
            </w:r>
          </w:p>
        </w:tc>
      </w:tr>
      <w:tr w:rsidR="008E4EFB" w:rsidRPr="003310B8" w14:paraId="4D79F7DE" w14:textId="77777777" w:rsidTr="000C6A78">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830" w:type="dxa"/>
            <w:hideMark/>
          </w:tcPr>
          <w:p w14:paraId="4009A6C8" w14:textId="77777777" w:rsidR="00F6597D" w:rsidRPr="003310B8" w:rsidRDefault="00F6597D" w:rsidP="003310B8">
            <w:pPr>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Guevara et al., 2020</w:t>
            </w:r>
          </w:p>
        </w:tc>
        <w:tc>
          <w:tcPr>
            <w:tcW w:w="846" w:type="dxa"/>
            <w:hideMark/>
          </w:tcPr>
          <w:p w14:paraId="4D500CF0"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39</w:t>
            </w:r>
          </w:p>
        </w:tc>
        <w:tc>
          <w:tcPr>
            <w:tcW w:w="1257" w:type="dxa"/>
            <w:hideMark/>
          </w:tcPr>
          <w:p w14:paraId="130D3B91"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250 m</w:t>
            </w:r>
          </w:p>
        </w:tc>
        <w:tc>
          <w:tcPr>
            <w:tcW w:w="1861" w:type="dxa"/>
            <w:hideMark/>
          </w:tcPr>
          <w:p w14:paraId="7DB2DE1F"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RF, recursive feature elimination, simulated annealing</w:t>
            </w:r>
          </w:p>
        </w:tc>
        <w:tc>
          <w:tcPr>
            <w:tcW w:w="1496" w:type="dxa"/>
            <w:hideMark/>
          </w:tcPr>
          <w:p w14:paraId="52005128"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 xml:space="preserve">ISCN, </w:t>
            </w:r>
            <w:proofErr w:type="spellStart"/>
            <w:r w:rsidRPr="003310B8">
              <w:rPr>
                <w:rFonts w:ascii="Times New Roman" w:eastAsia="Times New Roman" w:hAnsi="Times New Roman" w:cs="Times New Roman"/>
                <w:sz w:val="24"/>
                <w:szCs w:val="24"/>
              </w:rPr>
              <w:t>RaCA</w:t>
            </w:r>
            <w:proofErr w:type="spellEnd"/>
            <w:r w:rsidRPr="003310B8">
              <w:rPr>
                <w:rFonts w:ascii="Times New Roman" w:eastAsia="Times New Roman" w:hAnsi="Times New Roman" w:cs="Times New Roman"/>
                <w:sz w:val="24"/>
                <w:szCs w:val="24"/>
              </w:rPr>
              <w:t xml:space="preserve">, </w:t>
            </w:r>
          </w:p>
        </w:tc>
        <w:tc>
          <w:tcPr>
            <w:tcW w:w="2099" w:type="dxa"/>
            <w:hideMark/>
          </w:tcPr>
          <w:p w14:paraId="71365C25"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1991-2010</w:t>
            </w:r>
          </w:p>
        </w:tc>
      </w:tr>
      <w:tr w:rsidR="008E4EFB" w:rsidRPr="003310B8" w14:paraId="72824038" w14:textId="77777777" w:rsidTr="000C6A78">
        <w:trPr>
          <w:trHeight w:val="153"/>
        </w:trPr>
        <w:tc>
          <w:tcPr>
            <w:cnfStyle w:val="001000000000" w:firstRow="0" w:lastRow="0" w:firstColumn="1" w:lastColumn="0" w:oddVBand="0" w:evenVBand="0" w:oddHBand="0" w:evenHBand="0" w:firstRowFirstColumn="0" w:firstRowLastColumn="0" w:lastRowFirstColumn="0" w:lastRowLastColumn="0"/>
            <w:tcW w:w="1830" w:type="dxa"/>
          </w:tcPr>
          <w:p w14:paraId="5B26E660" w14:textId="77777777" w:rsidR="00F6597D" w:rsidRPr="003310B8" w:rsidRDefault="00F6597D" w:rsidP="003310B8">
            <w:pPr>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Chaney et al., 2019</w:t>
            </w:r>
          </w:p>
        </w:tc>
        <w:tc>
          <w:tcPr>
            <w:tcW w:w="846" w:type="dxa"/>
          </w:tcPr>
          <w:p w14:paraId="7E60CBD6"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59.2</w:t>
            </w:r>
          </w:p>
        </w:tc>
        <w:tc>
          <w:tcPr>
            <w:tcW w:w="1257" w:type="dxa"/>
          </w:tcPr>
          <w:p w14:paraId="6278BE36"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30 m</w:t>
            </w:r>
          </w:p>
        </w:tc>
        <w:tc>
          <w:tcPr>
            <w:tcW w:w="1861" w:type="dxa"/>
          </w:tcPr>
          <w:p w14:paraId="4D2605FE"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ANN, RF</w:t>
            </w:r>
          </w:p>
        </w:tc>
        <w:tc>
          <w:tcPr>
            <w:tcW w:w="1496" w:type="dxa"/>
          </w:tcPr>
          <w:p w14:paraId="46C0BC16"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POLARIS soil series, NASIS, SSURGO, STATSGO2, NCSS SCD</w:t>
            </w:r>
          </w:p>
        </w:tc>
        <w:tc>
          <w:tcPr>
            <w:tcW w:w="2099" w:type="dxa"/>
          </w:tcPr>
          <w:p w14:paraId="6AFC7786"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Not stated</w:t>
            </w:r>
          </w:p>
        </w:tc>
      </w:tr>
      <w:tr w:rsidR="008E4EFB" w:rsidRPr="003310B8" w14:paraId="03EA1988" w14:textId="77777777" w:rsidTr="000C6A7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0" w:type="dxa"/>
            <w:shd w:val="clear" w:color="auto" w:fill="A8D08D" w:themeFill="accent6" w:themeFillTint="99"/>
            <w:hideMark/>
          </w:tcPr>
          <w:p w14:paraId="09E69DF5" w14:textId="77777777" w:rsidR="00F6597D" w:rsidRPr="003310B8" w:rsidRDefault="00F6597D" w:rsidP="003310B8">
            <w:pPr>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 xml:space="preserve">Rubin et al. </w:t>
            </w:r>
          </w:p>
        </w:tc>
        <w:tc>
          <w:tcPr>
            <w:tcW w:w="846" w:type="dxa"/>
            <w:shd w:val="clear" w:color="auto" w:fill="A8D08D" w:themeFill="accent6" w:themeFillTint="99"/>
            <w:hideMark/>
          </w:tcPr>
          <w:p w14:paraId="6F466BFC"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60.4</w:t>
            </w:r>
          </w:p>
        </w:tc>
        <w:tc>
          <w:tcPr>
            <w:tcW w:w="1257" w:type="dxa"/>
            <w:shd w:val="clear" w:color="auto" w:fill="A8D08D" w:themeFill="accent6" w:themeFillTint="99"/>
            <w:hideMark/>
          </w:tcPr>
          <w:p w14:paraId="7BA99449"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30 m</w:t>
            </w:r>
          </w:p>
        </w:tc>
        <w:tc>
          <w:tcPr>
            <w:tcW w:w="1861" w:type="dxa"/>
            <w:shd w:val="clear" w:color="auto" w:fill="A8D08D" w:themeFill="accent6" w:themeFillTint="99"/>
            <w:hideMark/>
          </w:tcPr>
          <w:p w14:paraId="33AAAA88"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RF, GB, XGB, ANN, SVM, KNN, kriging, linear reg.</w:t>
            </w:r>
          </w:p>
        </w:tc>
        <w:tc>
          <w:tcPr>
            <w:tcW w:w="1496" w:type="dxa"/>
            <w:shd w:val="clear" w:color="auto" w:fill="A8D08D" w:themeFill="accent6" w:themeFillTint="99"/>
            <w:hideMark/>
          </w:tcPr>
          <w:p w14:paraId="355D008B"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 xml:space="preserve">ISCN, </w:t>
            </w:r>
            <w:proofErr w:type="spellStart"/>
            <w:r w:rsidRPr="003310B8">
              <w:rPr>
                <w:rFonts w:ascii="Times New Roman" w:eastAsia="Times New Roman" w:hAnsi="Times New Roman" w:cs="Times New Roman"/>
                <w:sz w:val="24"/>
                <w:szCs w:val="24"/>
              </w:rPr>
              <w:t>RaCA</w:t>
            </w:r>
            <w:proofErr w:type="spellEnd"/>
            <w:r w:rsidRPr="003310B8">
              <w:rPr>
                <w:rFonts w:ascii="Times New Roman" w:eastAsia="Times New Roman" w:hAnsi="Times New Roman" w:cs="Times New Roman"/>
                <w:sz w:val="24"/>
                <w:szCs w:val="24"/>
              </w:rPr>
              <w:t xml:space="preserve">, WOSIS, </w:t>
            </w:r>
            <w:proofErr w:type="spellStart"/>
            <w:r w:rsidRPr="003310B8">
              <w:rPr>
                <w:rFonts w:ascii="Times New Roman" w:eastAsia="Times New Roman" w:hAnsi="Times New Roman" w:cs="Times New Roman"/>
                <w:sz w:val="24"/>
                <w:szCs w:val="24"/>
              </w:rPr>
              <w:t>SoDaH</w:t>
            </w:r>
            <w:proofErr w:type="spellEnd"/>
            <w:r w:rsidRPr="003310B8">
              <w:rPr>
                <w:rFonts w:ascii="Times New Roman" w:eastAsia="Times New Roman" w:hAnsi="Times New Roman" w:cs="Times New Roman"/>
                <w:sz w:val="24"/>
                <w:szCs w:val="24"/>
              </w:rPr>
              <w:t>, Sanderman et al., 2017</w:t>
            </w:r>
          </w:p>
        </w:tc>
        <w:tc>
          <w:tcPr>
            <w:tcW w:w="2099" w:type="dxa"/>
            <w:shd w:val="clear" w:color="auto" w:fill="A8D08D" w:themeFill="accent6" w:themeFillTint="99"/>
            <w:hideMark/>
          </w:tcPr>
          <w:p w14:paraId="4BEAA5DE"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1990-2022</w:t>
            </w:r>
          </w:p>
        </w:tc>
      </w:tr>
      <w:tr w:rsidR="008E4EFB" w:rsidRPr="003310B8" w14:paraId="7B3829C2" w14:textId="77777777" w:rsidTr="000C6A78">
        <w:trPr>
          <w:trHeight w:val="270"/>
        </w:trPr>
        <w:tc>
          <w:tcPr>
            <w:cnfStyle w:val="001000000000" w:firstRow="0" w:lastRow="0" w:firstColumn="1" w:lastColumn="0" w:oddVBand="0" w:evenVBand="0" w:oddHBand="0" w:evenHBand="0" w:firstRowFirstColumn="0" w:firstRowLastColumn="0" w:lastRowFirstColumn="0" w:lastRowLastColumn="0"/>
            <w:tcW w:w="1830" w:type="dxa"/>
          </w:tcPr>
          <w:p w14:paraId="46E22EC1" w14:textId="77777777" w:rsidR="00F6597D" w:rsidRPr="003310B8" w:rsidRDefault="00F6597D" w:rsidP="003310B8">
            <w:pPr>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Gautam et al., 2022</w:t>
            </w:r>
          </w:p>
        </w:tc>
        <w:tc>
          <w:tcPr>
            <w:tcW w:w="846" w:type="dxa"/>
          </w:tcPr>
          <w:p w14:paraId="6E286C5D"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64.2</w:t>
            </w:r>
          </w:p>
        </w:tc>
        <w:tc>
          <w:tcPr>
            <w:tcW w:w="1257" w:type="dxa"/>
          </w:tcPr>
          <w:p w14:paraId="1FD22C37"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100 m</w:t>
            </w:r>
          </w:p>
        </w:tc>
        <w:tc>
          <w:tcPr>
            <w:tcW w:w="1861" w:type="dxa"/>
          </w:tcPr>
          <w:p w14:paraId="5CF6FA58"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RF, GB, XGB</w:t>
            </w:r>
          </w:p>
        </w:tc>
        <w:tc>
          <w:tcPr>
            <w:tcW w:w="1496" w:type="dxa"/>
          </w:tcPr>
          <w:p w14:paraId="09EEDCEF"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3310B8">
              <w:rPr>
                <w:rFonts w:ascii="Times New Roman" w:eastAsia="Times New Roman" w:hAnsi="Times New Roman" w:cs="Times New Roman"/>
                <w:sz w:val="24"/>
                <w:szCs w:val="24"/>
              </w:rPr>
              <w:t>RaCA</w:t>
            </w:r>
            <w:proofErr w:type="spellEnd"/>
          </w:p>
        </w:tc>
        <w:tc>
          <w:tcPr>
            <w:tcW w:w="2099" w:type="dxa"/>
          </w:tcPr>
          <w:p w14:paraId="2B9E83EF" w14:textId="77777777" w:rsidR="00F6597D" w:rsidRPr="003310B8" w:rsidRDefault="00F6597D" w:rsidP="003310B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2014-2100</w:t>
            </w:r>
          </w:p>
        </w:tc>
      </w:tr>
      <w:tr w:rsidR="008E4EFB" w:rsidRPr="003310B8" w14:paraId="20AEE5CB" w14:textId="77777777" w:rsidTr="000C6A78">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830" w:type="dxa"/>
            <w:hideMark/>
          </w:tcPr>
          <w:p w14:paraId="34A6F1B0" w14:textId="77777777" w:rsidR="00F6597D" w:rsidRPr="003310B8" w:rsidRDefault="00F6597D" w:rsidP="003310B8">
            <w:pPr>
              <w:spacing w:before="240"/>
              <w:jc w:val="center"/>
              <w:rPr>
                <w:rFonts w:ascii="Times New Roman" w:eastAsia="Times New Roman" w:hAnsi="Times New Roman" w:cs="Times New Roman"/>
                <w:sz w:val="24"/>
                <w:szCs w:val="24"/>
              </w:rPr>
            </w:pPr>
            <w:proofErr w:type="spellStart"/>
            <w:r w:rsidRPr="003310B8">
              <w:rPr>
                <w:rFonts w:ascii="Times New Roman" w:eastAsia="Times New Roman" w:hAnsi="Times New Roman" w:cs="Times New Roman"/>
                <w:sz w:val="24"/>
                <w:szCs w:val="24"/>
              </w:rPr>
              <w:t>Batjes</w:t>
            </w:r>
            <w:proofErr w:type="spellEnd"/>
            <w:r w:rsidRPr="003310B8">
              <w:rPr>
                <w:rFonts w:ascii="Times New Roman" w:eastAsia="Times New Roman" w:hAnsi="Times New Roman" w:cs="Times New Roman"/>
                <w:sz w:val="24"/>
                <w:szCs w:val="24"/>
              </w:rPr>
              <w:t>, 2016</w:t>
            </w:r>
          </w:p>
        </w:tc>
        <w:tc>
          <w:tcPr>
            <w:tcW w:w="846" w:type="dxa"/>
            <w:hideMark/>
          </w:tcPr>
          <w:p w14:paraId="0392AA4F"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97.7</w:t>
            </w:r>
          </w:p>
        </w:tc>
        <w:tc>
          <w:tcPr>
            <w:tcW w:w="1257" w:type="dxa"/>
            <w:hideMark/>
          </w:tcPr>
          <w:p w14:paraId="2C9C431C"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1 km</w:t>
            </w:r>
          </w:p>
        </w:tc>
        <w:tc>
          <w:tcPr>
            <w:tcW w:w="1861" w:type="dxa"/>
            <w:hideMark/>
          </w:tcPr>
          <w:p w14:paraId="01C75BAC"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3310B8">
              <w:rPr>
                <w:rFonts w:ascii="Times New Roman" w:eastAsia="Times New Roman" w:hAnsi="Times New Roman" w:cs="Times New Roman"/>
                <w:sz w:val="24"/>
                <w:szCs w:val="24"/>
              </w:rPr>
              <w:t>Taxotransfer</w:t>
            </w:r>
            <w:proofErr w:type="spellEnd"/>
            <w:r w:rsidRPr="003310B8">
              <w:rPr>
                <w:rFonts w:ascii="Times New Roman" w:eastAsia="Times New Roman" w:hAnsi="Times New Roman" w:cs="Times New Roman"/>
                <w:sz w:val="24"/>
                <w:szCs w:val="24"/>
              </w:rPr>
              <w:t xml:space="preserve"> procedure</w:t>
            </w:r>
          </w:p>
        </w:tc>
        <w:tc>
          <w:tcPr>
            <w:tcW w:w="1496" w:type="dxa"/>
            <w:hideMark/>
          </w:tcPr>
          <w:p w14:paraId="5814886F"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ISRIC-WISE, ISCN</w:t>
            </w:r>
          </w:p>
        </w:tc>
        <w:tc>
          <w:tcPr>
            <w:tcW w:w="2099" w:type="dxa"/>
            <w:hideMark/>
          </w:tcPr>
          <w:p w14:paraId="26C2F7F3" w14:textId="77777777" w:rsidR="00F6597D" w:rsidRPr="003310B8" w:rsidRDefault="00F6597D" w:rsidP="003310B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Not stated</w:t>
            </w:r>
          </w:p>
        </w:tc>
      </w:tr>
    </w:tbl>
    <w:p w14:paraId="0C7623FC" w14:textId="77777777" w:rsidR="00537FE1" w:rsidRDefault="00537FE1" w:rsidP="00ED686E">
      <w:pPr>
        <w:spacing w:line="240" w:lineRule="auto"/>
        <w:rPr>
          <w:rFonts w:ascii="Times New Roman" w:hAnsi="Times New Roman" w:cs="Times New Roman"/>
          <w:sz w:val="24"/>
          <w:szCs w:val="24"/>
        </w:rPr>
      </w:pPr>
    </w:p>
    <w:p w14:paraId="442BE35C" w14:textId="6D2456D6" w:rsidR="000C6A78" w:rsidRDefault="000C6A78" w:rsidP="00ED686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6.2 </w:t>
      </w:r>
      <w:r w:rsidR="00574360">
        <w:rPr>
          <w:rFonts w:ascii="Times New Roman" w:hAnsi="Times New Roman" w:cs="Times New Roman"/>
          <w:sz w:val="24"/>
          <w:szCs w:val="24"/>
        </w:rPr>
        <w:t>(C</w:t>
      </w:r>
      <w:r>
        <w:rPr>
          <w:rFonts w:ascii="Times New Roman" w:hAnsi="Times New Roman" w:cs="Times New Roman"/>
          <w:sz w:val="24"/>
          <w:szCs w:val="24"/>
        </w:rPr>
        <w:t>ontinued</w:t>
      </w:r>
      <w:r w:rsidR="00574360">
        <w:rPr>
          <w:rFonts w:ascii="Times New Roman" w:hAnsi="Times New Roman" w:cs="Times New Roman"/>
          <w:sz w:val="24"/>
          <w:szCs w:val="24"/>
        </w:rPr>
        <w:t>)</w:t>
      </w:r>
    </w:p>
    <w:tbl>
      <w:tblPr>
        <w:tblStyle w:val="PlainTable5"/>
        <w:tblW w:w="9389" w:type="dxa"/>
        <w:tblLook w:val="04A0" w:firstRow="1" w:lastRow="0" w:firstColumn="1" w:lastColumn="0" w:noHBand="0" w:noVBand="1"/>
      </w:tblPr>
      <w:tblGrid>
        <w:gridCol w:w="1831"/>
        <w:gridCol w:w="840"/>
        <w:gridCol w:w="1096"/>
        <w:gridCol w:w="1813"/>
        <w:gridCol w:w="1781"/>
        <w:gridCol w:w="2028"/>
      </w:tblGrid>
      <w:tr w:rsidR="000C6A78" w:rsidRPr="003310B8" w14:paraId="13F140EC" w14:textId="77777777" w:rsidTr="00135627">
        <w:trPr>
          <w:cnfStyle w:val="100000000000" w:firstRow="1" w:lastRow="0" w:firstColumn="0" w:lastColumn="0" w:oddVBand="0" w:evenVBand="0" w:oddHBand="0" w:evenHBand="0" w:firstRowFirstColumn="0" w:firstRowLastColumn="0" w:lastRowFirstColumn="0" w:lastRowLastColumn="0"/>
          <w:trHeight w:val="585"/>
        </w:trPr>
        <w:tc>
          <w:tcPr>
            <w:cnfStyle w:val="001000000100" w:firstRow="0" w:lastRow="0" w:firstColumn="1" w:lastColumn="0" w:oddVBand="0" w:evenVBand="0" w:oddHBand="0" w:evenHBand="0" w:firstRowFirstColumn="1" w:firstRowLastColumn="0" w:lastRowFirstColumn="0" w:lastRowLastColumn="0"/>
            <w:tcW w:w="1620" w:type="dxa"/>
            <w:hideMark/>
          </w:tcPr>
          <w:p w14:paraId="55593E49" w14:textId="77777777" w:rsidR="000C6A78" w:rsidRPr="003310B8" w:rsidRDefault="000C6A78" w:rsidP="00135627">
            <w:pPr>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Tao et al., 2020</w:t>
            </w:r>
          </w:p>
        </w:tc>
        <w:tc>
          <w:tcPr>
            <w:tcW w:w="846" w:type="dxa"/>
            <w:hideMark/>
          </w:tcPr>
          <w:p w14:paraId="5BB75BAC" w14:textId="77777777" w:rsidR="000C6A78" w:rsidRPr="003310B8" w:rsidRDefault="000C6A78" w:rsidP="001356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77.4 - 101.2</w:t>
            </w:r>
          </w:p>
        </w:tc>
        <w:tc>
          <w:tcPr>
            <w:tcW w:w="1128" w:type="dxa"/>
            <w:hideMark/>
          </w:tcPr>
          <w:p w14:paraId="2444B791" w14:textId="77777777" w:rsidR="000C6A78" w:rsidRPr="003310B8" w:rsidRDefault="000C6A78" w:rsidP="001356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0.5°</w:t>
            </w:r>
          </w:p>
        </w:tc>
        <w:tc>
          <w:tcPr>
            <w:tcW w:w="1861" w:type="dxa"/>
            <w:hideMark/>
          </w:tcPr>
          <w:p w14:paraId="7B430698" w14:textId="77777777" w:rsidR="000C6A78" w:rsidRPr="003310B8" w:rsidRDefault="000C6A78" w:rsidP="001356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Bayesian Markov Chain Monte Carlo</w:t>
            </w:r>
          </w:p>
        </w:tc>
        <w:tc>
          <w:tcPr>
            <w:tcW w:w="1835" w:type="dxa"/>
            <w:hideMark/>
          </w:tcPr>
          <w:p w14:paraId="5560FC04" w14:textId="77777777" w:rsidR="000C6A78" w:rsidRPr="003310B8" w:rsidRDefault="000C6A78" w:rsidP="001356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3310B8">
              <w:rPr>
                <w:rFonts w:ascii="Times New Roman" w:eastAsia="Times New Roman" w:hAnsi="Times New Roman" w:cs="Times New Roman"/>
                <w:sz w:val="24"/>
                <w:szCs w:val="24"/>
              </w:rPr>
              <w:t>WoSIS</w:t>
            </w:r>
            <w:proofErr w:type="spellEnd"/>
          </w:p>
        </w:tc>
        <w:tc>
          <w:tcPr>
            <w:tcW w:w="2099" w:type="dxa"/>
            <w:hideMark/>
          </w:tcPr>
          <w:p w14:paraId="04B0F69B" w14:textId="77777777" w:rsidR="000C6A78" w:rsidRPr="003310B8" w:rsidRDefault="000C6A78" w:rsidP="0013562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MODIS from 2000-2015</w:t>
            </w:r>
          </w:p>
        </w:tc>
      </w:tr>
      <w:tr w:rsidR="000C6A78" w:rsidRPr="003310B8" w14:paraId="04C059EB" w14:textId="77777777" w:rsidTr="00135627">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620" w:type="dxa"/>
            <w:hideMark/>
          </w:tcPr>
          <w:p w14:paraId="29546272" w14:textId="77777777" w:rsidR="000C6A78" w:rsidRPr="003310B8" w:rsidRDefault="000C6A78" w:rsidP="00135627">
            <w:pPr>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Hengl et al., 2017 (SoilGrids250m)</w:t>
            </w:r>
          </w:p>
        </w:tc>
        <w:tc>
          <w:tcPr>
            <w:tcW w:w="846" w:type="dxa"/>
            <w:hideMark/>
          </w:tcPr>
          <w:p w14:paraId="2551788C" w14:textId="77777777" w:rsidR="000C6A78" w:rsidRPr="003310B8" w:rsidRDefault="000C6A78" w:rsidP="001356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102.4</w:t>
            </w:r>
          </w:p>
        </w:tc>
        <w:tc>
          <w:tcPr>
            <w:tcW w:w="1128" w:type="dxa"/>
            <w:hideMark/>
          </w:tcPr>
          <w:p w14:paraId="418A5120" w14:textId="77777777" w:rsidR="000C6A78" w:rsidRPr="003310B8" w:rsidRDefault="000C6A78" w:rsidP="001356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250 m</w:t>
            </w:r>
          </w:p>
        </w:tc>
        <w:tc>
          <w:tcPr>
            <w:tcW w:w="1861" w:type="dxa"/>
            <w:hideMark/>
          </w:tcPr>
          <w:p w14:paraId="7257104A" w14:textId="77777777" w:rsidR="000C6A78" w:rsidRPr="003310B8" w:rsidRDefault="000C6A78" w:rsidP="001356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RF, GB, ANN</w:t>
            </w:r>
          </w:p>
        </w:tc>
        <w:tc>
          <w:tcPr>
            <w:tcW w:w="1835" w:type="dxa"/>
            <w:hideMark/>
          </w:tcPr>
          <w:p w14:paraId="1118D4A8" w14:textId="77777777" w:rsidR="000C6A78" w:rsidRPr="003310B8" w:rsidRDefault="000C6A78" w:rsidP="001356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3310B8">
              <w:rPr>
                <w:rFonts w:ascii="Times New Roman" w:eastAsia="Times New Roman" w:hAnsi="Times New Roman" w:cs="Times New Roman"/>
                <w:sz w:val="24"/>
                <w:szCs w:val="24"/>
              </w:rPr>
              <w:t>WoSIS</w:t>
            </w:r>
            <w:proofErr w:type="spellEnd"/>
          </w:p>
        </w:tc>
        <w:tc>
          <w:tcPr>
            <w:tcW w:w="2099" w:type="dxa"/>
            <w:hideMark/>
          </w:tcPr>
          <w:p w14:paraId="00A2E88F" w14:textId="77777777" w:rsidR="000C6A78" w:rsidRPr="003310B8" w:rsidRDefault="000C6A78" w:rsidP="0013562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Not stated</w:t>
            </w:r>
          </w:p>
        </w:tc>
      </w:tr>
      <w:tr w:rsidR="000C6A78" w:rsidRPr="003310B8" w14:paraId="1EF1A087" w14:textId="77777777" w:rsidTr="00135627">
        <w:trPr>
          <w:trHeight w:val="315"/>
        </w:trPr>
        <w:tc>
          <w:tcPr>
            <w:cnfStyle w:val="001000000000" w:firstRow="0" w:lastRow="0" w:firstColumn="1" w:lastColumn="0" w:oddVBand="0" w:evenVBand="0" w:oddHBand="0" w:evenHBand="0" w:firstRowFirstColumn="0" w:firstRowLastColumn="0" w:lastRowFirstColumn="0" w:lastRowLastColumn="0"/>
            <w:tcW w:w="1620" w:type="dxa"/>
            <w:hideMark/>
          </w:tcPr>
          <w:p w14:paraId="6246470A" w14:textId="77777777" w:rsidR="000C6A78" w:rsidRPr="003310B8" w:rsidRDefault="000C6A78" w:rsidP="00135627">
            <w:pPr>
              <w:spacing w:before="240"/>
              <w:jc w:val="center"/>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Ramcharan et al., 2018</w:t>
            </w:r>
          </w:p>
        </w:tc>
        <w:tc>
          <w:tcPr>
            <w:tcW w:w="846" w:type="dxa"/>
            <w:hideMark/>
          </w:tcPr>
          <w:p w14:paraId="3D203896" w14:textId="77777777" w:rsidR="000C6A78" w:rsidRPr="003310B8" w:rsidRDefault="000C6A78" w:rsidP="001356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106.2</w:t>
            </w:r>
          </w:p>
        </w:tc>
        <w:tc>
          <w:tcPr>
            <w:tcW w:w="1128" w:type="dxa"/>
            <w:hideMark/>
          </w:tcPr>
          <w:p w14:paraId="1827A6F0" w14:textId="77777777" w:rsidR="000C6A78" w:rsidRPr="003310B8" w:rsidRDefault="000C6A78" w:rsidP="001356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100 m</w:t>
            </w:r>
          </w:p>
        </w:tc>
        <w:tc>
          <w:tcPr>
            <w:tcW w:w="1861" w:type="dxa"/>
            <w:hideMark/>
          </w:tcPr>
          <w:p w14:paraId="443C13DD" w14:textId="77777777" w:rsidR="000C6A78" w:rsidRPr="003310B8" w:rsidRDefault="000C6A78" w:rsidP="001356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RF, GB</w:t>
            </w:r>
          </w:p>
        </w:tc>
        <w:tc>
          <w:tcPr>
            <w:tcW w:w="1835" w:type="dxa"/>
            <w:hideMark/>
          </w:tcPr>
          <w:p w14:paraId="4FD2D47C" w14:textId="77777777" w:rsidR="000C6A78" w:rsidRPr="003310B8" w:rsidRDefault="000C6A78" w:rsidP="001356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NCSS, NASIS, RaCA</w:t>
            </w:r>
          </w:p>
        </w:tc>
        <w:tc>
          <w:tcPr>
            <w:tcW w:w="2099" w:type="dxa"/>
            <w:hideMark/>
          </w:tcPr>
          <w:p w14:paraId="662E72A9" w14:textId="77777777" w:rsidR="000C6A78" w:rsidRPr="003310B8" w:rsidRDefault="000C6A78" w:rsidP="0013562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310B8">
              <w:rPr>
                <w:rFonts w:ascii="Times New Roman" w:eastAsia="Times New Roman" w:hAnsi="Times New Roman" w:cs="Times New Roman"/>
                <w:sz w:val="24"/>
                <w:szCs w:val="24"/>
              </w:rPr>
              <w:t>Not stated</w:t>
            </w:r>
          </w:p>
        </w:tc>
      </w:tr>
    </w:tbl>
    <w:p w14:paraId="36A81A6F" w14:textId="77777777" w:rsidR="000C6A78" w:rsidRPr="008E4EFB" w:rsidRDefault="000C6A78" w:rsidP="000C6A78">
      <w:pPr>
        <w:spacing w:line="240" w:lineRule="auto"/>
        <w:rPr>
          <w:rFonts w:ascii="Times New Roman" w:hAnsi="Times New Roman" w:cs="Times New Roman"/>
          <w:sz w:val="24"/>
          <w:szCs w:val="24"/>
        </w:rPr>
      </w:pPr>
    </w:p>
    <w:tbl>
      <w:tblPr>
        <w:tblW w:w="9360" w:type="dxa"/>
        <w:tblLook w:val="04A0" w:firstRow="1" w:lastRow="0" w:firstColumn="1" w:lastColumn="0" w:noHBand="0" w:noVBand="1"/>
      </w:tblPr>
      <w:tblGrid>
        <w:gridCol w:w="7382"/>
        <w:gridCol w:w="1978"/>
      </w:tblGrid>
      <w:tr w:rsidR="000C6A78" w:rsidRPr="008E4EFB" w14:paraId="72D23C6F" w14:textId="77777777" w:rsidTr="00135627">
        <w:trPr>
          <w:trHeight w:val="300"/>
        </w:trPr>
        <w:tc>
          <w:tcPr>
            <w:tcW w:w="7382" w:type="dxa"/>
            <w:tcBorders>
              <w:top w:val="nil"/>
              <w:left w:val="nil"/>
              <w:bottom w:val="nil"/>
              <w:right w:val="nil"/>
            </w:tcBorders>
            <w:shd w:val="clear" w:color="auto" w:fill="auto"/>
            <w:noWrap/>
            <w:vAlign w:val="bottom"/>
            <w:hideMark/>
          </w:tcPr>
          <w:p w14:paraId="6A0AE16C"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Name</w:t>
            </w:r>
          </w:p>
        </w:tc>
        <w:tc>
          <w:tcPr>
            <w:tcW w:w="1978" w:type="dxa"/>
            <w:tcBorders>
              <w:top w:val="nil"/>
              <w:left w:val="nil"/>
              <w:bottom w:val="nil"/>
              <w:right w:val="nil"/>
            </w:tcBorders>
            <w:shd w:val="clear" w:color="auto" w:fill="auto"/>
            <w:noWrap/>
            <w:vAlign w:val="bottom"/>
            <w:hideMark/>
          </w:tcPr>
          <w:p w14:paraId="3E76E8EA"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Acronym</w:t>
            </w:r>
          </w:p>
        </w:tc>
      </w:tr>
      <w:tr w:rsidR="000C6A78" w:rsidRPr="008E4EFB" w14:paraId="070A9B8A" w14:textId="77777777" w:rsidTr="00135627">
        <w:trPr>
          <w:trHeight w:val="300"/>
        </w:trPr>
        <w:tc>
          <w:tcPr>
            <w:tcW w:w="7382" w:type="dxa"/>
            <w:tcBorders>
              <w:top w:val="nil"/>
              <w:left w:val="nil"/>
              <w:bottom w:val="nil"/>
              <w:right w:val="nil"/>
            </w:tcBorders>
            <w:shd w:val="clear" w:color="auto" w:fill="auto"/>
            <w:noWrap/>
            <w:vAlign w:val="bottom"/>
            <w:hideMark/>
          </w:tcPr>
          <w:p w14:paraId="06656FF4"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National Cooperative Soil Survey Characterization </w:t>
            </w:r>
          </w:p>
        </w:tc>
        <w:tc>
          <w:tcPr>
            <w:tcW w:w="1978" w:type="dxa"/>
            <w:tcBorders>
              <w:top w:val="nil"/>
              <w:left w:val="nil"/>
              <w:bottom w:val="nil"/>
              <w:right w:val="nil"/>
            </w:tcBorders>
            <w:shd w:val="clear" w:color="auto" w:fill="auto"/>
            <w:noWrap/>
            <w:vAlign w:val="bottom"/>
            <w:hideMark/>
          </w:tcPr>
          <w:p w14:paraId="7C84A067"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NCSS</w:t>
            </w:r>
          </w:p>
        </w:tc>
      </w:tr>
      <w:tr w:rsidR="000C6A78" w:rsidRPr="008E4EFB" w14:paraId="7695E5B9" w14:textId="77777777" w:rsidTr="00135627">
        <w:trPr>
          <w:trHeight w:val="300"/>
        </w:trPr>
        <w:tc>
          <w:tcPr>
            <w:tcW w:w="7382" w:type="dxa"/>
            <w:tcBorders>
              <w:top w:val="nil"/>
              <w:left w:val="nil"/>
              <w:bottom w:val="nil"/>
              <w:right w:val="nil"/>
            </w:tcBorders>
            <w:shd w:val="clear" w:color="auto" w:fill="auto"/>
            <w:noWrap/>
            <w:vAlign w:val="bottom"/>
            <w:hideMark/>
          </w:tcPr>
          <w:p w14:paraId="3CFDA405"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National Soil Information System</w:t>
            </w:r>
          </w:p>
        </w:tc>
        <w:tc>
          <w:tcPr>
            <w:tcW w:w="1978" w:type="dxa"/>
            <w:tcBorders>
              <w:top w:val="nil"/>
              <w:left w:val="nil"/>
              <w:bottom w:val="nil"/>
              <w:right w:val="nil"/>
            </w:tcBorders>
            <w:shd w:val="clear" w:color="auto" w:fill="auto"/>
            <w:noWrap/>
            <w:vAlign w:val="bottom"/>
            <w:hideMark/>
          </w:tcPr>
          <w:p w14:paraId="698A3811"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NASIS</w:t>
            </w:r>
          </w:p>
        </w:tc>
      </w:tr>
      <w:tr w:rsidR="000C6A78" w:rsidRPr="008E4EFB" w14:paraId="44D71D38" w14:textId="77777777" w:rsidTr="00135627">
        <w:trPr>
          <w:trHeight w:val="300"/>
        </w:trPr>
        <w:tc>
          <w:tcPr>
            <w:tcW w:w="7382" w:type="dxa"/>
            <w:tcBorders>
              <w:top w:val="nil"/>
              <w:left w:val="nil"/>
              <w:bottom w:val="nil"/>
              <w:right w:val="nil"/>
            </w:tcBorders>
            <w:shd w:val="clear" w:color="auto" w:fill="auto"/>
            <w:noWrap/>
            <w:vAlign w:val="bottom"/>
            <w:hideMark/>
          </w:tcPr>
          <w:p w14:paraId="6F9AEC94"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International Soil Reference and Information Centre World Inventory of Soil Emission Potentials </w:t>
            </w:r>
          </w:p>
        </w:tc>
        <w:tc>
          <w:tcPr>
            <w:tcW w:w="1978" w:type="dxa"/>
            <w:tcBorders>
              <w:top w:val="nil"/>
              <w:left w:val="nil"/>
              <w:bottom w:val="nil"/>
              <w:right w:val="nil"/>
            </w:tcBorders>
            <w:shd w:val="clear" w:color="auto" w:fill="auto"/>
            <w:noWrap/>
            <w:vAlign w:val="bottom"/>
            <w:hideMark/>
          </w:tcPr>
          <w:p w14:paraId="2572EC11"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ISRIC-WISE</w:t>
            </w:r>
          </w:p>
        </w:tc>
      </w:tr>
      <w:tr w:rsidR="000C6A78" w:rsidRPr="008E4EFB" w14:paraId="272BF8B4" w14:textId="77777777" w:rsidTr="00135627">
        <w:trPr>
          <w:trHeight w:val="300"/>
        </w:trPr>
        <w:tc>
          <w:tcPr>
            <w:tcW w:w="7382" w:type="dxa"/>
            <w:tcBorders>
              <w:top w:val="nil"/>
              <w:left w:val="nil"/>
              <w:bottom w:val="nil"/>
              <w:right w:val="nil"/>
            </w:tcBorders>
            <w:shd w:val="clear" w:color="auto" w:fill="auto"/>
            <w:noWrap/>
            <w:vAlign w:val="bottom"/>
            <w:hideMark/>
          </w:tcPr>
          <w:p w14:paraId="0B88CD68"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National Ecological Observatory Network</w:t>
            </w:r>
          </w:p>
        </w:tc>
        <w:tc>
          <w:tcPr>
            <w:tcW w:w="1978" w:type="dxa"/>
            <w:tcBorders>
              <w:top w:val="nil"/>
              <w:left w:val="nil"/>
              <w:bottom w:val="nil"/>
              <w:right w:val="nil"/>
            </w:tcBorders>
            <w:shd w:val="clear" w:color="auto" w:fill="auto"/>
            <w:noWrap/>
            <w:vAlign w:val="bottom"/>
            <w:hideMark/>
          </w:tcPr>
          <w:p w14:paraId="1A3CBD04"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NEON</w:t>
            </w:r>
          </w:p>
        </w:tc>
      </w:tr>
      <w:tr w:rsidR="000C6A78" w:rsidRPr="008E4EFB" w14:paraId="475C90C0" w14:textId="77777777" w:rsidTr="00135627">
        <w:trPr>
          <w:trHeight w:val="300"/>
        </w:trPr>
        <w:tc>
          <w:tcPr>
            <w:tcW w:w="7382" w:type="dxa"/>
            <w:tcBorders>
              <w:top w:val="nil"/>
              <w:left w:val="nil"/>
              <w:bottom w:val="nil"/>
              <w:right w:val="nil"/>
            </w:tcBorders>
            <w:shd w:val="clear" w:color="auto" w:fill="auto"/>
            <w:noWrap/>
            <w:vAlign w:val="bottom"/>
            <w:hideMark/>
          </w:tcPr>
          <w:p w14:paraId="5CF0D859"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Instituto Nacional de Estadística y Geografía</w:t>
            </w:r>
          </w:p>
        </w:tc>
        <w:tc>
          <w:tcPr>
            <w:tcW w:w="1978" w:type="dxa"/>
            <w:tcBorders>
              <w:top w:val="nil"/>
              <w:left w:val="nil"/>
              <w:bottom w:val="nil"/>
              <w:right w:val="nil"/>
            </w:tcBorders>
            <w:shd w:val="clear" w:color="auto" w:fill="auto"/>
            <w:noWrap/>
            <w:vAlign w:val="bottom"/>
            <w:hideMark/>
          </w:tcPr>
          <w:p w14:paraId="1EA8A8B3"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INEGI</w:t>
            </w:r>
          </w:p>
        </w:tc>
      </w:tr>
      <w:tr w:rsidR="000C6A78" w:rsidRPr="008E4EFB" w14:paraId="6D953233" w14:textId="77777777" w:rsidTr="00135627">
        <w:trPr>
          <w:trHeight w:val="300"/>
        </w:trPr>
        <w:tc>
          <w:tcPr>
            <w:tcW w:w="7382" w:type="dxa"/>
            <w:tcBorders>
              <w:top w:val="nil"/>
              <w:left w:val="nil"/>
              <w:bottom w:val="nil"/>
              <w:right w:val="nil"/>
            </w:tcBorders>
            <w:shd w:val="clear" w:color="auto" w:fill="auto"/>
            <w:noWrap/>
            <w:vAlign w:val="bottom"/>
            <w:hideMark/>
          </w:tcPr>
          <w:p w14:paraId="4529F8A8"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Institute of Soil Science</w:t>
            </w:r>
          </w:p>
        </w:tc>
        <w:tc>
          <w:tcPr>
            <w:tcW w:w="1978" w:type="dxa"/>
            <w:tcBorders>
              <w:top w:val="nil"/>
              <w:left w:val="nil"/>
              <w:bottom w:val="nil"/>
              <w:right w:val="nil"/>
            </w:tcBorders>
            <w:shd w:val="clear" w:color="auto" w:fill="auto"/>
            <w:noWrap/>
            <w:vAlign w:val="bottom"/>
            <w:hideMark/>
          </w:tcPr>
          <w:p w14:paraId="763515E0"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ISS</w:t>
            </w:r>
          </w:p>
        </w:tc>
      </w:tr>
      <w:tr w:rsidR="000C6A78" w:rsidRPr="008E4EFB" w14:paraId="75A8FB20" w14:textId="77777777" w:rsidTr="00135627">
        <w:trPr>
          <w:trHeight w:val="300"/>
        </w:trPr>
        <w:tc>
          <w:tcPr>
            <w:tcW w:w="7382" w:type="dxa"/>
            <w:tcBorders>
              <w:top w:val="nil"/>
              <w:left w:val="nil"/>
              <w:bottom w:val="nil"/>
              <w:right w:val="nil"/>
            </w:tcBorders>
            <w:shd w:val="clear" w:color="auto" w:fill="auto"/>
            <w:noWrap/>
            <w:vAlign w:val="bottom"/>
            <w:hideMark/>
          </w:tcPr>
          <w:p w14:paraId="0FB3CA3D"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European Soil Data Centre</w:t>
            </w:r>
          </w:p>
        </w:tc>
        <w:tc>
          <w:tcPr>
            <w:tcW w:w="1978" w:type="dxa"/>
            <w:tcBorders>
              <w:top w:val="nil"/>
              <w:left w:val="nil"/>
              <w:bottom w:val="nil"/>
              <w:right w:val="nil"/>
            </w:tcBorders>
            <w:shd w:val="clear" w:color="auto" w:fill="auto"/>
            <w:noWrap/>
            <w:vAlign w:val="bottom"/>
            <w:hideMark/>
          </w:tcPr>
          <w:p w14:paraId="7F623570"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ESDAC</w:t>
            </w:r>
          </w:p>
        </w:tc>
      </w:tr>
      <w:tr w:rsidR="000C6A78" w:rsidRPr="008E4EFB" w14:paraId="5BF688D5" w14:textId="77777777" w:rsidTr="00135627">
        <w:trPr>
          <w:trHeight w:val="300"/>
        </w:trPr>
        <w:tc>
          <w:tcPr>
            <w:tcW w:w="7382" w:type="dxa"/>
            <w:tcBorders>
              <w:top w:val="nil"/>
              <w:left w:val="nil"/>
              <w:bottom w:val="nil"/>
              <w:right w:val="nil"/>
            </w:tcBorders>
            <w:shd w:val="clear" w:color="auto" w:fill="auto"/>
            <w:noWrap/>
            <w:vAlign w:val="bottom"/>
            <w:hideMark/>
          </w:tcPr>
          <w:p w14:paraId="6EB6FB20"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Harmonized World Soil Database</w:t>
            </w:r>
          </w:p>
        </w:tc>
        <w:tc>
          <w:tcPr>
            <w:tcW w:w="1978" w:type="dxa"/>
            <w:tcBorders>
              <w:top w:val="nil"/>
              <w:left w:val="nil"/>
              <w:bottom w:val="nil"/>
              <w:right w:val="nil"/>
            </w:tcBorders>
            <w:shd w:val="clear" w:color="auto" w:fill="auto"/>
            <w:noWrap/>
            <w:vAlign w:val="bottom"/>
            <w:hideMark/>
          </w:tcPr>
          <w:p w14:paraId="7CCCE83E" w14:textId="77777777" w:rsidR="000C6A78" w:rsidRPr="008E4EFB" w:rsidRDefault="000C6A78" w:rsidP="00135627">
            <w:pPr>
              <w:spacing w:after="0" w:line="24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HWSD</w:t>
            </w:r>
          </w:p>
        </w:tc>
      </w:tr>
    </w:tbl>
    <w:p w14:paraId="57E09067" w14:textId="77777777" w:rsidR="000C6A78" w:rsidRPr="008E4EFB" w:rsidRDefault="000C6A78" w:rsidP="00ED686E">
      <w:pPr>
        <w:spacing w:line="240" w:lineRule="auto"/>
        <w:rPr>
          <w:rFonts w:ascii="Times New Roman" w:hAnsi="Times New Roman" w:cs="Times New Roman"/>
          <w:sz w:val="24"/>
          <w:szCs w:val="24"/>
        </w:rPr>
      </w:pPr>
    </w:p>
    <w:p w14:paraId="5CC2BF62" w14:textId="77777777" w:rsidR="00167BB4" w:rsidRDefault="00167BB4">
      <w:pPr>
        <w:rPr>
          <w:rFonts w:ascii="Times New Roman" w:eastAsiaTheme="majorEastAsia" w:hAnsi="Times New Roman" w:cs="Times New Roman"/>
          <w:sz w:val="24"/>
          <w:szCs w:val="24"/>
        </w:rPr>
      </w:pPr>
      <w:bookmarkStart w:id="108" w:name="_Toc179917997"/>
      <w:r>
        <w:rPr>
          <w:rFonts w:cs="Times New Roman"/>
          <w:szCs w:val="24"/>
        </w:rPr>
        <w:br w:type="page"/>
      </w:r>
    </w:p>
    <w:p w14:paraId="50F2C230" w14:textId="6FE67851" w:rsidR="006417C1" w:rsidRPr="008E4EFB" w:rsidRDefault="006417C1" w:rsidP="00D555F0">
      <w:pPr>
        <w:spacing w:after="0" w:line="360" w:lineRule="auto"/>
        <w:rPr>
          <w:rFonts w:ascii="Times New Roman" w:hAnsi="Times New Roman" w:cs="Times New Roman"/>
          <w:sz w:val="24"/>
          <w:szCs w:val="24"/>
        </w:rPr>
      </w:pPr>
      <w:bookmarkStart w:id="109" w:name="_Toc179917998"/>
      <w:bookmarkEnd w:id="108"/>
      <w:r w:rsidRPr="008E4EFB">
        <w:rPr>
          <w:rFonts w:ascii="Times New Roman" w:hAnsi="Times New Roman" w:cs="Times New Roman"/>
          <w:sz w:val="24"/>
          <w:szCs w:val="24"/>
        </w:rPr>
        <w:lastRenderedPageBreak/>
        <w:t xml:space="preserve">not meaningful and does not accurately reflect reality. However, the Random Forest is doing a reasonable job at predicting SOC in new locations and does improve upon the linear regression; while the output maps are not perfect, they do reflect the actual spatial patterns of SOC in the CONUS in a meaningful enough way to derive useful climate and land use relationships from them. </w:t>
      </w:r>
    </w:p>
    <w:p w14:paraId="0C109996" w14:textId="5AD70B60" w:rsidR="006417C1" w:rsidRPr="008E4EFB" w:rsidRDefault="006417C1"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There are large differences in estimates of soil carbon stocks from different global and regional databases (</w:t>
      </w:r>
      <w:r w:rsidRPr="007F0D68">
        <w:rPr>
          <w:rFonts w:ascii="Times New Roman" w:hAnsi="Times New Roman" w:cs="Times New Roman"/>
          <w:b/>
          <w:bCs/>
          <w:sz w:val="24"/>
          <w:szCs w:val="24"/>
        </w:rPr>
        <w:t xml:space="preserve">Table </w:t>
      </w:r>
      <w:r w:rsidR="00FC0AB9">
        <w:rPr>
          <w:rFonts w:ascii="Times New Roman" w:hAnsi="Times New Roman" w:cs="Times New Roman"/>
          <w:b/>
          <w:bCs/>
          <w:sz w:val="24"/>
          <w:szCs w:val="24"/>
        </w:rPr>
        <w:t>6.2</w:t>
      </w:r>
      <w:r w:rsidRPr="008E4EFB">
        <w:rPr>
          <w:rFonts w:ascii="Times New Roman" w:hAnsi="Times New Roman" w:cs="Times New Roman"/>
          <w:sz w:val="24"/>
          <w:szCs w:val="24"/>
        </w:rPr>
        <w:t xml:space="preserve">) but predictions for the US do tend to be underestimated when compared to field data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{"citationID":"947lmLmL","properties":{"formattedCitation":"(Tifafi et al., 2018)","plainCitation":"(Tifafi et al., 2018)","noteIndex":0},"citationItems":[{"id":3168,"uris":["http://zotero.org/users/3110659/items/Y45RJW36"],"itemData":{"id":3168,"type":"article-journal","container-title":"Global Biogeochemical Cycles","DOI":"doi/10.1002/2017GB005678","page":"42-56","title":"Large Differences in Global and Regional Total Soil Carbon Stock Estimates Based on SoilGrids, HWSD, and NCSCD: Intercomparison and Evaluation Based on Field Data From USA, England, Wales, and France","volume":"32","author":[{"family":"Tifafi","given":"Marwa"},{"family":"Guenet","given":"Bertrand"},{"family":"Hatte","given":"Christine"}],"issued":{"date-parts":[["2018",1,9]]}}}],"schema":"https://github.com/citation-style-language/schema/raw/master/csl-citation.json"}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(Tifafi et al., 2018)</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r w:rsidRPr="008E4EFB">
        <w:rPr>
          <w:rFonts w:ascii="Times New Roman" w:hAnsi="Times New Roman" w:cs="Times New Roman"/>
          <w:noProof/>
          <w:sz w:val="24"/>
          <w:szCs w:val="24"/>
        </w:rPr>
        <w:t xml:space="preserve">One study used SSURGO </w:t>
      </w:r>
      <w:r w:rsidRPr="008E4EFB">
        <w:rPr>
          <w:rFonts w:ascii="Times New Roman" w:hAnsi="Times New Roman" w:cs="Times New Roman"/>
          <w:sz w:val="24"/>
          <w:szCs w:val="24"/>
          <w:shd w:val="clear" w:color="auto" w:fill="FFFFFF"/>
        </w:rPr>
        <w:t xml:space="preserve">filled from STATSGO2 to estimate SOC </w:t>
      </w:r>
      <w:r w:rsidRPr="008E4EFB">
        <w:rPr>
          <w:rFonts w:ascii="Times New Roman" w:hAnsi="Times New Roman" w:cs="Times New Roman"/>
          <w:noProof/>
          <w:sz w:val="24"/>
          <w:szCs w:val="24"/>
        </w:rPr>
        <w:t xml:space="preserve">in the CONUS from 0 – 30 cm and found 29.3 Pg C. </w:t>
      </w:r>
      <w:r w:rsidRPr="008E4EFB">
        <w:rPr>
          <w:rFonts w:ascii="Times New Roman" w:hAnsi="Times New Roman" w:cs="Times New Roman"/>
          <w:sz w:val="24"/>
          <w:szCs w:val="24"/>
          <w:shd w:val="clear" w:color="auto" w:fill="FFFFFF"/>
        </w:rPr>
        <w:t xml:space="preserve">The Harmonized World Soil Database (HWSD) in combination with the Northern Circumpolar Soil Carbon Database (NCSCD) produced an estimate of 33.4 Pg C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{"citationID":"jc1BBeV9","properties":{"formattedCitation":"(Z. Wang et al., 2024)","plainCitation":"(Z. Wang et al., 2024)","noteIndex":0},"citationItems":[{"id":3094,"uris":["http://zotero.org/users/3110659/items/NSM2IWDX"],"itemData":{"id":3094,"type":"article-journal","abstract":"Estimates of soil organic carbon (SOC) stocks are essential for many environmental applications. However, significant inconsistencies exist in SOC stock estimates for the U.S. across current SOC maps. We propose a framework that combines unsupervised multivariate geographic clustering (MGC) and supervised Random Forests regression, improving SOC maps by capturing heterogeneous relationships with SOC drivers. We first used MGC to divide the U.S. into 20 SOC regions based on the similarity of covariates (soil biogeochemical, bioclimatic, biological, and physiographic variables). Subsequently, separate Random Forests models were trained for each SOC region, utilizing environmental covariates and SOC observations. Our estimated SOC stocks for the U.S. (52.6 ± 3.2 Pg for 0–30 cm and 108.3 ± 8.2 Pg for 0–100 cm depth) were within the range estimated by existing products like Harmonized World Soil Database, HWSD (46.7 Pg for 0–30 cm and 90.7 Pg for 0–100 cm depth) and SoilGrids 2.0 (45.7 Pg for 0–30 cm and 133.0 Pg for 0–100 cm depth). However, independent validation with soil profile data from the National Ecological Observatory Network showed that our approach (R2 = 0.51) outperformed the estimates obtained from Harmonized World Soil Database (R2 = 0.23) and SoilGrids 2.0 (R2 = 0.39) for the topsoil (0–30 cm). Uncertainty analysis (e.g., low representativeness and high coefficients of variation) identified regions requiring more measurements, such as Alaska and the deserts of the U.S. Southwest. Our approach effectively captures the heterogeneous relationships between widely available predictors and the current SOC baseline across regions, offering reliable SOC estimates at 1 km resolution for benchmarking Earth system models.","container-title":"Journal of Geophysical Research: Biogeosciences","DOI":"10.1029/2023JG007702","ISSN":"2169-8961","issue":"2","language":"en","license":"© 2024. The Authors.","note":"_eprint: https://onlinelibrary.wiley.com/doi/pdf/10.1029/2023JG007702","page":"e2023JG007702","source":"Wiley Online Library","title":"Upscaling Soil Organic Carbon Measurements at the Continental Scale Using Multivariate Clustering Analysis and Machine Learning","volume":"129","author":[{"family":"Wang","given":"Zhuonan"},{"family":"Kumar","given":"Jitendra"},{"family":"Weintraub-Leff","given":"Samantha R."},{"family":"Todd-Brown","given":"Katherine"},{"family":"Mishra","given":"Umakant"},{"family":"Sihi","given":"Debjani"}],"issued":{"date-parts":[["2024"]]}}}],"schema":"https://github.com/citation-style-language/schema/raw/master/csl-citation.json"}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(Z. Wang et al., 2024)</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SoilGrids 2.0 maps estimated at 33.9 Pg C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{"citationID":"K8efMQ30","properties":{"formattedCitation":"(Poggio et al., 2021)","plainCitation":"(Poggio et al., 2021)","noteIndex":0},"citationItems":[{"id":3192,"uris":["http://zotero.org/users/3110659/items/GZ3SN3AA"],"itemData":{"id":3192,"type":"article-journal","abstract":"SoilGrids produces maps of soil properties for the entire globe at medium spatial resolution (250 m cell size) using state-of-the-art machine learning methods to generate the necessary models. It takes as inputs soil observations from about 240 000 locations worldwide and over 400 global environmental covariates describing vegetation, terrain morphology, climate, geology and hydrology. The aim of this work was the production of global maps of soil properties, with cross-validation, hyper-parameter selection and quantification of spatially explicit uncertainty, as implemented in the SoilGrids version 2.0 product incorporating state-of-the-art practices and adapting them for global digital soil mapping with legacy data. The paper presents the evaluation of the global predictions produced for soil organic carbon content, total nitrogen, coarse fragments, pH (water), cation exchange capacity, bulk density and texture fractions at six standard depths (up to 200 cm). The quantitative evaluation showed metrics in line with previous global, continental and large-region studies. The qualitative evaluation showed that coarse-scale patterns are well reproduced. The spatial uncertainty at global scale highlighted the need for more soil observations, especially in high-latitude regions.","container-title":"SOIL","DOI":"10.5194/soil-7-217-2021","ISSN":"2199-3971","issue":"1","language":"English","note":"publisher: Copernicus GmbH","page":"217-240","source":"Copernicus Online Journals","title":"SoilGrids 2.0: producing soil information for the globe with quantified spatial uncertainty","title-short":"SoilGrids 2.0","volume":"7","author":[{"family":"Poggio","given":"Laura"},{"family":"Sousa","given":"Luis M.","non-dropping-particle":"de"},{"family":"Batjes","given":"Niels H."},{"family":"Heuvelink","given":"Gerard B. M."},{"family":"Kempen","given":"Bas"},{"family":"Ribeiro","given":"Eloi"},{"family":"Rossiter","given":"David"}],"issued":{"date-parts":[["2021",6,14]]}}}],"schema":"https://github.com/citation-style-language/schema/raw/master/csl-citation.json"}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(Poggio et al., 2021)</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w:t>
      </w:r>
      <w:r w:rsidRPr="008E4EFB">
        <w:rPr>
          <w:rFonts w:ascii="Times New Roman" w:hAnsi="Times New Roman" w:cs="Times New Roman"/>
          <w:sz w:val="24"/>
          <w:szCs w:val="24"/>
        </w:rPr>
        <w:t xml:space="preserve">A recent study using multivariate geographic clustering and a random Forest model found that total soil carbon stocks in the CONUS total </w:t>
      </w:r>
      <w:r w:rsidRPr="008E4EFB">
        <w:rPr>
          <w:rFonts w:ascii="Times New Roman" w:hAnsi="Times New Roman" w:cs="Times New Roman"/>
          <w:sz w:val="24"/>
          <w:szCs w:val="24"/>
          <w:shd w:val="clear" w:color="auto" w:fill="FFFFFF"/>
        </w:rPr>
        <w:t xml:space="preserve">35.4 ± 1.8 Pg at a depth of 0 – 30 cm </w:t>
      </w:r>
      <w:r w:rsidRPr="008E4EFB">
        <w:rPr>
          <w:rFonts w:ascii="Times New Roman" w:hAnsi="Times New Roman" w:cs="Times New Roman"/>
          <w:sz w:val="24"/>
          <w:szCs w:val="24"/>
        </w:rPr>
        <w:t xml:space="preserv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{"citationID":"FZyunC7S","properties":{"formattedCitation":"(Z. Wang et al., 2024)","plainCitation":"(Z. Wang et al., 2024)","noteIndex":0},"citationItems":[{"id":3094,"uris":["http://zotero.org/users/3110659/items/NSM2IWDX"],"itemData":{"id":3094,"type":"article-journal","abstract":"Estimates of soil organic carbon (SOC) stocks are essential for many environmental applications. However, significant inconsistencies exist in SOC stock estimates for the U.S. across current SOC maps. We propose a framework that combines unsupervised multivariate geographic clustering (MGC) and supervised Random Forests regression, improving SOC maps by capturing heterogeneous relationships with SOC drivers. We first used MGC to divide the U.S. into 20 SOC regions based on the similarity of covariates (soil biogeochemical, bioclimatic, biological, and physiographic variables). Subsequently, separate Random Forests models were trained for each SOC region, utilizing environmental covariates and SOC observations. Our estimated SOC stocks for the U.S. (52.6 ± 3.2 Pg for 0–30 cm and 108.3 ± 8.2 Pg for 0–100 cm depth) were within the range estimated by existing products like Harmonized World Soil Database, HWSD (46.7 Pg for 0–30 cm and 90.7 Pg for 0–100 cm depth) and SoilGrids 2.0 (45.7 Pg for 0–30 cm and 133.0 Pg for 0–100 cm depth). However, independent validation with soil profile data from the National Ecological Observatory Network showed that our approach (R2 = 0.51) outperformed the estimates obtained from Harmonized World Soil Database (R2 = 0.23) and SoilGrids 2.0 (R2 = 0.39) for the topsoil (0–30 cm). Uncertainty analysis (e.g., low representativeness and high coefficients of variation) identified regions requiring more measurements, such as Alaska and the deserts of the U.S. Southwest. Our approach effectively captures the heterogeneous relationships between widely available predictors and the current SOC baseline across regions, offering reliable SOC estimates at 1 km resolution for benchmarking Earth system models.","container-title":"Journal of Geophysical Research: Biogeosciences","DOI":"10.1029/2023JG007702","ISSN":"2169-8961","issue":"2","language":"en","license":"© 2024. The Authors.","note":"_eprint: https://onlinelibrary.wiley.com/doi/pdf/10.1029/2023JG007702","page":"e2023JG007702","source":"Wiley Online Library","title":"Upscaling Soil Organic Carbon Measurements at the Continental Scale Using Multivariate Clustering Analysis and Machine Learning","volume":"129","author":[{"family":"Wang","given":"Zhuonan"},{"family":"Kumar","given":"Jitendra"},{"family":"Weintraub-Leff","given":"Samantha R."},{"family":"Todd-Brown","given":"Katherine"},{"family":"Mishra","given":"Umakant"},{"family":"Sihi","given":"Debjani"}],"issued":{"date-parts":[["2024"]]}}}],"schema":"https://github.com/citation-style-language/schema/raw/master/csl-citation.json"}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(Z. Wang et al., 2024)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shd w:val="clear" w:color="auto" w:fill="FFFFFF"/>
        </w:rPr>
        <w:t xml:space="preserve">. A modeling effort across Mexico and the CONUS using a Random Forest model estimates at 0-30cm depth from 1991–2010 of 39 Pg across the CONUS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{"citationID":"9Jgfi2AB","properties":{"formattedCitation":"(Mario Guevara et al., 2020)","plainCitation":"(Mario Guevara et al., 2020)","noteIndex":0},"citationItems":[{"id":2665,"uris":["http://zotero.org/users/3110659/items/B27T86P3"],"itemData":{"id":2665,"type":"article-journal","abstract":"Soil organic carbon (SOC) information is fundamental for improving global carbon cycle modeling efforts, but discrepancies exist from country-to-global scales. We predicted the spatial distribution of SOC stocks (topsoil; 0–30 cm) and quantified modeling uncertainty across Mexico and the conterminous United States (CONUS). We used a multisource SOC dataset (&gt;10 000 pedons, between 1991 and 2010) coupled with a simulated annealing regression framework that accounts for variable selection. Our model explained 50% of SOC spatial variability (across 250-m grids). We analyzed model variance, and the residual variance of six conventional pedotransfer functions for estimating bulk density to calculate SOC stocks. Two independent datasets confirmed that the SOC stock for both countries represents between 46 and 47 Pg with a total modeling variance of ±12 Pg. We report a residual variance of 10.4 ±5.1 Pg of SOC stocks calculated from six pedotransfer functions for soil bulk density. When reducing training data to define decades with relatively higher density of observations (1991–2000 and 2001–2010, respectively), model variance for predicted SOC stocks ranged between 41 and 55 Pg. We found nearly 42% of SOC across Mexico in forests and 24% in croplands, whereas 31% was found in forests and 28% in croplands across CONUS. Grasslands and shrublands stored 29 and 35% of SOC across Mexico and CONUS, respectively. We predicted SOC stocks &gt;30% below recent global estimates that do not account for uncertainty and are based on legacy data. Our results provide insights for interpretation of estimates based on SOC legacy data and benchmarks for improving regional-to-global monitoring efforts.","container-title":"Global Biogeochemical Cycles","DOI":"10.1029/2019GB006219","ISSN":"1944-9224","issue":"3","language":"en","license":"©2020. American Geophysical Union. All Rights Reserved.","note":"_eprint: https://onlinelibrary.wiley.com/doi/pdf/10.1029/2019GB006219","page":"e2019GB006219","source":"Wiley Online Library","title":"Soil Organic Carbon Across Mexico and the Conterminous United States (1991–2010)","volume":"34","author":[{"family":"Guevara","given":"Mario"},{"family":"Arroyo","given":"Carlos"},{"family":"Brunsell","given":"Nathaniel"},{"family":"Cruz","given":"Carlos O."},{"family":"Domke","given":"Grant"},{"family":"Equihua","given":"Julian"},{"family":"Etchevers","given":"Jorge"},{"family":"Hayes","given":"Daniel"},{"family":"Hengl","given":"Tomislav"},{"family":"Ibelles","given":"Alejandro"},{"family":"Johnson","given":"Kris"},{"family":"Jong","given":"Ben","non-dropping-particle":"de"},{"family":"Libohova","given":"Zamir"},{"family":"Llamas","given":"Ricardo"},{"family":"Nave","given":"Lucas"},{"family":"Ornelas","given":"Jose L."},{"family":"Paz","given":"Fernando"},{"family":"Ressl","given":"Rainer"},{"family":"Schwartz","given":"Anita"},{"family":"Victoria","given":"Arturo"},{"family":"Wills","given":"Skye"},{"family":"Vargas","given":"Rodrigo"}],"issued":{"date-parts":[["2020"]]}}}],"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(Mario Guevara et al., 2020)</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w:t>
      </w:r>
      <w:r w:rsidRPr="008E4EFB">
        <w:rPr>
          <w:rFonts w:ascii="Times New Roman" w:hAnsi="Times New Roman" w:cs="Times New Roman"/>
          <w:sz w:val="24"/>
          <w:szCs w:val="24"/>
        </w:rPr>
        <w:t xml:space="preserve">The </w:t>
      </w:r>
      <w:r w:rsidRPr="008E4EFB">
        <w:rPr>
          <w:rFonts w:ascii="Times New Roman" w:hAnsi="Times New Roman" w:cs="Times New Roman"/>
          <w:sz w:val="24"/>
          <w:szCs w:val="24"/>
          <w:shd w:val="clear" w:color="auto" w:fill="FFFFFF"/>
        </w:rPr>
        <w:t>Probabilistic Remapping of SSURGO (</w:t>
      </w:r>
      <w:r w:rsidRPr="008E4EFB">
        <w:rPr>
          <w:rFonts w:ascii="Times New Roman" w:hAnsi="Times New Roman" w:cs="Times New Roman"/>
          <w:sz w:val="24"/>
          <w:szCs w:val="24"/>
        </w:rPr>
        <w:t xml:space="preserve">POLARIS) database of soil property maps predicts </w:t>
      </w:r>
      <w:r w:rsidRPr="008E4EFB">
        <w:rPr>
          <w:rFonts w:ascii="Times New Roman" w:hAnsi="Times New Roman" w:cs="Times New Roman"/>
          <w:sz w:val="24"/>
          <w:szCs w:val="24"/>
          <w:shd w:val="clear" w:color="auto" w:fill="FFFFFF"/>
        </w:rPr>
        <w:t xml:space="preserve">59.2 Pg across the CONUS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{"citationID":"6P0cssBo","properties":{"formattedCitation":"(Chaney et al., 2019)","plainCitation":"(Chaney et al., 2019)","noteIndex":0},"citationItems":[{"id":3172,"uris":["http://zotero.org/users/3110659/items/83KXQITS"],"itemData":{"id":3172,"type":"article-journal","container-title":"Water Resources Research","DOI":"doi.org/10.1029/2018WR022797","page":"2916-2938","title":"POLARIS Soil Properties: 30‐m Probabilistic Maps of Soil Properties Over the Contiguous United States","volume":"55","author":[{"family":"Chaney","given":"Nathaniel W."},{"family":"Minasny","given":"Budiman"},{"family":"Herman","given":"Jonathan D."},{"family":"Nauman","given":"Travis W."},{"family":"Brungard","given":"Colby W."},{"family":"Morgan","given":"Cristine L. S."},{"family":"McBratney","given":"Alexander B."},{"family":"Wood","given":"Eric F."},{"family":"Yimam","given":"Yohannes"}],"issued":{"date-parts":[["2019",4,9]]}}}],"schema":"https://github.com/citation-style-language/schema/raw/master/csl-citation.json"}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(Chaney et al., 2019)</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One study of SOC in the US using observations and earth system model (ESM) projections with machine learning estimated present-day stocks at 64.2 Pg C for up to 1 m depth. The ESM-only estimate was 69.4 Pg C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{"citationID":"BmDRfXAU","properties":{"formattedCitation":"(Gautam et al., 2022)","plainCitation":"(Gautam et al., 2022)","noteIndex":0},"citationItems":[{"id":2687,"uris":["http://zotero.org/users/3110659/items/NP8KHEYJ"],"itemData":{"id":2687,"type":"article-journal","abstract":"Aims High-resolution information on soils’ vulnerability to climate-induced soil organic carbon (SOC) loss can enable environmental scientists, land managers, and policy makers to develop targeted mitigation strategies. This study aims to estimate baseline and decadal changes in continental US surface SOC stocks under future emission scenarios. Location Continental United States. Time period 2014–2100. Methods We used recent SOC field observations (n = 6,213 sites), environmental factors (n = 32), and an ensemble machine learning (ML) approach to estimate baseline SOC stocks in surface soils across the continental United States at 100-m spatial resolution, and decadal changes under the projected climate scenarios of Coupled Model Intercomparison Project Phase Six (CMIP6) earth system models (ESMs). Results Baseline SOC projections from ML approaches captured more than 50% of variability in SOC observations, whereas ESMs represented only 6–16% of observed SOC variability. ML estimates showed a mean total loss of 1.8 Pg C from US surface soils under the high-emission scenario by 2100, whereas ESMs showed no significant change in SOC stocks with wide variation among ESMs. Both ML and ESM predictions agree on the direction of SOC change (net emissions or sequestration) across 46–51% of continental US land area. These differences are attributable to the high-resolution site-specific data used in the ML models compared to the relatively coarse grid represented in CMIP6 ESMs. Main conclusions Our high-resolution estimates of baseline SOC stocks, identification of key environmental controllers, and projection of SOC changes from US land cover types under future climate scenarios suggest the need for high-resolution simulations of SOC in ESMs to represent the heterogeneity of SOC. We found that the SOC change is sensitive to key soil related factors (e.g. soil drainage and soil order) that have not been historically considered as input parameters in ESMs, because currently more than 95% variability in the SOC of CMIP6 ESMs is controlled by net primary productivity, temperature, and precipitation. Using additional environmental factors to estimate the baseline SOC stocks and predict the future trajectory of SOC change can provide more accurate results.","container-title":"Global Ecology and Biogeography","DOI":"10.1111/geb.13489","ISSN":"1466-8238","issue":"6","language":"en","license":"© 2022 The Authors. Global Ecology and Biogeography published by John Wiley &amp; Sons Ltd.","note":"_eprint: https://onlinelibrary.wiley.com/doi/pdf/10.1111/geb.13489","page":"1147-1160","source":"Wiley Online Library","title":"Continental United States may lose 1.8 petagrams of soil organic carbon under climate change by 2100","volume":"31","author":[{"family":"Gautam","given":"Sagar"},{"family":"Mishra","given":"Umakant"},{"family":"Scown","given":"Corinne D."},{"family":"Wills","given":"Skye A."},{"family":"Adhikari","given":"Kabindra"},{"family":"Drewniak","given":"Beth A."}],"issued":{"date-parts":[["2022"]]}}}],"schema":"https://github.com/citation-style-language/schema/raw/master/csl-citation.json"}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(Gautam et al., 2022)</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RACA estimates total carbon storage in the CONUS is 73 Pg but they do not explicitly state the depth of the measurements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{"citationID":"FNH6xrY2","properties":{"formattedCitation":"(Sundquist et al., 2009)","plainCitation":"(Sundquist et al., 2009)","noteIndex":0},"citationItems":[{"id":2068,"uris":["http://zotero.org/users/3110659/items/X2IZT2Z2"],"itemData":{"id":2068,"type":"report","genre":"Open-File Report","language":"en","note":"collection-title: Open-File Report","number":"1283","page":"23","publisher":"US Geological Survey, US Department of the Interior","source":"DOI.org (Crossref)","title":"Rapid Assessment of U.S. Forest and Soil Organic Carbon Storage and Forest Biomass Carbon Sequestration Capacity","author":[{"family":"Sundquist","given":"Eric T."},{"family":"Ackerman","given":"Katherine V."},{"family":"Bliss","given":"Norman B."},{"family":"Kellndorfer","given":"Josef M."},{"family":"Reeves","given":"Matt C."},{"family":"Rollins","given":"Matthew G."}],"issued":{"date-parts":[["2009"]]}}}],"schema":"https://github.com/citation-style-language/schema/raw/master/csl-citation.json"}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(Sundquist et al., 2009)</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Different methods to improve the representation of SOC distribution in a land biogeochemical model (CLM5) produced estimates ranging from 77.4 to 101.2 Pg C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{"citationID":"31sqbZlG","properties":{"formattedCitation":"(Tao et al., 2020)","plainCitation":"(Tao et al., 2020)","noteIndex":0},"citationItems":[{"id":2064,"uris":["http://zotero.org/users/3110659/items/XVTC674U"],"itemData":{"id":2064,"type":"article-journal","abstract":"Soil organic carbon (SOC) is a key component of the global carbon cycle, yet it is not well-represented in Earth system models to accurately predict global carbon dynamics in response to climate change. This novel study integrated deep learning, data assimilation, 25,444 vertical soil profiles, and the Community Land Model version 5 (CLM5) to optimize the model representation of SOC over the conterminous United States. We firstly constrained parameters in CLM5 using observations of vertical profiles of SOC in both a batch mode (using all individual soil layers in one batch) and at individual sites (site-by-site). The estimated parameter values from the site-by-site data assimilation were then either randomly sampled (random-sampling) to generate continentally homogeneous (constant) parameter values or maximally preserved for their spatially heterogeneous distributions (varying parameter values to match the spatial patterns from the site-by-site data assimilation) so as to optimize spatial representation of SOC in CLM5 through a deep learning technique (neural networking) over the conterminous United States. Comparing modeled spatial distributions of SOC by CLM5 to observations yielded increasing predictive accuracy from default CLM5 settings (R2 = 0.32) to randomly sampled (0.36), one-batch estimated (0.43), and deep learning optimized (0.62) parameter values. While CLM5 with parameter values derived from random-sampling and one-batch methods substantially corrected the overestimated SOC storage by that with default model parameters, there were still considerable geographical biases. CLM5 with the spatially heterogeneous parameter values optimized from the neural networking method had the least estimation error and less geographical biases across the conterminous United States. Our study indicated that deep learning in combination with data assimilation can significantly improve the representation of SOC by complex land biogeochemical models.","container-title":"Frontiers in Big Data","ISSN":"2624-909X","source":"Frontiers","title":"Deep Learning Optimizes Data-Driven Representation of Soil Organic Carbon in Earth System Model Over the Conterminous United States","URL":"https://www.frontiersin.org/article/10.3389/fdata.2020.00017","volume":"3","author":[{"family":"Tao","given":"Feng"},{"family":"Zhou","given":"Zhenghu"},{"family":"Huang","given":"Yuanyuan"},{"family":"Li","given":"Qianyu"},{"family":"Lu","given":"Xingjie"},{"family":"Ma","given":"Shuang"},{"family":"Huang","given":"Xiaomeng"},{"family":"Liang","given":"Yishuang"},{"family":"Hugelius","given":"Gustaf"},{"family":"Jiang","given":"Lifen"},{"family":"Doughty","given":"Russell"},{"family":"Ren","given":"Zhehao"},{"family":"Luo","given":"Yiqi"}],"accessed":{"date-parts":[["2022",5,14]]},"issued":{"date-parts":[["2020"]]}}}],"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(Tao et al., 2020)</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The </w:t>
      </w:r>
      <w:r w:rsidRPr="008E4EFB">
        <w:rPr>
          <w:rFonts w:ascii="Times New Roman" w:hAnsi="Times New Roman" w:cs="Times New Roman"/>
          <w:sz w:val="24"/>
          <w:szCs w:val="24"/>
        </w:rPr>
        <w:t>World Inventory of Soil Property Estimates (</w:t>
      </w:r>
      <w:r w:rsidRPr="008E4EFB">
        <w:rPr>
          <w:rFonts w:ascii="Times New Roman" w:hAnsi="Times New Roman" w:cs="Times New Roman"/>
          <w:sz w:val="24"/>
          <w:szCs w:val="24"/>
          <w:shd w:val="clear" w:color="auto" w:fill="FFFFFF"/>
        </w:rPr>
        <w:t xml:space="preserve">WISE30) estimated that the total SOC stocks in the CONUS were 97.7 Pg C for 0 – 30 cm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{"citationID":"51kRU8BQ","properties":{"formattedCitation":"(N. H. Batjes, 2016)","plainCitation":"(N. H. Batjes, 2016)","noteIndex":0},"citationItems":[{"id":3186,"uris":["http://zotero.org/users/3110659/items/246K4A99"],"itemData":{"id":3186,"type":"article-journal","abstract":"Soils play a key role in providing a range of ecosystem services. Quality-assessed soil information, with quantified uncertainty levels, is needed to address a range of global issues. Traditional mapping methods, which recognize that soil classes are “important carriers of soil information”, were used to prepare an updated harmonized dataset of derived soil properties for the world at a nominal resolution of 30 by 30arc sec (WISE30sec). The map unit composition was determined using an overlay of the Harmonized World Soil Database, with minor corrections, and the Köppen–Geiger climate zones map as categorical co-variate. Property estimates for the respective component soil units were derived using taxonomy-based transfer rules that draw on a statistical analysis of some 21,000 soil profiles. Best estimates (mean±standard deviation) for twenty soil properties were calculated for seven depth intervals (up to 2m depth or less when thinner): organic carbon content, total nitrogen, C/N ratio, pH(H2O), CECsoil, CECclay, effective CEC, total exchangeable bases (TEB), base saturation, aluminium saturation, calcium carbonate content, gypsum content, exchangeable sodium percentage (ESP), electrical conductivity, particle size distribution (content of sand, silt and clay), proportion of coarse fragments (&gt;2mm), bulk density, and available water capacity (−33 to −1500kPa); also the dominant soil drainage class. Coefficients of variation tend to be large. WISE30sec may be used for applications at a broad scale (&lt;1:1M) upon consideration of the underlying data lineage, generalizations, and the associated uncertainties. As an example, the database was used to calculate the global soil organic carbon (SOC) stock to 2m depth. Some 30% (607±87PgC) of this stock (2060±215PgC) is held in the Northern Circumpolar Region, which is considered most sensitive to climate change.","container-title":"Geoderma","DOI":"10.1016/j.geoderma.2016.01.034","ISSN":"0016-7061","journalAbbreviation":"Geoderma","page":"61-68","source":"ScienceDirect","title":"Harmonized soil property values for broad-scale modelling (WISE30sec) with estimates of global soil carbon stocks","volume":"269","author":[{"family":"Batjes","given":"N. H."}],"issued":{"date-parts":[["2016",5,1]]}}}],"schema":"https://github.com/citation-style-language/schema/raw/master/csl-citation.json"}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(N. H. Batjes, 2016)</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One commonly used dataset, SoilGrid250m, estimated 102.4 Pg C across the CONUS at 0 – 30 cm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{"citationID":"haXO4ALd","properties":{"formattedCitation":"(Hengl et al., 2017)","plainCitation":"(Hengl et al., 2017)","noteIndex":0},"citationItems":[{"id":2681,"uris":["http://zotero.org/users/3110659/items/LEAB797H"],"itemData":{"id":2681,"type":"article-journal","container-title":"PLOS ONE","DOI":"10.1371/journal.pone.0169748","ISSN":"1932-6203","issue":"2","journalAbbreviation":"PLoS ONE","language":"en","page":"e0169748","source":"DOI.org (Crossref)","title":"SoilGrids250m: Global gridded soil information based on machine learning","title-short":"SoilGrids250m","volume":"12","author":[{"family":"Hengl","given":"Tomislav"},{"family":"Mendes De Jesus","given":"Jorge"},{"family":"Heuvelink","given":"Gerard B. M."},{"family":"Ruiperez Gonzalez","given":"Maria"},{"family":"Kilibarda","given":"Milan"},{"family":"Blagotić","given":"Aleksandar"},{"family":"Shangguan","given":"Wei"},{"family":"Wright","given":"Marvin N."},{"family":"Geng","given":"Xiaoyuan"},{"family":"Bauer-Marschallinger","given":"Bernhard"},{"family":"Guevara","given":"Mario Antonio"},{"family":"Vargas","given":"Rodrigo"},{"family":"MacMillan","given":"Robert A."},{"family":"Batjes","given":"Niels H."},{"family":"Leenaars","given":"Johan G. B."},{"family":"Ribeiro","given":"Eloi"},{"family":"Wheeler","given":"Ichsani"},{"family":"Mantel","given":"Stephan"},{"family":"Kempen","given":"Bas"}],"editor":[{"family":"Bond-Lamberty","given":"Ben"}],"issued":{"date-parts":[["2017",2,16]]}}}],"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(Hengl et al., 2017)</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Calculation from soil property and class maps of CONUS at 100 m spatial resolution indicated 106.2 Pg at 0 – 30 cm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{"citationID":"5MUnJgLp","properties":{"formattedCitation":"(Ramcharan et al., 2018)","plainCitation":"(Ramcharan et al., 2018)","noteIndex":0},"citationItems":[{"id":3188,"uris":["http://zotero.org/users/3110659/items/UMTT3XJA"],"itemData":{"id":3188,"type":"article-journal","abstract":"Core Ideas Ensemble machine learning methods were used to obtain gridded soil property and class maps. Final predictions were generated for six soil properties and two soil classes at 100-m resolution. Soil data are easier to integrate with spatially explicit models compared with multicomponent map units. Soil property maps are available at seven standard depths. With growing concern for the depletion of soil resources, conventional soil maps need to be updated and provided at finer and finer resolutions to be able to support spatially explicit human–landscape models. Three US soil point datasets—the National Cooperative Soil Survey Characterization Database, the National Soil Information System, and the Rapid Carbon Assessment dataset—were combined with a stack of over 200 environmental datasets and gSSURGO polygon maps to generate complete coverage gridded predictions at 100-m spatial resolution of six soil properties (percentage of organic C, total N, bulk density, pH, and percentage of sand and clay) and two US soil taxonomic classes (291 great groups [GGs] and 78 modified particle size classes [mPSCs]) for the conterminous United States. Models were built using parallelized random forest and gradient boosting algorithms as implemented in the ranger and xgboost packages for R. Soil property predictions were generated at seven standard soil depths (0, 5, 15, 30, 60, 100, and 200 cm). Prediction probability maps for US soil taxonomic classifications were also generated. Cross validation results indicated an out-of-bag classification accuracy of 60% for GGs and 66% for mPSCs; for soil properties, RMSE for leave-location-out cross-validation was 0.74 (R2 = 0.68), 17.8 wt% (R2 = 0.57), 12 wt% (R2 = 0.46), 3.63 wt% (R2 = 0.41), 0.2 g cm−3 (R2 = 0.42), and 0.27 wt% (R2 = 0.39) for pH, percent sand and clay, weight percentage of organic C, bulk density, and weight percentage of total N, respectively. Nine independent validation datasets were used to assess prediction accuracies for soil class models, and results ranged between 24 and 58% and between 24 and 93% for GG and mPSC prediction accuracies, respectively. Although mapping accuracies were variable and likely lower than gSSURGO in some areas, this modeling approach can enable easier integration of soil information with spatially explicit models compared with multicomponent map units.","container-title":"Soil Science Society of America Journal","DOI":"10.2136/sssaj2017.04.0122","ISSN":"1435-0661","issue":"1","language":"en","license":"© 2018 The Authors.","note":"_eprint: https://onlinelibrary.wiley.com/doi/pdf/10.2136/sssaj2017.04.0122","page":"186-201","source":"Wiley Online Library","title":"Soil Property and Class Maps of the Conterminous United States at 100-Meter Spatial Resolution","volume":"82","author":[{"family":"Ramcharan","given":"Amanda"},{"family":"Hengl","given":"Tomislav"},{"family":"Nauman","given":"Travis"},{"family":"Brungard","given":"Colby"},{"family":"Waltman","given":"Sharon"},{"family":"Wills","given":"Skye"},{"family":"Thompson","given":"James"}],"issued":{"date-parts":[["2018"]]}}}],"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(Ramcharan et al., 2018)</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w:t>
      </w:r>
      <w:r w:rsidRPr="008E4EFB">
        <w:rPr>
          <w:rFonts w:ascii="Times New Roman" w:hAnsi="Times New Roman" w:cs="Times New Roman"/>
          <w:sz w:val="24"/>
          <w:szCs w:val="24"/>
        </w:rPr>
        <w:t xml:space="preserve"> </w:t>
      </w:r>
      <w:r w:rsidRPr="008E4EFB">
        <w:rPr>
          <w:rFonts w:ascii="Times New Roman" w:hAnsi="Times New Roman" w:cs="Times New Roman"/>
          <w:sz w:val="24"/>
          <w:szCs w:val="24"/>
          <w:shd w:val="clear" w:color="auto" w:fill="FFFFFF"/>
        </w:rPr>
        <w:t xml:space="preserve">These are wide-ranging values, from a low of 29.3 to a high of 106.2 Pg C for the same area for generally the same time period, although soil carbon changes slowly so any differences in timeframe are unlikely to account for such drastically different estimates. </w:t>
      </w:r>
      <w:r w:rsidRPr="008E4EFB">
        <w:rPr>
          <w:rFonts w:ascii="Times New Roman" w:hAnsi="Times New Roman" w:cs="Times New Roman"/>
          <w:sz w:val="24"/>
          <w:szCs w:val="24"/>
        </w:rPr>
        <w:t xml:space="preserve">It has been demonstrated that predictors of SOC vary by spatial </w:t>
      </w:r>
      <w:r w:rsidRPr="008E4EFB">
        <w:rPr>
          <w:rFonts w:ascii="Times New Roman" w:hAnsi="Times New Roman" w:cs="Times New Roman"/>
          <w:sz w:val="24"/>
          <w:szCs w:val="24"/>
        </w:rPr>
        <w:lastRenderedPageBreak/>
        <w:t xml:space="preserve">scale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{"citationID":"p8evXGUX","properties":{"formattedCitation":"(Adhikari et al., 2020)","plainCitation":"(Adhikari et al., 2020)","noteIndex":0},"citationItems":[{"id":3218,"uris":["http://zotero.org/users/3110659/items/4EDRXUWP"],"itemData":{"id":3218,"type":"article-journal","abstract":"Spatial heterogeneity in environmental factors on the land surface moderates exchanges of water, energy, and greenhouse gases between the land and the atmosphere. However, appropriately representing this heterogeneity in earth system models remains a critical scientific challenge. We used a large dataset of environmental factors (n = 31) representing soil-forming factors, field observations of soil organic carbon (SOC) (n = 6213), and a machine-learning algorithm (Cubist) to analyze the scaling behavior of SOC across the conterminous United States. We found that various environmental factors are significant predictors of SOC stocks at different spatial scales. Out of the 31 environmental factors we investigated, only 13 were significant predictors of SOC stocks at spatial scales ranging from 100 m to 50 km. Overall, topographic variables had higher influence at finer scales, whereas climatic variables were more important at coarser scales. The model performance worsened with increasing scale or the spatial resolution of prediction (R2 = 0.38–0.65). The strength of environmental controls (median regression coefficient) on SOC weakened with scale, and we represented them using mathematical functions (R2 = 0.38–0.98). Both the mean and variance of SOC stocks decreased linearly with increasing the scale in soils of the conterminous United States. Fitted linear functions accounted for 81% and 82% of the variability in the mean and variance of SOC, respectively. We also found linear relationships among mean and high-order moments of SOC (R2 = 0.51–0.97). Improved understanding of the scaling behavior of SOC stocks and their environmental controllers can improve earth system model benchmarking and may eventually improve representation of the spatial heterogeneity of land surface biogeochemistry.","container-title":"Geoderma","DOI":"10.1016/j.geoderma.2020.114472","ISSN":"0016-7061","journalAbbreviation":"Geoderma","page":"114472","source":"ScienceDirect","title":"Importance and strength of environmental controllers of soil organic carbon changes with scale","volume":"375","author":[{"family":"Adhikari","given":"K."},{"family":"Mishra","given":"U."},{"family":"Owens","given":"P. R."},{"family":"Libohova","given":"Z."},{"family":"Wills","given":"S. A."},{"family":"Riley","given":"W. J."},{"family":"Hoffman","given":"F. M."},{"family":"Smith","given":"D. R."}],"issued":{"date-parts":[["2020",10,1]]}}}],"schema":"https://github.com/citation-style-language/schema/raw/master/csl-citation.json"}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(Adhikari et al., 2020)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and so some of this large variation could be explained by the different resolutions of these studies which vary from 250 m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{"citationID":"154G6jVn","properties":{"formattedCitation":"(Hengl et al., 2017)","plainCitation":"(Hengl et al., 2017)","noteIndex":0},"citationItems":[{"id":2681,"uris":["http://zotero.org/users/3110659/items/LEAB797H"],"itemData":{"id":2681,"type":"article-journal","container-title":"PLOS ONE","DOI":"10.1371/journal.pone.0169748","ISSN":"1932-6203","issue":"2","journalAbbreviation":"PLoS ONE","language":"en","page":"e0169748","source":"DOI.org (Crossref)","title":"SoilGrids250m: Global gridded soil information based on machine learning","title-short":"SoilGrids250m","volume":"12","author":[{"family":"Hengl","given":"Tomislav"},{"family":"Mendes De Jesus","given":"Jorge"},{"family":"Heuvelink","given":"Gerard B. M."},{"family":"Ruiperez Gonzalez","given":"Maria"},{"family":"Kilibarda","given":"Milan"},{"family":"Blagotić","given":"Aleksandar"},{"family":"Shangguan","given":"Wei"},{"family":"Wright","given":"Marvin N."},{"family":"Geng","given":"Xiaoyuan"},{"family":"Bauer-Marschallinger","given":"Bernhard"},{"family":"Guevara","given":"Mario Antonio"},{"family":"Vargas","given":"Rodrigo"},{"family":"MacMillan","given":"Robert A."},{"family":"Batjes","given":"Niels H."},{"family":"Leenaars","given":"Johan G. B."},{"family":"Ribeiro","given":"Eloi"},{"family":"Wheeler","given":"Ichsani"},{"family":"Mantel","given":"Stephan"},{"family":"Kempen","given":"Bas"}],"editor":[{"family":"Bond-Lamberty","given":"Ben"}],"issued":{"date-parts":[["2017",2,16]]}}}],"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(Hengl et al., 2017)</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to 1 km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{"citationID":"WRhqisX9","properties":{"formattedCitation":"(Z. Wang et al., 2024)","plainCitation":"(Z. Wang et al., 2024)","noteIndex":0},"citationItems":[{"id":3094,"uris":["http://zotero.org/users/3110659/items/NSM2IWDX"],"itemData":{"id":3094,"type":"article-journal","abstract":"Estimates of soil organic carbon (SOC) stocks are essential for many environmental applications. However, significant inconsistencies exist in SOC stock estimates for the U.S. across current SOC maps. We propose a framework that combines unsupervised multivariate geographic clustering (MGC) and supervised Random Forests regression, improving SOC maps by capturing heterogeneous relationships with SOC drivers. We first used MGC to divide the U.S. into 20 SOC regions based on the similarity of covariates (soil biogeochemical, bioclimatic, biological, and physiographic variables). Subsequently, separate Random Forests models were trained for each SOC region, utilizing environmental covariates and SOC observations. Our estimated SOC stocks for the U.S. (52.6 ± 3.2 Pg for 0–30 cm and 108.3 ± 8.2 Pg for 0–100 cm depth) were within the range estimated by existing products like Harmonized World Soil Database, HWSD (46.7 Pg for 0–30 cm and 90.7 Pg for 0–100 cm depth) and SoilGrids 2.0 (45.7 Pg for 0–30 cm and 133.0 Pg for 0–100 cm depth). However, independent validation with soil profile data from the National Ecological Observatory Network showed that our approach (R2 = 0.51) outperformed the estimates obtained from Harmonized World Soil Database (R2 = 0.23) and SoilGrids 2.0 (R2 = 0.39) for the topsoil (0–30 cm). Uncertainty analysis (e.g., low representativeness and high coefficients of variation) identified regions requiring more measurements, such as Alaska and the deserts of the U.S. Southwest. Our approach effectively captures the heterogeneous relationships between widely available predictors and the current SOC baseline across regions, offering reliable SOC estimates at 1 km resolution for benchmarking Earth system models.","container-title":"Journal of Geophysical Research: Biogeosciences","DOI":"10.1029/2023JG007702","ISSN":"2169-8961","issue":"2","language":"en","license":"© 2024. The Authors.","note":"_eprint: https://onlinelibrary.wiley.com/doi/pdf/10.1029/2023JG007702","page":"e2023JG007702","source":"Wiley Online Library","title":"Upscaling Soil Organic Carbon Measurements at the Continental Scale Using Multivariate Clustering Analysis and Machine Learning","volume":"129","author":[{"family":"Wang","given":"Zhuonan"},{"family":"Kumar","given":"Jitendra"},{"family":"Weintraub-Leff","given":"Samantha R."},{"family":"Todd-Brown","given":"Katherine"},{"family":"Mishra","given":"Umakant"},{"family":"Sihi","given":"Debjani"}],"issued":{"date-parts":[["2024"]]}}}],"schema":"https://github.com/citation-style-language/schema/raw/master/csl-citation.json"}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(Z. Wang et al., 2024)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This issue of aggregation producing different results depending on the scale is known as the Modifiable Area Unit Problem (MAUP) in geographic research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{"citationID":"sHO9VhLT","properties":{"formattedCitation":"(Gehlke &amp; Biehl, 1934)","plainCitation":"(Gehlke &amp; Biehl, 1934)","noteIndex":0},"citationItems":[{"id":3285,"uris":["http://zotero.org/users/3110659/items/ZUSAWY7N"],"itemData":{"id":3285,"type":"article-journal","container-title":"Journal of the American Statistical Association","issue":"185A","page":"169-170]","title":"Certain Effects of Grouping upon the Size of the Correlation Coefficient in Census Tract Material","volume":"29","author":[{"family":"Gehlke","given":"C.E."},{"family":"Biehl","given":"Katherine"}],"issued":{"date-parts":[["1934"]]}}}],"schema":"https://github.com/citation-style-language/schema/raw/master/csl-citation.json"}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(Gehlke &amp; Biehl, 1934)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However, in this case, it is additionally complicated because the underlying datasets are not identical. Our approach seeks to harmonize a wide variety of datasets and create an informative and useful accounting of regional variations and total SOC in the US, including a comprehensive comparison of different machine learning methods that are commonly employed. </w:t>
      </w:r>
    </w:p>
    <w:p w14:paraId="65470C0A" w14:textId="72BBF833" w:rsidR="00537FE1" w:rsidRPr="008E4EFB" w:rsidRDefault="00537FE1" w:rsidP="00D555F0">
      <w:pPr>
        <w:pStyle w:val="Style3"/>
        <w:numPr>
          <w:ilvl w:val="1"/>
          <w:numId w:val="32"/>
        </w:numPr>
        <w:spacing w:before="0" w:line="360" w:lineRule="auto"/>
        <w:rPr>
          <w:rFonts w:cs="Times New Roman"/>
          <w:szCs w:val="24"/>
        </w:rPr>
      </w:pPr>
      <w:r w:rsidRPr="008E4EFB">
        <w:rPr>
          <w:rFonts w:cs="Times New Roman"/>
          <w:szCs w:val="24"/>
        </w:rPr>
        <w:t>Regional Differences</w:t>
      </w:r>
      <w:bookmarkEnd w:id="109"/>
    </w:p>
    <w:p w14:paraId="7717F954" w14:textId="627EE39F" w:rsidR="00E53376" w:rsidRPr="008E4EFB" w:rsidRDefault="00E53376" w:rsidP="00D555F0">
      <w:pPr>
        <w:spacing w:after="0" w:line="360" w:lineRule="auto"/>
        <w:rPr>
          <w:rFonts w:ascii="Times New Roman" w:hAnsi="Times New Roman" w:cs="Times New Roman"/>
          <w:sz w:val="24"/>
          <w:szCs w:val="24"/>
        </w:rPr>
      </w:pPr>
      <w:bookmarkStart w:id="110" w:name="_Toc179917999"/>
      <w:r w:rsidRPr="008E4EFB">
        <w:rPr>
          <w:rFonts w:ascii="Times New Roman" w:hAnsi="Times New Roman" w:cs="Times New Roman"/>
          <w:sz w:val="24"/>
          <w:szCs w:val="24"/>
        </w:rPr>
        <w:t xml:space="preserve">The recent paper by Wang et al.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{"citationID":"lriu0Axp","properties":{"formattedCitation":"(Z. Wang et al., 2024)","plainCitation":"(Z. Wang et al., 2024)","noteIndex":0},"citationItems":[{"id":3094,"uris":["http://zotero.org/users/3110659/items/NSM2IWDX"],"itemData":{"id":3094,"type":"article-journal","abstract":"Estimates of soil organic carbon (SOC) stocks are essential for many environmental applications. However, significant inconsistencies exist in SOC stock estimates for the U.S. across current SOC maps. We propose a framework that combines unsupervised multivariate geographic clustering (MGC) and supervised Random Forests regression, improving SOC maps by capturing heterogeneous relationships with SOC drivers. We first used MGC to divide the U.S. into 20 SOC regions based on the similarity of covariates (soil biogeochemical, bioclimatic, biological, and physiographic variables). Subsequently, separate Random Forests models were trained for each SOC region, utilizing environmental covariates and SOC observations. Our estimated SOC stocks for the U.S. (52.6 ± 3.2 Pg for 0–30 cm and 108.3 ± 8.2 Pg for 0–100 cm depth) were within the range estimated by existing products like Harmonized World Soil Database, HWSD (46.7 Pg for 0–30 cm and 90.7 Pg for 0–100 cm depth) and SoilGrids 2.0 (45.7 Pg for 0–30 cm and 133.0 Pg for 0–100 cm depth). However, independent validation with soil profile data from the National Ecological Observatory Network showed that our approach (R2 = 0.51) outperformed the estimates obtained from Harmonized World Soil Database (R2 = 0.23) and SoilGrids 2.0 (R2 = 0.39) for the topsoil (0–30 cm). Uncertainty analysis (e.g., low representativeness and high coefficients of variation) identified regions requiring more measurements, such as Alaska and the deserts of the U.S. Southwest. Our approach effectively captures the heterogeneous relationships between widely available predictors and the current SOC baseline across regions, offering reliable SOC estimates at 1 km resolution for benchmarking Earth system models.","container-title":"Journal of Geophysical Research: Biogeosciences","DOI":"10.1029/2023JG007702","ISSN":"2169-8961","issue":"2","language":"en","license":"© 2024. The Authors.","note":"_eprint: https://onlinelibrary.wiley.com/doi/pdf/10.1029/2023JG007702","page":"e2023JG007702","source":"Wiley Online Library","title":"Upscaling Soil Organic Carbon Measurements at the Continental Scale Using Multivariate Clustering Analysis and Machine Learning","volume":"129","author":[{"family":"Wang","given":"Zhuonan"},{"family":"Kumar","given":"Jitendra"},{"family":"Weintraub-Leff","given":"Samantha R."},{"family":"Todd-Brown","given":"Katherine"},{"family":"Mishra","given":"Umakant"},{"family":"Sihi","given":"Debjani"}],"issued":{"date-parts":[["2024"]]}}}],"schema":"https://github.com/citation-style-language/schema/raw/master/csl-citation.json"}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(Z. Wang et al., 2024)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on upscaling soil organic carbon measurements in the US to create a unified map relies on a representativeness analysis and a separate Random Forest model for each of the 20 regions they identify. This approach with multivariate geographic clustering demonstrates that different predictor variables have different importances in the location-specific Random Forest models, but it also means that the framework lacks some applicability outside of these regions. Where this analysis is particularly valuable, however</w:t>
      </w:r>
      <w:proofErr w:type="gramStart"/>
      <w:r w:rsidRPr="008E4EFB">
        <w:rPr>
          <w:rFonts w:ascii="Times New Roman" w:hAnsi="Times New Roman" w:cs="Times New Roman"/>
          <w:sz w:val="24"/>
          <w:szCs w:val="24"/>
        </w:rPr>
        <w:t>, is</w:t>
      </w:r>
      <w:proofErr w:type="gramEnd"/>
      <w:r w:rsidRPr="008E4EFB">
        <w:rPr>
          <w:rFonts w:ascii="Times New Roman" w:hAnsi="Times New Roman" w:cs="Times New Roman"/>
          <w:sz w:val="24"/>
          <w:szCs w:val="24"/>
        </w:rPr>
        <w:t xml:space="preserve"> in locating regions that have high uncertainty and therefore should be targeted in future SOC monitoring and field sampling efforts. Our results agree with theirs on the spatial pattern of SOC stocks: SOC generally decreases with latitude and the West and Rocky Mountains have particularly low values but also encompass a very large region (</w:t>
      </w:r>
      <w:r w:rsidRPr="00427197">
        <w:rPr>
          <w:rFonts w:ascii="Times New Roman" w:hAnsi="Times New Roman" w:cs="Times New Roman"/>
          <w:b/>
          <w:bCs/>
          <w:sz w:val="24"/>
          <w:szCs w:val="24"/>
        </w:rPr>
        <w:t xml:space="preserve">Figure </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3</w:t>
      </w:r>
      <w:r w:rsidRPr="008E4EFB">
        <w:rPr>
          <w:rFonts w:ascii="Times New Roman" w:hAnsi="Times New Roman" w:cs="Times New Roman"/>
          <w:sz w:val="24"/>
          <w:szCs w:val="24"/>
        </w:rPr>
        <w:t xml:space="preserve">). In these regions, many of the soils are </w:t>
      </w:r>
      <w:proofErr w:type="spellStart"/>
      <w:r w:rsidRPr="008E4EFB">
        <w:rPr>
          <w:rFonts w:ascii="Times New Roman" w:hAnsi="Times New Roman" w:cs="Times New Roman"/>
          <w:sz w:val="24"/>
          <w:szCs w:val="24"/>
        </w:rPr>
        <w:t>aridisols</w:t>
      </w:r>
      <w:proofErr w:type="spellEnd"/>
      <w:r w:rsidRPr="008E4EFB">
        <w:rPr>
          <w:rFonts w:ascii="Times New Roman" w:hAnsi="Times New Roman" w:cs="Times New Roman"/>
          <w:sz w:val="24"/>
          <w:szCs w:val="24"/>
        </w:rPr>
        <w:t xml:space="preserve">, which are extremely soil moisture-limited and contain very little organic content. </w:t>
      </w:r>
      <w:r w:rsidRPr="008E4EFB">
        <w:rPr>
          <w:rFonts w:ascii="Times New Roman" w:eastAsia="Times New Roman" w:hAnsi="Times New Roman" w:cs="Times New Roman"/>
          <w:sz w:val="24"/>
          <w:szCs w:val="24"/>
        </w:rPr>
        <w:t xml:space="preserve">The Fruitful Rim and Prairie Gateway have been gaining SOC consistently since 1990 while every other region has remained closer to constant, potentially due to a combination of increased precipitation, reforestation, and relatively stable temperatures </w:t>
      </w:r>
      <w:r w:rsidRPr="008E4EFB">
        <w:rPr>
          <w:rFonts w:ascii="Times New Roman" w:eastAsia="Times New Roman" w:hAnsi="Times New Roman" w:cs="Times New Roman"/>
          <w:sz w:val="24"/>
          <w:szCs w:val="24"/>
        </w:rPr>
        <w:fldChar w:fldCharType="begin"/>
      </w:r>
      <w:r w:rsidR="0004467C" w:rsidRPr="008E4EFB">
        <w:rPr>
          <w:rFonts w:ascii="Times New Roman" w:eastAsia="Times New Roman" w:hAnsi="Times New Roman" w:cs="Times New Roman"/>
          <w:sz w:val="24"/>
          <w:szCs w:val="24"/>
        </w:rPr>
        <w:instrText xml:space="preserve"> ADDIN ZOTERO_ITEM CSL_CITATION {"citationID":"qZJPncoJ","properties":{"formattedCitation":"(Barnes et al., 2024; L. E. Nave et al., 2022)","plainCitation":"(Barnes et al., 2024; L. E. Nave et al., 2022)","noteIndex":0},"citationItems":[{"id":3598,"uris":["http://zotero.org/users/3110659/items/BK2UQQ9A"],"itemData":{"id":3598,"type":"article-journal","abstract":"Restoring and preserving the world's forests are promising natural pathways to mitigate some aspects of climate change. In addition to regulating atmospheric carbon dioxide concentrations, forests modify surface and near-surface air temperatures through biophysical processes. In the eastern United States (EUS), widespread reforestation during the 20th century coincided with an anomalous lack of warming, raising questions about reforestation's contribution to local cooling and climate mitigation. Using new cross-scale approaches and multiple independent sources of data, we uncovered links between reforestation and the response of both surface and air temperature in the EUS. Ground- and satellite-based observations showed that EUS forests cool the land surface by 1–2°C annually compared to nearby grasslands and croplands, with the strongest cooling effect during midday in the growing season, when cooling is 2–5°C. Young forests (20–40 years) have the strongest cooling effect on surface temperature. Surface cooling extends to the near-surface air, with forests reducing midday air temperature by up to 1°C compared to nearby non-forests. Analyses of historical land cover and air temperature trends showed that the cooling benefits of reforestation extend across the landscape. Locations surrounded by reforestation were up to 1°C cooler than neighboring locations that did not undergo land cover change, and areas dominated by regrowing forests were associated with cooling temperature trends in much of the EUS. Our work indicates reforestation contributed to the historically slow pace of warming in the EUS, underscoring reforestation's potential as a local climate adaptation strategy in temperate regions.","container-title":"Earth's Future","DOI":"10.1029/2023EF003663","ISSN":"2328-4277","issue":"2","language":"en","note":"_eprint: https://onlinelibrary.wiley.com/doi/pdf/10.1029/2023EF003663","page":"e2023EF003663","source":"Wiley Online Library","title":"A Century of Reforestation Reduced Anthropogenic Warming in the Eastern United States","volume":"12","author":[{"family":"Barnes","given":"Mallory L."},{"family":"Zhang","given":"Quan"},{"family":"Robeson","given":"Scott M."},{"family":"Young","given":"Lily"},{"family":"Burakowski","given":"Elizabeth A."},{"family":"Oishi","given":"A. Christopher."},{"family":"Stoy","given":"Paul C."},{"family":"Katul","given":"Gaby"},{"family":"Novick","given":"Kimberly A."}],"issued":{"date-parts":[["2024"]]}}},{"id":3600,"uris":["http://zotero.org/users/3110659/items/GJFH4ULY"],"itemData":{"id":3600,"type":"article-journal","abstract":"Evidence-based forest carbon (C) management requires identifying baseline patterns and drivers of soil organic carbon (SOC) stocks, and their responses to land use change and management, at scales relevant to landowners and resource professionals. The growth of datasets related to SOC, which is the largest terrestrial C pool, facilitates use of synthesis techniques to assess SOC stocks and changes at management-relevant scales. We report results from a synthesis using meta-analysis of published studies, as well as two large databases, in which we identify baseline patterns and drivers, quantify influences of land use change and forest management, and provide ecological context for distinct management regimes and their SOC impacts. We conducted this, the fourth in a series of ecoregional SOC assessments, for the South Atlantic States, which are disproportionately important to the national-scale forest C sink and forest products industry in the U.S. At the ecoregional level, baseline SOC stocks vary with climatic, topographic, and soil physical factors such as temperature and precipitation, slope gradient and aspect, and soil texture. Land use change and forest management modestly influence SOC stocks. Reforestation on previously cultivated lands increases SOC stocks, while deforestation for cultivation has the opposite effect; for continuously forested lands, harvesting is associated with SOC increases and prescribed fire with SOC declines. Effects of reforestation are large and positive for upper mineral soils (+30%) but not detectable in lower mineral soils. Negative effects of prescribed fire are due to significant C losses from organic horizons (-46%); fire and harvest have no impacts on upper mineral soils but both increase SOC in lower mineral soils (+8.2 and +46%, respectively, with high uncertainty in the latter). Inceptisols are generally more negatively impacted by prescribed fire or harvest than Ultisols, and covariance between inherent factors (including soil taxonomy) and management impacts indicates how interior vs. coastal physiographic sections differ in their management regimes and SOC trends. In the cooler, wetter, topographically rugged interior hardwood forests, which have larger baseline SOC stocks, prescribed fire and even light harvesting generally decrease SOC; in contrast, intensively managed coastal plain pine plantations begin with small initial SOC stocks, but exhibit rapid gains over even a single rotation. This covariance between place (physiography) and practice (management regime) suggests that distinct approaches to forest C management may be complementary to other ecological or production goals, when implemented as part of wider (e.g., state-level) forest C or climate policy.","container-title":"Forest Ecology and Management","DOI":"10.1016/j.foreco.2022.120410","ISSN":"0378-1127","journalAbbreviation":"Forest Ecology and Management","page":"120410","source":"ScienceDirect","title":"Soil carbon in the South Atlantic United States: Land use change, forest management, and physiographic context","title-short":"Soil carbon in the South Atlantic United States","volume":"520","author":[{"family":"Nave","given":"Lucas E."},{"family":"DeLyser","given":"Kendall"},{"family":"Domke","given":"Grant M."},{"family":"Holub","given":"Scott M."},{"family":"Janowiak","given":"Maria K."},{"family":"Ontl","given":"Todd A."},{"family":"Sprague","given":"Eric"},{"family":"Viau","given":"Nickolas R."},{"family":"Walters","given":"Brian F."},{"family":"Swanston","given":"Christopher W."}],"issued":{"date-parts":[["2022",9,15]]}}}],"schema":"https://github.com/citation-style-language/schema/raw/master/csl-citation.json"} </w:instrText>
      </w:r>
      <w:r w:rsidRPr="008E4EFB">
        <w:rPr>
          <w:rFonts w:ascii="Times New Roman" w:eastAsia="Times New Roman" w:hAnsi="Times New Roman" w:cs="Times New Roman"/>
          <w:sz w:val="24"/>
          <w:szCs w:val="24"/>
        </w:rPr>
        <w:fldChar w:fldCharType="separate"/>
      </w:r>
      <w:r w:rsidR="0004467C" w:rsidRPr="008E4EFB">
        <w:rPr>
          <w:rFonts w:ascii="Times New Roman" w:hAnsi="Times New Roman" w:cs="Times New Roman"/>
          <w:sz w:val="24"/>
          <w:szCs w:val="24"/>
        </w:rPr>
        <w:t>(Barnes et al., 2024; L. E. Nave et al., 2022)</w:t>
      </w:r>
      <w:r w:rsidRPr="008E4EFB">
        <w:rPr>
          <w:rFonts w:ascii="Times New Roman" w:eastAsia="Times New Roman" w:hAnsi="Times New Roman" w:cs="Times New Roman"/>
          <w:sz w:val="24"/>
          <w:szCs w:val="24"/>
        </w:rPr>
        <w:fldChar w:fldCharType="end"/>
      </w:r>
      <w:r w:rsidRPr="008E4EFB">
        <w:rPr>
          <w:rFonts w:ascii="Times New Roman" w:eastAsia="Times New Roman" w:hAnsi="Times New Roman" w:cs="Times New Roman"/>
          <w:sz w:val="24"/>
          <w:szCs w:val="24"/>
        </w:rPr>
        <w:t>.</w:t>
      </w:r>
    </w:p>
    <w:p w14:paraId="6DC4F264" w14:textId="1038746F" w:rsidR="00E53376" w:rsidRPr="008E4EFB" w:rsidRDefault="00E53376"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Additionally, Wang et al. make the argument that because the SOC observations within each region were not taken with the region already defined, this implies that the distribution is random in terms of environmental conditions. They also reason that some regions have particularly low representativeness as well as high uncertainty due to lack of sampling density. We do not disagree with the fundamental conclusion that more sampling in these areas would decrease uncertainty, but we do make the point that regions that are historically important in terms of SOC such as agricultural areas are likely to be more similar in terms of environmental characteristics </w:t>
      </w:r>
      <w:r w:rsidRPr="008E4EFB">
        <w:rPr>
          <w:rFonts w:ascii="Times New Roman" w:hAnsi="Times New Roman" w:cs="Times New Roman"/>
          <w:sz w:val="24"/>
          <w:szCs w:val="24"/>
        </w:rPr>
        <w:lastRenderedPageBreak/>
        <w:t xml:space="preserve">(higher representativeness) than the whole region and therefore oversampled in relation to the entire region. Our approach, rather, randomly separates the observations into training and validation datasets by location before creating a single Random Forest model for the whole CONUS. Our model instead relies on the interaction between variables across the entire landscape to interpolate SOC. This is consistent with other approaches that have shown that geochemical and climate predictors are relatively constant in importance across landscapes and depths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{"citationID":"GkYb8hDH","properties":{"formattedCitation":"(Yu et al., 2021)","plainCitation":"(Yu et al., 2021)","noteIndex":0},"citationItems":[{"id":3216,"uris":["http://zotero.org/users/3110659/items/FRZB6PF9"],"itemData":{"id":3216,"type":"article-journal","container-title":"Global Biogeochemical Cycles","DOI":"DOI:10.1029/2020GB006781","issue":"3","title":"Climatic and Geochemical Controls on Soil Carbon at the Continental Scale: Interactions and Thresholds - Yu - 2021 - Global Biogeochemical Cycles - Wiley Online Library","URL":"https://agupubs.onlinelibrary.wiley.com/doi/10.1029/2020GB006781","volume":"35","author":[{"family":"Yu","given":"Wenjuan"},{"family":"Weintraub","given":"Samantha R."},{"family":"Hall","given":"Steven J."}],"accessed":{"date-parts":[["2024",5,1]]},"issued":{"date-parts":[["2021"]]}}}],"schema":"https://github.com/citation-style-language/schema/raw/master/csl-citation.json"}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(Yu et al., 2021)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In fact, annual temperatures and precipitation do not greatly influence the interannual variation in SOC stocks across the CONUS (</w:t>
      </w:r>
      <w:r w:rsidRPr="00427197">
        <w:rPr>
          <w:rFonts w:ascii="Times New Roman" w:hAnsi="Times New Roman" w:cs="Times New Roman"/>
          <w:b/>
          <w:bCs/>
          <w:sz w:val="24"/>
          <w:szCs w:val="24"/>
        </w:rPr>
        <w:t xml:space="preserve">Figure </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5</w:t>
      </w:r>
      <w:r w:rsidRPr="008E4EFB">
        <w:rPr>
          <w:rFonts w:ascii="Times New Roman" w:hAnsi="Times New Roman" w:cs="Times New Roman"/>
          <w:sz w:val="24"/>
          <w:szCs w:val="24"/>
        </w:rPr>
        <w:t>). This means that some extreme events such as drought do not have as great an impact on SOC as feared, because of the short timescales involved. Drought reduces soil carbon content because of decreased plant litter input, but it also decreases CO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flux because of the slowing rate of decomposition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{"citationID":"NoNqq3mP","properties":{"formattedCitation":"(Deng et al., 2021)","plainCitation":"(Deng et al., 2021)","noteIndex":0},"citationItems":[{"id":3583,"uris":["http://zotero.org/users/3110659/items/WBVSX7TB"],"itemData":{"id":3583,"type":"article-journal","abstract":"Extreme droughts have serious impacts on the pools, fluxes and processes of terrestrial carbon (C) and nitrogen (N) cycles. A deep understanding is necessary to explore the impacts of this extreme climate change events. To investigate how soil C and N pools and fluxes respond to drought and explore their mechanisms we conducted a meta-analysis synthesizing the responses of soil C and N cycles to droughts (precipitation reduction experiments) in three main natural ecosystems: forests, shrubs and grasslands. Data were collected from 148 recent publications (1815 sampling data at 134 sites) with the drought experiments from 1 to 13 years across the globe. Drought reduced soil organic C content (-3.3%) mainly because of decreased plant litter input (-8.7%) and reduced litter decomposition (-13.0%) across all the three ecosystem types in the world. Drought increased mineral N content (+31%) but reduced N mineralization rate (-5.7%) and nitrification rate (-13.8%), and thus left total N unchanged. Compared with the local precipitation, drought increased the accumulation of dissolved organic C and N contents by +59% and +33%, respectively, due to retarded mineralization and higher stability of dissolved organic matter. Among the three ecosystem types, forest soils strongly increased litter C (+64%, n=8) and N content (+33%, n=6) as well as microbial CO2 (+16%, n=55), whereas total CO2 emission remains unaffected. Drought decreased soil CO2 emission (-15%, n=53) in shrubs due to reduction of microbial respiration and decreased root biomass. The 98% (n=39) increase of NH4+ concentration in forest soils corresponds to 11% (n=37) decrease of NO3- and so, it reflected the increase of N mineralization rate, but the decrease of nitrification. For shrubs and grasslands, however, stabilized or decreased N mineralization and nitrification mean less N uptake by plants under drought. Overall, the effects of drought on soil C and N cycles were regulated by the ecosystem type, drought duration and intensity. The drought intensity and duration intensify all effects, especially on the decreasing total CO2 emission. However, the most studies mainly focused on the short-term droughts, and there is a lack of comprehensive understanding of how drought effects in a long-term consequences. So, future studies should strengthen drought frequency impacts on ecosystem C and N dynamics in the long-term sequence (&gt; 10 years) in order to face the impacts of global change.","container-title":"Earth-Science Reviews","DOI":"10.1016/j.earscirev.2020.103501","ISSN":"0012-8252","journalAbbreviation":"Earth-Science Reviews","page":"103501","source":"ScienceDirect","title":"Drought effects on soil carbon and nitrogen dynamics in global natural ecosystems","volume":"214","author":[{"family":"Deng","given":"Lei"},{"family":"Peng","given":"Changhui"},{"family":"Kim","given":"Dong-Gill"},{"family":"Li","given":"Jiwei"},{"family":"Liu","given":"Yulin"},{"family":"Hai","given":"Xuying"},{"family":"Liu","given":"Qiuyu"},{"family":"Huang","given":"Chunbo"},{"family":"Shangguan","given":"Zhouping"},{"family":"Kuzyakov","given":"Yakov"}],"issued":{"date-parts":[["2021",3,1]]}}}],"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(Deng et al., 2021)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However, these effects are regulated by land cover type, meaning that the impact of a single drought is hard to see in the long-term SOC stocks averaged over the entire CONUS. This is a positive characteristic of the soil for long-term carbon storage since ideally carbon stored in the soil will not be quickly lost to the atmosphere every time the soil dries out. Other research has shown that drought and irrigation both produce slight increases in the soil C pool due to decreases in heterotrophic respiration and increases in new input material, respectively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{"citationID":"zwMbDsUs","properties":{"formattedCitation":"(X. Zhou et al., 2016)","plainCitation":"(X. Zhou et al., 2016)","noteIndex":0},"citationItems":[{"id":3585,"uris":["http://zotero.org/users/3110659/items/UBWRY48L"],"itemData":{"id":3585,"type":"article-journal","abstract":"Global climate models predict that future precipitation regimes will largely change across the globe due to the intensification of the global water cycle under climate warming, which may generate considerable impacts on ecosystem carbon (C) dynamics. Although substantial manipulative experiments have been conducted to probe the responses of ecosystem C processes to altered precipitation, how soil C storage responds to both drought and irrigation is still unclear across biomes and the globe. A meta-analysis of 179 published studies was carried out to examine responses of soil C storage and associated C fluxes and pools to drought and irrigation. Our results showed that, on average across all biomes, drought and irrigation similarly induced minor increases in soil C pool (SCP) by 1.45% and 1.27%, respectively. However, drought and irrigation oppositely affected both C fluxes and plant C pools as well as in agroecosystems (e.g., croplands and grasslands). The drought-induced increases in root: shoot ratio and decreases in heterotrophic respiration and soil C turnover rate mostly contributed to minor increase in SCP, while an increase in newly fixed C inputs in soil was more important under irrigation. In addition, the relative changes in precipitation intensity in manipulative experiments were positively correlated with response ratios of plant C pool (PCP), net primary production (NPP), microbial biomass C, ecosystem, soil and heterotrophic respiration. The drought-induced responses of SCP exhibited a positive correlation with experimental duration but not under irrigation and for other C pools and fluxes. These results indicate that more attention should be paid to the responses of C allocation and turnover rate to drought and irrigation, which should be incorporated into land surface models to better project effects of altered precipitation on ecosystem C cycling in terrestrial ecosystems.","container-title":"Agriculture, Ecosystems &amp; Environment","DOI":"10.1016/j.agee.2016.04.030","ISSN":"0167-8809","journalAbbreviation":"Agriculture, Ecosystems &amp; Environment","page":"70-81","source":"ScienceDirect","title":"Similar responses of soil carbon storage to drought and irrigation in terrestrial ecosystems but with contrasting mechanisms: A meta-analysis","title-short":"Similar responses of soil carbon storage to drought and irrigation in terrestrial ecosystems but with contrasting mechanisms","volume":"228","author":[{"family":"Zhou","given":"Xuhui"},{"family":"Zhou","given":"Lingyan"},{"family":"Nie","given":"Yuanyuan"},{"family":"Fu","given":"Yuling"},{"family":"Du","given":"Zhenggang"},{"family":"Shao","given":"Junjiong"},{"family":"Zheng","given":"Zemei"},{"family":"Wang","given":"Xihua"}],"issued":{"date-parts":[["2016",7,15]]}}}],"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(X. Zhou et al., 2016)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p>
    <w:p w14:paraId="3793CF4E" w14:textId="77777777" w:rsidR="00E53376" w:rsidRPr="008E4EFB" w:rsidRDefault="00E53376"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There is little year-to-year change in SOC stocks among regions with similar temperature and precipitation regimes, demonstrating that while climate does impact regional SOC totals, it is on much longer timescales than annual or even decadal. </w:t>
      </w:r>
    </w:p>
    <w:p w14:paraId="19F1A3DF" w14:textId="00D5D32F" w:rsidR="00537FE1" w:rsidRPr="008E4EFB" w:rsidRDefault="00537FE1" w:rsidP="00D555F0">
      <w:pPr>
        <w:pStyle w:val="Style3"/>
        <w:numPr>
          <w:ilvl w:val="1"/>
          <w:numId w:val="32"/>
        </w:numPr>
        <w:spacing w:before="0" w:line="360" w:lineRule="auto"/>
        <w:rPr>
          <w:rFonts w:cs="Times New Roman"/>
          <w:szCs w:val="24"/>
        </w:rPr>
      </w:pPr>
      <w:r w:rsidRPr="008E4EFB">
        <w:rPr>
          <w:rFonts w:cs="Times New Roman"/>
          <w:szCs w:val="24"/>
        </w:rPr>
        <w:t>Land Use</w:t>
      </w:r>
      <w:bookmarkEnd w:id="110"/>
    </w:p>
    <w:p w14:paraId="66285795" w14:textId="77777777" w:rsidR="00537FE1" w:rsidRPr="008E4EFB" w:rsidRDefault="00537FE1" w:rsidP="00D555F0">
      <w:pPr>
        <w:pStyle w:val="ListParagraph"/>
        <w:numPr>
          <w:ilvl w:val="0"/>
          <w:numId w:val="23"/>
        </w:num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Forested Lands</w:t>
      </w:r>
    </w:p>
    <w:p w14:paraId="4CB77EBB" w14:textId="3B958E84" w:rsidR="00D44581" w:rsidRPr="008E4EFB" w:rsidRDefault="00D44581" w:rsidP="00D555F0">
      <w:pPr>
        <w:spacing w:after="0" w:line="360" w:lineRule="auto"/>
        <w:rPr>
          <w:rFonts w:ascii="Times New Roman" w:hAnsi="Times New Roman" w:cs="Times New Roman"/>
          <w:noProof/>
          <w:sz w:val="24"/>
          <w:szCs w:val="24"/>
        </w:rPr>
      </w:pPr>
      <w:r w:rsidRPr="008E4EFB">
        <w:rPr>
          <w:rFonts w:ascii="Times New Roman" w:hAnsi="Times New Roman" w:cs="Times New Roman"/>
          <w:sz w:val="24"/>
          <w:szCs w:val="24"/>
        </w:rPr>
        <w:t>Our estimate of SOC in forested lands is 14.3 Pg C (</w:t>
      </w:r>
      <w:r w:rsidRPr="00427197">
        <w:rPr>
          <w:rFonts w:ascii="Times New Roman" w:hAnsi="Times New Roman" w:cs="Times New Roman"/>
          <w:b/>
          <w:bCs/>
          <w:sz w:val="24"/>
          <w:szCs w:val="24"/>
        </w:rPr>
        <w:t xml:space="preserve">Figure </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4</w:t>
      </w:r>
      <w:r w:rsidRPr="008E4EFB">
        <w:rPr>
          <w:rFonts w:ascii="Times New Roman" w:hAnsi="Times New Roman" w:cs="Times New Roman"/>
          <w:sz w:val="24"/>
          <w:szCs w:val="24"/>
        </w:rPr>
        <w:t xml:space="preserve">). A recent study of carbon stock </w:t>
      </w:r>
      <w:r w:rsidRPr="008E4EFB">
        <w:rPr>
          <w:rFonts w:ascii="Times New Roman" w:hAnsi="Times New Roman" w:cs="Times New Roman"/>
          <w:sz w:val="24"/>
          <w:szCs w:val="24"/>
          <w:shd w:val="clear" w:color="auto" w:fill="FFFFFF"/>
        </w:rPr>
        <w:t xml:space="preserve">averaged from 2001 to 2005 </w:t>
      </w:r>
      <w:r w:rsidRPr="008E4EFB">
        <w:rPr>
          <w:rFonts w:ascii="Times New Roman" w:hAnsi="Times New Roman" w:cs="Times New Roman"/>
          <w:sz w:val="24"/>
          <w:szCs w:val="24"/>
        </w:rPr>
        <w:t xml:space="preserve">in the upper 20 cm of federal lands estimated that 8.7 Pg is stored in forested soils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{"citationID":"k3NIGNov","properties":{"formattedCitation":"(Z. Tan et al., 2015)","plainCitation":"(Z. Tan et al., 2015)","noteIndex":0},"citationItems":[{"id":3158,"uris":["http://zotero.org/users/3110659/items/XJVGQJVM"],"itemData":{"id":3158,"type":"article-journal","abstract":"Federal lands across the conterminous United States (CONUS) account for 23.5% of the CONUS terrestrial area but have received no systematic studies on their ecosystem carbon (C) dynamics and contribution to the national C budgets. The methodology for US Congress-mandated national biological C sequestration potential assessment was used to evaluate ecosystem C dynamics in CONUS federal lands at present and in the future under three Intergovernmental Panel on Climate Change Special Report on Emission Scenarios (IPCC SRES) A1B, A2, and B1. The total ecosystem C stock was estimated as 11,613 Tg C in 2005 and projected to be 13,965 Tg C in 2050, an average increase of 19.4% from the baseline. The projected annual C sequestration rate (in kilograms of carbon per hectare per year) from 2006 to 2050 would be sinks of 620 and 228 for forests and grasslands, respectively, and C sources of 13 for shrublands. The federal lands’ contribution to the national ecosystem C budget could decrease from 23.3% in 2005 to 20.8% in 2050. The C sequestration potential in the future depends not only on the footprint of individual ecosystems but also on each federal agency’s land use and management. The results presented here update our current knowledge about the baseline ecosystem C stock and sequestration potential of federal lands, which would be useful for federal agencies to decide management practices to achieve the national greenhouse gas (GHG) mitigation goal.","container-title":"Proceedings of the National Academy of Sciences","DOI":"10.1073/pnas.1512542112","issue":"41","note":"publisher: Proceedings of the National Academy of Sciences","page":"12723-12728","source":"pnas.org (Atypon)","title":"Ecosystem carbon stocks and sequestration potential of federal lands across the conterminous United States","volume":"112","author":[{"family":"Tan","given":"Zhengxi"},{"family":"Liu","given":"Shuguang"},{"family":"Sohl","given":"Terry L."},{"family":"Wu","given":"Yiping"},{"family":"Young","given":"Claudia J."}],"issued":{"date-parts":[["2015",10,13]]}}}],"schema":"https://github.com/citation-style-language/schema/raw/master/csl-citation.json"}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(Z. Tan et al., 2015)</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Forested federal lands are a significant portion of the US forested lands but are not representative of the total. </w:t>
      </w:r>
      <w:r w:rsidRPr="008E4EFB">
        <w:rPr>
          <w:rFonts w:ascii="Times New Roman" w:hAnsi="Times New Roman" w:cs="Times New Roman"/>
          <w:noProof/>
          <w:sz w:val="24"/>
          <w:szCs w:val="24"/>
        </w:rPr>
        <w:t xml:space="preserve">One study used SSURGO with gaps </w:t>
      </w:r>
      <w:r w:rsidRPr="008E4EFB">
        <w:rPr>
          <w:rFonts w:ascii="Times New Roman" w:hAnsi="Times New Roman" w:cs="Times New Roman"/>
          <w:sz w:val="24"/>
          <w:szCs w:val="24"/>
          <w:shd w:val="clear" w:color="auto" w:fill="FFFFFF"/>
        </w:rPr>
        <w:t>filled from STATSGO2 and found</w:t>
      </w:r>
      <w:r w:rsidRPr="008E4EFB">
        <w:rPr>
          <w:rFonts w:ascii="Times New Roman" w:hAnsi="Times New Roman" w:cs="Times New Roman"/>
          <w:noProof/>
          <w:sz w:val="24"/>
          <w:szCs w:val="24"/>
        </w:rPr>
        <w:t xml:space="preserve"> that forested lands contain 7.4 Pg C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{"citationID":"MpFyQYWN","properties":{"formattedCitation":"(Bliss et al., 2014)","plainCitation":"(Bliss et al., 2014)","noteIndex":0},"citationItems":[{"id":3170,"uris":["http://zotero.org/users/3110659/items/VJJZ46TT"],"itemData":{"id":3170,"type":"chapter","abstract":"The U.S. Soil Survey Geographic (SSURGO) database provides detailed soil mapping for most of the conterminous United States (CONUS). These data have been used to formulate estimates of soil carbon stocks, and have been useful for environmental models, including plant productivity models, hydrologic models, and ecological models for studies of greenhouse gas exchange. The data were compiled by the U.S. Department of Agriculture Natural Resources Conservation Service (NRCS) from 1:24,000-scale or 1:12,000-scale maps. It was found that the total soil organic carbon stock in CONUS to 1 m depth is 57 Pg C and for the total profile is 73 Pg C, as estimated from SSURGO with data gaps filled from the 1:250,000-scale Digital General Soil Map. We explore the non-linear distribution of soil carbon on the landscape and with depth in the soil, and the implications for sampling strategies that result from the observed soil carbon variability.","container-title":"Soil Carbon","event-place":"Cham","ISBN":"978-3-319-04084-4","language":"en","note":"DOI: 10.1007/978-3-319-04084-4_9","page":"85-93","publisher":"Springer International Publishing","publisher-place":"Cham","source":"Springer Link","title":"Distribution of Soil Organic Carbon in the Conterminous United States","URL":"https://doi.org/10.1007/978-3-319-04084-4_9","author":[{"family":"Bliss","given":"Norman B."},{"family":"Waltman","given":"Sharon W."},{"family":"West","given":"Larry T."},{"family":"Neale","given":"Anne"},{"family":"Mehaffey","given":"Megan"}],"editor":[{"family":"Hartemink","given":"Alfred E."},{"family":"McSweeney","given":"Kevin"}],"accessed":{"date-parts":[["2024",4,12]]},"issued":{"date-parts":[["2014"]]}}}],"schema":"https://github.com/citation-style-language/schema/raw/master/csl-citation.json"}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(Bliss et al., 2014)</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 xml:space="preserve">. Another study estimated that 31% of the total SOC in the CONUS is stored in forested soils, which according to our estimate would be 18.7 Pg C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{"citationID":"lkowaVMK","properties":{"formattedCitation":"(Mario Guevara et al., 2020)","plainCitation":"(Mario Guevara et al., 2020)","noteIndex":0},"citationItems":[{"id":2665,"uris":["http://zotero.org/users/3110659/items/B27T86P3"],"itemData":{"id":2665,"type":"article-journal","abstract":"Soil organic carbon (SOC) information is fundamental for improving global carbon cycle modeling efforts, but discrepancies exist from country-to-global scales. We predicted the spatial distribution of SOC stocks (topsoil; 0–30 cm) and quantified modeling uncertainty across Mexico and the conterminous United States (CONUS). We used a multisource SOC dataset (&gt;10 000 pedons, between 1991 and 2010) coupled with a simulated annealing regression framework that accounts for variable selection. Our model explained 50% of SOC spatial variability (across 250-m grids). We analyzed model variance, and the residual variance of six conventional pedotransfer functions for estimating bulk density to calculate SOC stocks. Two independent datasets confirmed that the SOC stock for both countries represents between 46 and 47 Pg with a total modeling variance of ±12 Pg. We report a residual variance of 10.4 ±5.1 Pg of SOC stocks calculated from six pedotransfer functions for soil bulk density. When reducing training data to define decades with relatively higher density of observations (1991–2000 and 2001–2010, respectively), model variance for predicted SOC stocks ranged between 41 and 55 Pg. We found nearly 42% of SOC across Mexico in forests and 24% in croplands, whereas 31% was found in forests and 28% in croplands across CONUS. Grasslands and shrublands stored 29 and 35% of SOC across Mexico and CONUS, respectively. We predicted SOC stocks &gt;30% below recent global estimates that do not account for uncertainty and are based on legacy data. Our results provide insights for interpretation of estimates based on SOC legacy data and benchmarks for improving regional-to-global monitoring efforts.","container-title":"Global Biogeochemical Cycles","DOI":"10.1029/2019GB006219","ISSN":"1944-9224","issue":"3","language":"en","license":"©2020. American Geophysical Union. All Rights Reserved.","note":"_eprint: https://onlinelibrary.wiley.com/doi/pdf/10.1029/2019GB006219","page":"e2019GB006219","source":"Wiley Online Library","title":"Soil Organic Carbon Across Mexico and the Conterminous United States (1991–2010)","volume":"34","author":[{"family":"Guevara","given":"Mario"},{"family":"Arroyo","given":"Carlos"},{"family":"Brunsell","given":"Nathaniel"},{"family":"Cruz","given":"Carlos O."},{"family":"Domke","given":"Grant"},{"family":"Equihua","given":"Julian"},{"family":"Etchevers","given":"Jorge"},{"family":"Hayes","given":"Daniel"},{"family":"Hengl","given":"Tomislav"},{"family":"Ibelles","given":"Alejandro"},{"family":"Johnson","given":"Kris"},{"family":"Jong","given":"Ben","non-dropping-particle":"de"},{"family":"Libohova","given":"Zamir"},{"family":"Llamas","given":"Ricardo"},{"family":"Nave","given":"Lucas"},{"family":"Ornelas","given":"Jose L."},{"family":"Paz","given":"Fernando"},{"family":"Ressl","given":"Rainer"},{"family":"Schwartz","given":"Anita"},{"family":"Victoria","given":"Arturo"},{"family":"Wills","given":"Skye"},{"family":"Vargas","given":"Rodrigo"}],"issued":{"date-parts":[["2020"]]}}}],"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(Mario Guevara et al., 2020)</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noProof/>
          <w:sz w:val="24"/>
          <w:szCs w:val="24"/>
        </w:rPr>
        <w:t xml:space="preserve">. Our estimate is in the middle of this range, potentially because we do not differentiate between forested lands that </w:t>
      </w:r>
      <w:r w:rsidRPr="008E4EFB">
        <w:rPr>
          <w:rFonts w:ascii="Times New Roman" w:hAnsi="Times New Roman" w:cs="Times New Roman"/>
          <w:noProof/>
          <w:sz w:val="24"/>
          <w:szCs w:val="24"/>
        </w:rPr>
        <w:lastRenderedPageBreak/>
        <w:t xml:space="preserve">have been disturbed through anthropogenic modification or management, fires, or other natural causes and undisturbed forested lands, given that the NDVI values for disturbed versus undisturbed forest would not significantly differ. SOC in forested soils is particularly susceptible to decline under these conditions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{"citationID":"RyS6wnH1","properties":{"formattedCitation":"(An et al., 2021)","plainCitation":"(An et al., 2021)","noteIndex":0},"citationItems":[{"id":3201,"uris":["http://zotero.org/users/3110659/items/8JY54BJU"],"itemData":{"id":3201,"type":"article-journal","abstract":"How land-use and soil depth affect soil organic carbon (SOC) quality and stability, properties that are key to the long-term storage of C, is poorly understood in agroforestry systems. We examined the effects of land-use (forest vs. annual cropland) and soil depth (0–10 vs. 10–30 cm) on the quality (availability of C for decomposition), structural stability (composition of C functional groups), and thermal stability (energy yield and temperature characteristics during thermal oxidation) of SOC in a hedgerow system in central Alberta, using solid-state 13C nuclear magnetic resonance (NMR) spectroscopy and thermal analysis methods. The SOC quality (proportion of O-alkyl C) was higher, while the proportion of H- and C-substituted aromatic C and structural stability (hydrophobicity index (HB/HI), aromaticity index (ARM), and alkyl index (A/OA)) were all lower in the forest than in the cropland. The SOC also had lower thermal stability (higher energy density and lower temperature at which 50% of the mass was lost (TG-T50)) in the forest than in the cropland. Between the two soil depths, SOC quality (proportion of N-alkyl C, O-alkyl C and di-O-alkyl C) was higher, but the proportion of H- and C-substituted aromatic C and structural and thermal stabilities were lower, within the surficial 0–10 cm layer than in the 10–30 cm soil. We conclude that while the forest land-use within the hedgerow system had a higher SOC quality, it had lower SOC structural and thermal stabilities, suggesting that SOC under the forest land-use may be more susceptible to decline under climate change or other forms of anthropogenic disturbance.","container-title":"Agriculture, Ecosystems &amp; Environment","DOI":"10.1016/j.agee.2021.107617","ISSN":"0167-8809","journalAbbreviation":"Agriculture, Ecosystems &amp; Environment","page":"107617","source":"ScienceDirect","title":"Forest land-use increases soil organic carbon quality but not its structural or thermal stability in a hedgerow system","volume":"321","author":[{"family":"An","given":"Zhengfeng"},{"family":"Bernard","given":"Guy M."},{"family":"Ma","given":"Zilong"},{"family":"Plante","given":"Alain F."},{"family":"Michaelis","given":"Vladimir K."},{"family":"Bork","given":"Edward W."},{"family":"Carlyle","given":"Cameron N."},{"family":"Baah-Acheamfour","given":"Mark"},{"family":"Chang","given":"Scott X."}],"issued":{"date-parts":[["2021",11,1]]}}}],"schema":"https://github.com/citation-style-language/schema/raw/master/csl-citation.json"}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(An et al., 2021)</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 xml:space="preserve"> which would not be captured simply by NDVI, soil moisture, and broad land use categories. Our estimate could be high, however, because of the tendency of wetlands to be obscured by or misclassified as forested lands in land use classifications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{"citationID":"S1cfZIuC","properties":{"formattedCitation":"(Stewart et al., 2024)","plainCitation":"(Stewart et al., 2024)","noteIndex":0},"citationItems":[{"id":3663,"uris":["http://zotero.org/users/3110659/items/H7DITIPB"],"itemData":{"id":3663,"type":"article-journal","abstract":"Inland wetlands are critical carbon reservoirs storing 30% of global soil organic carbon (SOC) within 6% of the land surface. However, forested regions contain SOC-rich wetlands that are not included in current maps, which we refer to as ‘cryptic carbon’. Here, to demonstrate the magnitude and distribution of cryptic carbon, we measure and map SOC stocks as a function of a continuous, upland-to-wetland gradient across the Hoh River Watershed (HRW) in the Pacific Northwest of the U.S., comprising 68,145 ha. Total catchment SOC at 30 cm depth (5.0 TgC) is between estimates from global SOC maps (GSOC: 3.9 TgC; SoilGrids: 7.8 TgC). For wetland SOC, our 1 m stock estimates are substantially higher (Mean: 259 MgC ha−1; Total: 1.7 TgC) compared to current wetland-specific SOC maps derived from a combination of U.S. national datasets (Mean: 184 MgC ha−1; Total: 0.3 TgC). We show that total unmapped or cryptic carbon is 1.5 TgC and when added to current estimates, increases the estimated wetland SOC stock to 1.8 TgC or by 482%, which highlights the vast stores of SOC that are not mapped and contained in unprotected and vulnerable wetlands.","container-title":"Nature Communications","DOI":"10.1038/s41467-024-44888-x","ISSN":"2041-1723","issue":"1","journalAbbreviation":"Nat Commun","language":"en","license":"2024 The Author(s)","note":"publisher: Nature Publishing Group","page":"726","source":"www.nature.com","title":"Revealing the hidden carbon in forested wetland soils","volume":"15","author":[{"family":"Stewart","given":"Anthony J."},{"family":"Halabisky","given":"Meghan"},{"family":"Babcock","given":"Chad"},{"family":"Butman","given":"David E."},{"family":"D’Amore","given":"David V."},{"family":"Moskal","given":"L. Monika"}],"issued":{"date-parts":[["2024",1,25]]}}}],"schema":"https://github.com/citation-style-language/schema/raw/master/csl-citation.json"}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(Stewart et al., 2024)</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w:t>
      </w:r>
    </w:p>
    <w:p w14:paraId="1B9389F6" w14:textId="77777777" w:rsidR="00537FE1" w:rsidRPr="008E4EFB" w:rsidRDefault="00537FE1" w:rsidP="00D555F0">
      <w:pPr>
        <w:pStyle w:val="ListParagraph"/>
        <w:numPr>
          <w:ilvl w:val="0"/>
          <w:numId w:val="23"/>
        </w:numPr>
        <w:spacing w:after="0" w:line="360" w:lineRule="auto"/>
        <w:rPr>
          <w:rFonts w:ascii="Times New Roman" w:hAnsi="Times New Roman" w:cs="Times New Roman"/>
          <w:sz w:val="24"/>
          <w:szCs w:val="24"/>
          <w:shd w:val="clear" w:color="auto" w:fill="FFFFFF"/>
        </w:rPr>
      </w:pPr>
      <w:r w:rsidRPr="008E4EFB">
        <w:rPr>
          <w:rFonts w:ascii="Times New Roman" w:hAnsi="Times New Roman" w:cs="Times New Roman"/>
          <w:sz w:val="24"/>
          <w:szCs w:val="24"/>
          <w:shd w:val="clear" w:color="auto" w:fill="FFFFFF"/>
        </w:rPr>
        <w:t xml:space="preserve">Shrublands and Grasslands </w:t>
      </w:r>
    </w:p>
    <w:p w14:paraId="1BFB7023" w14:textId="4B8DB817" w:rsidR="00673803" w:rsidRPr="008E4EFB" w:rsidRDefault="00673803" w:rsidP="00D555F0">
      <w:pPr>
        <w:spacing w:after="0" w:line="360" w:lineRule="auto"/>
        <w:rPr>
          <w:rFonts w:ascii="Times New Roman" w:hAnsi="Times New Roman" w:cs="Times New Roman"/>
          <w:sz w:val="24"/>
          <w:szCs w:val="24"/>
          <w:shd w:val="clear" w:color="auto" w:fill="FFFFFF"/>
        </w:rPr>
      </w:pPr>
      <w:r w:rsidRPr="008E4EFB">
        <w:rPr>
          <w:rFonts w:ascii="Times New Roman" w:hAnsi="Times New Roman" w:cs="Times New Roman"/>
          <w:sz w:val="24"/>
          <w:szCs w:val="24"/>
        </w:rPr>
        <w:t>Our estimate of SOC in shrubs and grasslands is 21.0 Pg C (</w:t>
      </w:r>
      <w:r w:rsidRPr="00427197">
        <w:rPr>
          <w:rFonts w:ascii="Times New Roman" w:hAnsi="Times New Roman" w:cs="Times New Roman"/>
          <w:b/>
          <w:bCs/>
          <w:sz w:val="24"/>
          <w:szCs w:val="24"/>
        </w:rPr>
        <w:t xml:space="preserve">Figure </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4</w:t>
      </w:r>
      <w:r w:rsidRPr="008E4EFB">
        <w:rPr>
          <w:rFonts w:ascii="Times New Roman" w:hAnsi="Times New Roman" w:cs="Times New Roman"/>
          <w:sz w:val="24"/>
          <w:szCs w:val="24"/>
        </w:rPr>
        <w:t xml:space="preserve">), with shrublands accounting for 9.9 Pg C and grasslands accounting for 11.6 Pg C. A recent study of carbon stock </w:t>
      </w:r>
      <w:r w:rsidRPr="008E4EFB">
        <w:rPr>
          <w:rFonts w:ascii="Times New Roman" w:hAnsi="Times New Roman" w:cs="Times New Roman"/>
          <w:sz w:val="24"/>
          <w:szCs w:val="24"/>
          <w:shd w:val="clear" w:color="auto" w:fill="FFFFFF"/>
        </w:rPr>
        <w:t xml:space="preserve">averaged from 2001 to 2005 </w:t>
      </w:r>
      <w:r w:rsidRPr="008E4EFB">
        <w:rPr>
          <w:rFonts w:ascii="Times New Roman" w:hAnsi="Times New Roman" w:cs="Times New Roman"/>
          <w:sz w:val="24"/>
          <w:szCs w:val="24"/>
        </w:rPr>
        <w:t xml:space="preserve">in the upper 20 cm of federal lands estimated that merely 2 Pg C is stored in shrublands and grasslands on federal lands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{"citationID":"NKMiaCEM","properties":{"formattedCitation":"(Z. Tan et al., 2015)","plainCitation":"(Z. Tan et al., 2015)","noteIndex":0},"citationItems":[{"id":3158,"uris":["http://zotero.org/users/3110659/items/XJVGQJVM"],"itemData":{"id":3158,"type":"article-journal","abstract":"Federal lands across the conterminous United States (CONUS) account for 23.5% of the CONUS terrestrial area but have received no systematic studies on their ecosystem carbon (C) dynamics and contribution to the national C budgets. The methodology for US Congress-mandated national biological C sequestration potential assessment was used to evaluate ecosystem C dynamics in CONUS federal lands at present and in the future under three Intergovernmental Panel on Climate Change Special Report on Emission Scenarios (IPCC SRES) A1B, A2, and B1. The total ecosystem C stock was estimated as 11,613 Tg C in 2005 and projected to be 13,965 Tg C in 2050, an average increase of 19.4% from the baseline. The projected annual C sequestration rate (in kilograms of carbon per hectare per year) from 2006 to 2050 would be sinks of 620 and 228 for forests and grasslands, respectively, and C sources of 13 for shrublands. The federal lands’ contribution to the national ecosystem C budget could decrease from 23.3% in 2005 to 20.8% in 2050. The C sequestration potential in the future depends not only on the footprint of individual ecosystems but also on each federal agency’s land use and management. The results presented here update our current knowledge about the baseline ecosystem C stock and sequestration potential of federal lands, which would be useful for federal agencies to decide management practices to achieve the national greenhouse gas (GHG) mitigation goal.","container-title":"Proceedings of the National Academy of Sciences","DOI":"10.1073/pnas.1512542112","issue":"41","note":"publisher: Proceedings of the National Academy of Sciences","page":"12723-12728","source":"pnas.org (Atypon)","title":"Ecosystem carbon stocks and sequestration potential of federal lands across the conterminous United States","volume":"112","author":[{"family":"Tan","given":"Zhengxi"},{"family":"Liu","given":"Shuguang"},{"family":"Sohl","given":"Terry L."},{"family":"Wu","given":"Yiping"},{"family":"Young","given":"Claudia J."}],"issued":{"date-parts":[["2015",10,13]]}}}],"schema":"https://github.com/citation-style-language/schema/raw/master/csl-citation.json"}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(Z. Tan et al., 2015)</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however, the percentage of federal lands that are shrublands or grasslands is low, given that 85% of grasslands are privately owned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{"citationID":"svkC60Kx","properties":{"formattedCitation":"(Wyden, 2022)","plainCitation":"(Wyden, 2022)","noteIndex":0},"citationItems":[{"id":3287,"uris":["http://zotero.org/users/3110659/items/3F8YGPFG"],"itemData":{"id":3287,"type":"bill","authority":"Senate","chapter-number":"2nd","number":"S. 4639","title":"The North American Grasslands Conservation Act","URL":"https://actforgrasslands.org/bill-introduction/","author":[{"family":"Wyden","given":"Ron"}],"accessed":{"date-parts":[["2024",5,20]]},"issued":{"date-parts":[["2022",7,27]]}}}],"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(Wyden, 2022)</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sz w:val="24"/>
          <w:szCs w:val="24"/>
          <w:shd w:val="clear" w:color="auto" w:fill="FFFFFF"/>
        </w:rPr>
        <w:t xml:space="preserve">. </w:t>
      </w:r>
      <w:r w:rsidRPr="008E4EFB">
        <w:rPr>
          <w:rFonts w:ascii="Times New Roman" w:hAnsi="Times New Roman" w:cs="Times New Roman"/>
          <w:noProof/>
          <w:sz w:val="24"/>
          <w:szCs w:val="24"/>
        </w:rPr>
        <w:t xml:space="preserve">Another study estimated that 34.9% of the total SOC in the CONUS is stored in shrubland and grassland soils, which given our values would be 21.1 Pg C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{"citationID":"S6m4ogQQ","properties":{"formattedCitation":"(Mario Guevara et al., 2020)","plainCitation":"(Mario Guevara et al., 2020)","noteIndex":0},"citationItems":[{"id":2665,"uris":["http://zotero.org/users/3110659/items/B27T86P3"],"itemData":{"id":2665,"type":"article-journal","abstract":"Soil organic carbon (SOC) information is fundamental for improving global carbon cycle modeling efforts, but discrepancies exist from country-to-global scales. We predicted the spatial distribution of SOC stocks (topsoil; 0–30 cm) and quantified modeling uncertainty across Mexico and the conterminous United States (CONUS). We used a multisource SOC dataset (&gt;10 000 pedons, between 1991 and 2010) coupled with a simulated annealing regression framework that accounts for variable selection. Our model explained 50% of SOC spatial variability (across 250-m grids). We analyzed model variance, and the residual variance of six conventional pedotransfer functions for estimating bulk density to calculate SOC stocks. Two independent datasets confirmed that the SOC stock for both countries represents between 46 and 47 Pg with a total modeling variance of ±12 Pg. We report a residual variance of 10.4 ±5.1 Pg of SOC stocks calculated from six pedotransfer functions for soil bulk density. When reducing training data to define decades with relatively higher density of observations (1991–2000 and 2001–2010, respectively), model variance for predicted SOC stocks ranged between 41 and 55 Pg. We found nearly 42% of SOC across Mexico in forests and 24% in croplands, whereas 31% was found in forests and 28% in croplands across CONUS. Grasslands and shrublands stored 29 and 35% of SOC across Mexico and CONUS, respectively. We predicted SOC stocks &gt;30% below recent global estimates that do not account for uncertainty and are based on legacy data. Our results provide insights for interpretation of estimates based on SOC legacy data and benchmarks for improving regional-to-global monitoring efforts.","container-title":"Global Biogeochemical Cycles","DOI":"10.1029/2019GB006219","ISSN":"1944-9224","issue":"3","language":"en","license":"©2020. American Geophysical Union. All Rights Reserved.","note":"_eprint: https://onlinelibrary.wiley.com/doi/pdf/10.1029/2019GB006219","page":"e2019GB006219","source":"Wiley Online Library","title":"Soil Organic Carbon Across Mexico and the Conterminous United States (1991–2010)","volume":"34","author":[{"family":"Guevara","given":"Mario"},{"family":"Arroyo","given":"Carlos"},{"family":"Brunsell","given":"Nathaniel"},{"family":"Cruz","given":"Carlos O."},{"family":"Domke","given":"Grant"},{"family":"Equihua","given":"Julian"},{"family":"Etchevers","given":"Jorge"},{"family":"Hayes","given":"Daniel"},{"family":"Hengl","given":"Tomislav"},{"family":"Ibelles","given":"Alejandro"},{"family":"Johnson","given":"Kris"},{"family":"Jong","given":"Ben","non-dropping-particle":"de"},{"family":"Libohova","given":"Zamir"},{"family":"Llamas","given":"Ricardo"},{"family":"Nave","given":"Lucas"},{"family":"Ornelas","given":"Jose L."},{"family":"Paz","given":"Fernando"},{"family":"Ressl","given":"Rainer"},{"family":"Schwartz","given":"Anita"},{"family":"Victoria","given":"Arturo"},{"family":"Wills","given":"Skye"},{"family":"Vargas","given":"Rodrigo"}],"issued":{"date-parts":[["2020"]]}}}],"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(Mario Guevara et al., 2020)</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noProof/>
          <w:sz w:val="24"/>
          <w:szCs w:val="24"/>
        </w:rPr>
        <w:t xml:space="preserve">. Generally, researchers estimate that about a third of global soil carbon is stored in grasslands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{"citationID":"9L5CrjTu","properties":{"formattedCitation":"(Bai &amp; Cotrufo, 2022)","plainCitation":"(Bai &amp; Cotrufo, 2022)","noteIndex":0},"citationItems":[{"id":3205,"uris":["http://zotero.org/users/3110659/items/MY8IPCIM"],"itemData":{"id":3205,"type":"article-journal","abstract":"Grasslands store approximately one third of the global terrestrial carbon stocks and can act as an important soil carbon sink. Recent studies show that plant diversity increases soil organic carbon (SOC) storage by elevating carbon inputs to belowground biomass and promoting microbial necromass contribution to SOC storage. Climate change affects grassland SOC storage by modifying the processes of plant carbon inputs and microbial catabolism and anabolism. Improved grazing management and biodiversity restoration can provide low-cost and/or high-carbon-gain options for natural climate solutions in global grasslands. The achievable SOC sequestration potential in global grasslands is 2.3 to 7.3 billion tons of carbon dioxide equivalents per year (CO2e year−1) for biodiversity restoration, 148 to 699 megatons of CO2e year−1 for improved grazing management, and 147 megatons of CO2e year−1 for sown legumes in pasturelands.","container-title":"Science","DOI":"10.1126/science.abo2380","issue":"6606","note":"publisher: American Association for the Advancement of Science","page":"603-608","source":"science.org (Atypon)","title":"Grassland soil carbon sequestration: Current understanding, challenges, and solutions","title-short":"Grassland soil carbon sequestration","volume":"377","author":[{"family":"Bai","given":"Yongfei"},{"family":"Cotrufo","given":"M. Francesca"}],"issued":{"date-parts":[["2022",8,5]]}}}],"schema":"https://github.com/citation-style-language/schema/raw/master/csl-citation.json"}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(Bai &amp; Cotrufo, 2022)</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 xml:space="preserve">; our estimate (at 34.5 %) agrees with that of the CONUS. However, shrublands and grasslands, while considered together here are not actually the same land use type, and many studies separate them. There is some disagreement about the role of shrublands in sequestering carbon; shrubland encroachment into grasslands, for example, has been shown to increase SOC content in topsoils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{"citationID":"VLNVxVR1","properties":{"formattedCitation":"(H. Li et al., 2016)","plainCitation":"(H. Li et al., 2016)","noteIndex":0},"citationItems":[{"id":3210,"uris":["http://zotero.org/users/3110659/items/W54Z4CUU"],"itemData":{"id":3210,"type":"article-journal","abstract":"This study aimed to evaluate the effect of shrub encroachment on soil organic carbon (SOC) content at broad scales and its controls. We conducted a meta-analysis using paired control data of shrub-encroached grassland (SEG) vs. non-SEG collected from 142 studies worldwide. SOC contents (0–50 cm) were altered by shrub encroachment, with changes ranging from −50% to + 300%, with an effect size of 0.15 (p &lt; 0.01). The SOC contents increased in semi-arid and humid regions, and showed a greater rate of increase in grassland encroached by leguminous shrubs than by non-legumes. The SOC content decreased in silty and clay soils but increased in sand, sandy loam and sandy clay loam. The SOC content increment was significantly positively correlated with precipitation and temperature as well as with soil bulk density but significantly negatively correlated with soil total nitrogen. We conclude the main effects of shrub encroachment would be to increase topsoil organic carbon content. As structural equation model revealed, soils properties seem to be the primary factors responsible for the extent of the changes, coarse textured soils having a greater capacity than fine textured soils to increase the SOC content. This increased effect appears to be secondarily enhanced by climate and plant elements.","container-title":"Scientific Reports","DOI":"10.1038/srep28974","ISSN":"2045-2322","journalAbbreviation":"Sci Rep","note":"PMID: 27388145\nPMCID: PMC4937411","page":"28974","source":"PubMed Central","title":"Effects of shrub encroachment on soil organic carbon in global grasslands","volume":"6","author":[{"family":"Li","given":"He"},{"family":"Shen","given":"Haihua"},{"family":"Chen","given":"Leiyi"},{"family":"Liu","given":"Taoyu"},{"family":"Hu","given":"Huifeng"},{"family":"Zhao","given":"Xia"},{"family":"Zhou","given":"Luhong"},{"family":"Zhang","given":"Pujin"},{"family":"Fang","given":"Jingyun"}],"issued":{"date-parts":[["2016",7,8]]}}}],"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(H. Li et al., 2016)</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 xml:space="preserve"> but shrublands in China have been shown to store less SOC than grasslands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{"citationID":"VEFGIRVj","properties":{"formattedCitation":"(J. Ge et al., 2020)","plainCitation":"(J. Ge et al., 2020)","noteIndex":0},"citationItems":[{"id":3213,"uris":["http://zotero.org/users/3110659/items/X5WPLLUA"],"itemData":{"id":3213,"type":"article-journal","abstract":"The soils of shrublands are important for organic carbon storage in terrestrial ecosystems, but geographical patterns and environmental controls of soil organic carbon (SOC) remain largely understudied compared to other terrestrial ecosystems, leaving a significant gap in our understanding of terrestrial ecosystem carbon budgets. Here, we quantified SOC density (SOCD) and its potential determinants based on a comprehensive dataset with a consistent stratified random sampling of extensive soil profiles down to the parent material or to one meter depth across 1211 sites across China. Our up-to-date estimate of SOCD in Chinese shrublands is an average of 8.36 kg m−2, and ca. 43% of SOC is stored in the upper 20 cm relative to the one meter top soil, which is higher than estimates for shrublands globally. We also observed that SOCD was positively related to shrubland biomass and more so with belowground biomass. Furthermore, SOCD was positively related to mean annual precipitation (MAP), soil total nitrogen (N), phosphorus (P), clay and silt percent, but decreased with increasing mean annual temperature (MAT). Dark felty soils stored the highest SOCD and frigid desert soils stored the lowest. Soil total nitrogen (N), MAP, soil type, MAT, and belowground biomass, soil clay, and pH were the best predictors of total SOCD in Chinese shrublands. We concluded that Chinese shrubland soils store the lowest density of organic carbon so far recorded compared to forests and grasslands, and that the vertical distribution of SOC in Chinese shrublands was much shallower. While both climate (in particular MAP) and soil total N exerted dominant control over geographical patterns of SOCD across Chinese shrublands, soil type also played a significant role. Our study also emphasizes this key role of edaphic variables in determining the SOCD of shrublands and that they should be better incorporated into large-scale assessments of SOC dynamics. Our study extends existing work conducted in forest and grasslands and provides the most up-to-date knowledge on benchmark values for SOCD in Chinese shrublands, with important implications for predicting the fate of C stored in shrubland soils in response to climate change.","container-title":"Geoderma","DOI":"10.1016/j.geoderma.2019.114161","ISSN":"0016-7061","journalAbbreviation":"Geoderma","page":"114161","source":"ScienceDirect","title":"Patterns and environmental controls of soil organic carbon density in Chinese shrublands","volume":"363","author":[{"family":"Ge","given":"Jielin"},{"family":"Xu","given":"Wenting"},{"family":"Liu","given":"Qing"},{"family":"Tang","given":"Zhiyao"},{"family":"Xie","given":"Zongqiang"}],"issued":{"date-parts":[["2020",4,1]]}}}],"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(J. Ge et al., 2020)</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 xml:space="preserve">. Research focusing exclusively on the difference between carbon storage in grasslands and shrublands in the US is limited because these regions are dried and so tend to uptake less carbon than forests and are further complicated by the dynamics of prevalent wildfire and regrowth cycles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{"citationID":"NpVW1NdH","properties":{"formattedCitation":"(Provencher et al., 2023)","plainCitation":"(Provencher et al., 2023)","noteIndex":0},"citationItems":[{"id":3660,"uris":["http://zotero.org/users/3110659/items/2B9B7LGD"],"itemData":{"id":3660,"type":"article-journal","abstract":"Rangelands are often ignored in the discussion of using management to sequester carbon; however, demonstrating that carbon storage could be paid by carbon credit markets would be a significant advancement for rangeland conservation. The additional amount and cost of carbon sequestered was quantified by simulating seeding perennial grass and shrub species in sagebrush shrublands dominated by non-native annual grass and forb species (NNAGF) compared with doing nothing in a 485 623 km2 area of interest (AOI) centered around Nevada, United States. Using Sentinel-2 satellite imagery, NNAGF cover was mapped across the AOI to locate areas dominated by NNAGFs. Spatial state-and-transition simulation models with a carbon stock-and-flow submodel simulated the seeding of perennial species in NNAGF-dominated sagebrush shrublands in the Columbia Plateau ecoregion (IL Ranch, Nevada), north-central Great Basin ecoregion outside the North American Monsoon (TS-Horseshoe Ranch, Nevada), and the southeastern Great Basin ecoregion within the North American monsoon (PVMH landscape, Utah). The net biome productivity (NBP) and cost per unit area of sagebrush shrublands was quantified by simulating restoration of NNAGF to perennial vegetation over a 25-yr period. The unseeded PVMH landscape, IL Ranch, and TS-Horseshoe Ranch were sinks of carbon (i.e., positive NBP) at 84 g, 9 g, and 11 g C·m−2·yr−1, respectively. About 58−90% of NBP was stored in the soil. The IL Ranch required only small levels of seeding and was a small sink of C at 0.71 ± 0.65 g C·m−2·yr−1, whereas the additional NBP for the seeded PVMH landscape was 19.9 ± 10.6 g C·m−2·yr−1. Across the AOI, the most and least carbon stored, respectively, was in Utah (136 132 metric ton·yr−1, cost: $287M) and the central Great Basin (3 196 metric ton·yr−1, cost: $23M). Positive NBP values reported here showed that carbon sequestration in sagebrush shrublands compares favorably with those of more productive systems in the United States and worldwide.","container-title":"Rangeland Ecology &amp; Management","DOI":"10.1016/j.rama.2023.05.004","ISSN":"1550-7424","journalAbbreviation":"Rangeland Ecology &amp; Management","page":"22-34","source":"ScienceDirect","title":"Carbon Sequestration in Degraded Intermountain West Rangelands, United States","volume":"90","author":[{"family":"Provencher","given":"Louis"},{"family":"Byer","given":"Sarah"},{"family":"Frid","given":"Leonardo"},{"family":"Senthivasan","given":"Shreeram"},{"family":"Badik","given":"Kevin J."},{"family":"Szabo","given":"Kristin"}],"issued":{"date-parts":[["2023",9,1]]}}}],"schema":"https://github.com/citation-style-language/schema/raw/master/csl-citation.json"}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(Provencher et al., 2023)</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 xml:space="preserve">. </w:t>
      </w:r>
    </w:p>
    <w:p w14:paraId="215EF315" w14:textId="77777777" w:rsidR="00537FE1" w:rsidRPr="008E4EFB" w:rsidRDefault="00537FE1" w:rsidP="00D555F0">
      <w:pPr>
        <w:pStyle w:val="ListParagraph"/>
        <w:numPr>
          <w:ilvl w:val="0"/>
          <w:numId w:val="23"/>
        </w:numPr>
        <w:spacing w:after="0" w:line="360" w:lineRule="auto"/>
        <w:rPr>
          <w:rFonts w:ascii="Times New Roman" w:hAnsi="Times New Roman" w:cs="Times New Roman"/>
          <w:sz w:val="24"/>
          <w:szCs w:val="24"/>
          <w:shd w:val="clear" w:color="auto" w:fill="FFFFFF"/>
        </w:rPr>
      </w:pPr>
      <w:r w:rsidRPr="008E4EFB">
        <w:rPr>
          <w:rFonts w:ascii="Times New Roman" w:hAnsi="Times New Roman" w:cs="Times New Roman"/>
          <w:sz w:val="24"/>
          <w:szCs w:val="24"/>
          <w:shd w:val="clear" w:color="auto" w:fill="FFFFFF"/>
        </w:rPr>
        <w:t>Wetlands</w:t>
      </w:r>
    </w:p>
    <w:p w14:paraId="7447519B" w14:textId="79CB4B41" w:rsidR="001938A4" w:rsidRPr="008E4EFB" w:rsidRDefault="001938A4" w:rsidP="00D555F0">
      <w:pPr>
        <w:spacing w:after="0" w:line="360" w:lineRule="auto"/>
        <w:rPr>
          <w:rFonts w:ascii="Times New Roman" w:hAnsi="Times New Roman" w:cs="Times New Roman"/>
          <w:noProof/>
          <w:sz w:val="24"/>
          <w:szCs w:val="24"/>
        </w:rPr>
      </w:pPr>
      <w:r w:rsidRPr="008E4EFB">
        <w:rPr>
          <w:rFonts w:ascii="Times New Roman" w:hAnsi="Times New Roman" w:cs="Times New Roman"/>
          <w:sz w:val="24"/>
          <w:szCs w:val="24"/>
        </w:rPr>
        <w:t>Our estimate of SOC in wetlands is 2.8 Pg C (</w:t>
      </w:r>
      <w:r w:rsidRPr="00427197">
        <w:rPr>
          <w:rFonts w:ascii="Times New Roman" w:hAnsi="Times New Roman" w:cs="Times New Roman"/>
          <w:b/>
          <w:bCs/>
          <w:sz w:val="24"/>
          <w:szCs w:val="24"/>
        </w:rPr>
        <w:t xml:space="preserve">Figure </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4</w:t>
      </w:r>
      <w:r w:rsidRPr="008E4EFB">
        <w:rPr>
          <w:rFonts w:ascii="Times New Roman" w:hAnsi="Times New Roman" w:cs="Times New Roman"/>
          <w:sz w:val="24"/>
          <w:szCs w:val="24"/>
        </w:rPr>
        <w:t>). One recent</w:t>
      </w:r>
      <w:r w:rsidRPr="008E4EFB">
        <w:rPr>
          <w:rFonts w:ascii="Times New Roman" w:hAnsi="Times New Roman" w:cs="Times New Roman"/>
          <w:sz w:val="24"/>
          <w:szCs w:val="24"/>
          <w:shd w:val="clear" w:color="auto" w:fill="FFFFFF"/>
        </w:rPr>
        <w:t xml:space="preserve"> study specifically focusing on carbon sto</w:t>
      </w:r>
      <w:r w:rsidRPr="008E4EFB">
        <w:rPr>
          <w:rFonts w:ascii="Times New Roman" w:hAnsi="Times New Roman" w:cs="Times New Roman"/>
          <w:sz w:val="24"/>
          <w:szCs w:val="24"/>
        </w:rPr>
        <w:t>rage in US wetlands estimated that 11.52 Pg C is stored in wetland soils, mostly deeper than 30 cm. Their estimate for both the sampled (</w:t>
      </w:r>
      <w:r w:rsidRPr="008E4EFB">
        <w:rPr>
          <w:rFonts w:ascii="Times New Roman" w:hAnsi="Times New Roman" w:cs="Times New Roman"/>
          <w:sz w:val="24"/>
          <w:szCs w:val="24"/>
          <w:shd w:val="clear" w:color="auto" w:fill="FFFFFF"/>
        </w:rPr>
        <w:t xml:space="preserve">2.63±0.12 Pg C) </w:t>
      </w:r>
      <w:r w:rsidRPr="008E4EFB">
        <w:rPr>
          <w:rFonts w:ascii="Times New Roman" w:hAnsi="Times New Roman" w:cs="Times New Roman"/>
          <w:sz w:val="24"/>
          <w:szCs w:val="24"/>
        </w:rPr>
        <w:t>and unsampled but interpolated (</w:t>
      </w:r>
      <w:r w:rsidRPr="008E4EFB">
        <w:rPr>
          <w:rFonts w:ascii="Times New Roman" w:hAnsi="Times New Roman" w:cs="Times New Roman"/>
          <w:sz w:val="24"/>
          <w:szCs w:val="24"/>
          <w:shd w:val="clear" w:color="auto" w:fill="FFFFFF"/>
        </w:rPr>
        <w:t xml:space="preserve">4.02 Pg C) </w:t>
      </w:r>
      <w:r w:rsidRPr="008E4EFB">
        <w:rPr>
          <w:rFonts w:ascii="Times New Roman" w:hAnsi="Times New Roman" w:cs="Times New Roman"/>
          <w:sz w:val="24"/>
          <w:szCs w:val="24"/>
        </w:rPr>
        <w:t xml:space="preserve">population of wetlands for 0 – 30 cm is 6.65 ±0.12 Pg C. However, this </w:t>
      </w:r>
      <w:r w:rsidRPr="008E4EFB">
        <w:rPr>
          <w:rFonts w:ascii="Times New Roman" w:hAnsi="Times New Roman" w:cs="Times New Roman"/>
          <w:sz w:val="24"/>
          <w:szCs w:val="24"/>
        </w:rPr>
        <w:lastRenderedPageBreak/>
        <w:t xml:space="preserve">includes tidal saline wetlands and other inland wetlands that are not in our study area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{"citationID":"Ur18l8eS","properties":{"formattedCitation":"(Nahlik &amp; Fennessy, 2016)","plainCitation":"(Nahlik &amp; Fennessy, 2016)","noteIndex":0},"citationItems":[{"id":3166,"uris":["http://zotero.org/users/3110659/items/P3ECSHQ6"],"itemData":{"id":3166,"type":"article-journal","abstract":"Wetland soils contain some of the highest stores of soil carbon in the biosphere. However, there is little understanding of the quantity and distribution of carbon stored in our remaining wetlands or of the potential effects of human disturbance on these stocks. Here we use field data from the 2011 National Wetland Condition Assessment to provide unbiased estimates of soil carbon stocks for wetlands at regional and national scales. We find that wetlands in the conterminous United States store a total of 11.52 PgC, much of which is within soils deeper than 30 cm. Freshwater inland wetlands, in part due to their substantial areal extent, hold nearly ten-fold more carbon than tidal saltwater sites—indicating their importance in regional carbon storage. Our data suggest a possible relationship between carbon stocks and anthropogenic disturbance. These data highlight the need to protect wetlands to mitigate the risk of avoidable contributions to climate change.","container-title":"Nature Communications","DOI":"10.1038/ncomms13835","ISSN":"2041-1723","issue":"1","journalAbbreviation":"Nat Commun","language":"en","license":"2016 The Author(s)","note":"publisher: Nature Publishing Group","page":"13835","source":"www.nature.com","title":"Carbon storage in US wetlands","volume":"7","author":[{"family":"Nahlik","given":"A. M."},{"family":"Fennessy","given":"M. S."}],"issued":{"date-parts":[["2016",12,13]]}}}],"schema":"https://github.com/citation-style-language/schema/raw/master/csl-citation.json"}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(Nahlik &amp; Fennessy, 2016)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 separate study of wetland soil carbon estimated that 8.4 Pg C is stored in inland wetlands in the first meter of soil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{"citationID":"RnUA41zO","properties":{"formattedCitation":"(Uhran et al., 2021)","plainCitation":"(Uhran et al., 2021)","noteIndex":0},"citationItems":[{"id":3178,"uris":["http://zotero.org/users/3110659/items/M8SHG6WP"],"itemData":{"id":3178,"type":"article-journal","abstract":"Wetland soil stocks are important global repositories of carbon (C) but are difficult to quantify and model due to varying sampling protocols, and geomorphic/spatio-temporal discontinuity. Merging scales of soil-survey spatial extents with wetland-specific point-based data offers an explicit, empirical and updatable improvement for regional and continental scale soil C stock assessments. Agency-collected and community-contributed soil datasets were compared for representativeness and bias, with the goal of producing a harmonized national map of wetland soil C stocks with error quantification for wetland areas of the conterminous United States (CONUS) identified by the USGS National Landcover Change Dataset. This allowed an empirical predictive model of SOC density to be applied across the entire CONUS using relational %OC distribution alone. A broken-stick quantile-regression model identified %OC with its relatively high analytical confidence as a key predictor of SOC density in soil segments; soils less than 6% OC (hereafter, mineral wetland soils, 85% of the dataset) had a strong linear relationship of %OC to SOC density (RMSE = 0.0059, ~4% mean RMSE) and soils greater than 6% OC (organic wetland soils, 15% of the dataset) had virtually no predictive relationship of %OC to SOC density (RMSE = 0.0348 g C cm-3, ~56% mean RMSE). Disaggregation by vegetation type, or region did not alter the breakpoint significantly (6% OC) nor improve model accuracies for inland and tidal wetlands. Similarly, SOC stocks in tidal wetlands were related to %OC, but without a mappable product for disaggregation to improve accuracy by soil class, region or depth. Our layered, harmonized CONUS wetland soil maps revised wetland SOC stock estimates downward by 24% (9.5 vs. 12.5Pg C) with the overestimation being entirely an issue of inland, organic wetland soils, (35% lower than SSURGO-derived SOC stocks). Further, SSURGO underestimated soil carbon stocks at depth, as modeled wetland SOC stocks for organic-rich soils showed significant preservation downcore in the NWCA dataset (&lt;3% loss between 0-30 cm and 30-100 cm depths) in contrast to mineral-rich soils (37% downcore stock loss). Future CONUS wetland soil C assessments will benefit from focused attention on improved organic wetland soil measurements, land history, and spatial representativeness.","container-title":"Frontiers in Soil Science","DOI":"10.3389/fsoil.2021.706701","ISSN":"2673-8619","journalAbbreviation":"Front. Soil Sci.","language":"English","note":"publisher: Frontiers","source":"Frontiers","title":"Improved Wetland Soil Organic Carbon Stocks of the Conterminous U.S. Through Data Harmonization","URL":"https://www.frontiersin.org/articles/10.3389/fsoil.2021.706701","volume":"1","author":[{"family":"Uhran","given":"Bergit"},{"family":"Windham-Myers","given":"Lisamarie"},{"family":"Bliss","given":"Norman"},{"family":"Nahlik","given":"Amanda M."},{"family":"Sundquist","given":"Eric T."},{"family":"Stagg","given":"Camille L."}],"accessed":{"date-parts":[["2024",4,12]]},"issued":{"date-parts":[["2021",10,12]]}}}],"schema":"https://github.com/citation-style-language/schema/raw/master/csl-citation.json"}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(Uhran et al., 2021)</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r w:rsidRPr="008E4EFB">
        <w:rPr>
          <w:rFonts w:ascii="Times New Roman" w:hAnsi="Times New Roman" w:cs="Times New Roman"/>
          <w:noProof/>
          <w:sz w:val="24"/>
          <w:szCs w:val="24"/>
        </w:rPr>
        <w:t xml:space="preserve">One more study used SSURGO with gaps </w:t>
      </w:r>
      <w:r w:rsidRPr="008E4EFB">
        <w:rPr>
          <w:rFonts w:ascii="Times New Roman" w:hAnsi="Times New Roman" w:cs="Times New Roman"/>
          <w:sz w:val="24"/>
          <w:szCs w:val="24"/>
          <w:shd w:val="clear" w:color="auto" w:fill="FFFFFF"/>
        </w:rPr>
        <w:t>filled from STATSGO2 and found</w:t>
      </w:r>
      <w:r w:rsidRPr="008E4EFB">
        <w:rPr>
          <w:rFonts w:ascii="Times New Roman" w:hAnsi="Times New Roman" w:cs="Times New Roman"/>
          <w:noProof/>
          <w:sz w:val="24"/>
          <w:szCs w:val="24"/>
        </w:rPr>
        <w:t xml:space="preserve"> that wetlands total only 3.7 Pg C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{"citationID":"SaNUaIQt","properties":{"formattedCitation":"(Bliss et al., 2014)","plainCitation":"(Bliss et al., 2014)","noteIndex":0},"citationItems":[{"id":3170,"uris":["http://zotero.org/users/3110659/items/VJJZ46TT"],"itemData":{"id":3170,"type":"chapter","abstract":"The U.S. Soil Survey Geographic (SSURGO) database provides detailed soil mapping for most of the conterminous United States (CONUS). These data have been used to formulate estimates of soil carbon stocks, and have been useful for environmental models, including plant productivity models, hydrologic models, and ecological models for studies of greenhouse gas exchange. The data were compiled by the U.S. Department of Agriculture Natural Resources Conservation Service (NRCS) from 1:24,000-scale or 1:12,000-scale maps. It was found that the total soil organic carbon stock in CONUS to 1 m depth is 57 Pg C and for the total profile is 73 Pg C, as estimated from SSURGO with data gaps filled from the 1:250,000-scale Digital General Soil Map. We explore the non-linear distribution of soil carbon on the landscape and with depth in the soil, and the implications for sampling strategies that result from the observed soil carbon variability.","container-title":"Soil Carbon","event-place":"Cham","ISBN":"978-3-319-04084-4","language":"en","note":"DOI: 10.1007/978-3-319-04084-4_9","page":"85-93","publisher":"Springer International Publishing","publisher-place":"Cham","source":"Springer Link","title":"Distribution of Soil Organic Carbon in the Conterminous United States","URL":"https://doi.org/10.1007/978-3-319-04084-4_9","author":[{"family":"Bliss","given":"Norman B."},{"family":"Waltman","given":"Sharon W."},{"family":"West","given":"Larry T."},{"family":"Neale","given":"Anne"},{"family":"Mehaffey","given":"Megan"}],"editor":[{"family":"Hartemink","given":"Alfred E."},{"family":"McSweeney","given":"Kevin"}],"accessed":{"date-parts":[["2024",4,12]]},"issued":{"date-parts":[["2014"]]}}}],"schema":"https://github.com/citation-style-language/schema/raw/master/csl-citation.json"}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(Bliss et al., 2014)</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 xml:space="preserve">. Our estimate of SOC in wetlands is therefore likely incomplete; the lack of SOC observations from wetlands means that the Random Forest model is not trained to associate wetlands with high SOC values. Similarly, excluding both tidal and some inland wetlands means that those regions are also undervalued in terms of SOC storage. </w:t>
      </w:r>
    </w:p>
    <w:p w14:paraId="676EF5C6" w14:textId="77777777" w:rsidR="00537FE1" w:rsidRPr="008E4EFB" w:rsidRDefault="00537FE1" w:rsidP="00D555F0">
      <w:pPr>
        <w:pStyle w:val="ListParagraph"/>
        <w:numPr>
          <w:ilvl w:val="0"/>
          <w:numId w:val="23"/>
        </w:numPr>
        <w:spacing w:after="0" w:line="360" w:lineRule="auto"/>
        <w:rPr>
          <w:rFonts w:ascii="Times New Roman" w:hAnsi="Times New Roman" w:cs="Times New Roman"/>
          <w:sz w:val="24"/>
          <w:szCs w:val="24"/>
          <w:shd w:val="clear" w:color="auto" w:fill="FFFFFF"/>
        </w:rPr>
      </w:pPr>
      <w:r w:rsidRPr="008E4EFB">
        <w:rPr>
          <w:rFonts w:ascii="Times New Roman" w:hAnsi="Times New Roman" w:cs="Times New Roman"/>
          <w:sz w:val="24"/>
          <w:szCs w:val="24"/>
          <w:shd w:val="clear" w:color="auto" w:fill="FFFFFF"/>
        </w:rPr>
        <w:t>Croplands</w:t>
      </w:r>
    </w:p>
    <w:p w14:paraId="46736993" w14:textId="67ADD65E" w:rsidR="00025DA5" w:rsidRPr="008E4EFB" w:rsidRDefault="00025DA5" w:rsidP="00D555F0">
      <w:pPr>
        <w:spacing w:after="0" w:line="360" w:lineRule="auto"/>
        <w:rPr>
          <w:rFonts w:ascii="Times New Roman" w:hAnsi="Times New Roman" w:cs="Times New Roman"/>
          <w:sz w:val="24"/>
          <w:szCs w:val="24"/>
        </w:rPr>
      </w:pPr>
      <w:bookmarkStart w:id="111" w:name="_Toc179918000"/>
      <w:r w:rsidRPr="008E4EFB">
        <w:rPr>
          <w:rFonts w:ascii="Times New Roman" w:hAnsi="Times New Roman" w:cs="Times New Roman"/>
          <w:sz w:val="24"/>
          <w:szCs w:val="24"/>
        </w:rPr>
        <w:t>Our estimate of SOC in croplands is 19.6 Pg C (</w:t>
      </w:r>
      <w:r w:rsidRPr="00427197">
        <w:rPr>
          <w:rFonts w:ascii="Times New Roman" w:hAnsi="Times New Roman" w:cs="Times New Roman"/>
          <w:b/>
          <w:bCs/>
          <w:sz w:val="24"/>
          <w:szCs w:val="24"/>
        </w:rPr>
        <w:t xml:space="preserve">Figure </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4</w:t>
      </w:r>
      <w:r w:rsidRPr="008E4EFB">
        <w:rPr>
          <w:rFonts w:ascii="Times New Roman" w:hAnsi="Times New Roman" w:cs="Times New Roman"/>
          <w:sz w:val="24"/>
          <w:szCs w:val="24"/>
        </w:rPr>
        <w:t xml:space="preserve">). </w:t>
      </w:r>
      <w:r w:rsidRPr="008E4EFB">
        <w:rPr>
          <w:rFonts w:ascii="Times New Roman" w:hAnsi="Times New Roman" w:cs="Times New Roman"/>
          <w:noProof/>
          <w:sz w:val="24"/>
          <w:szCs w:val="24"/>
        </w:rPr>
        <w:t xml:space="preserve">A recent study used SSURGO with gaps </w:t>
      </w:r>
      <w:r w:rsidRPr="008E4EFB">
        <w:rPr>
          <w:rFonts w:ascii="Times New Roman" w:hAnsi="Times New Roman" w:cs="Times New Roman"/>
          <w:sz w:val="24"/>
          <w:szCs w:val="24"/>
          <w:shd w:val="clear" w:color="auto" w:fill="FFFFFF"/>
        </w:rPr>
        <w:t>filled from STATSGO2 and found</w:t>
      </w:r>
      <w:r w:rsidRPr="008E4EFB">
        <w:rPr>
          <w:rFonts w:ascii="Times New Roman" w:hAnsi="Times New Roman" w:cs="Times New Roman"/>
          <w:noProof/>
          <w:sz w:val="24"/>
          <w:szCs w:val="24"/>
        </w:rPr>
        <w:t xml:space="preserve"> that grasslands, shrublands, and agriculture together total 16.2 Pg C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{"citationID":"6nMNFF7R","properties":{"formattedCitation":"(Bliss et al., 2014)","plainCitation":"(Bliss et al., 2014)","noteIndex":0},"citationItems":[{"id":3170,"uris":["http://zotero.org/users/3110659/items/VJJZ46TT"],"itemData":{"id":3170,"type":"chapter","abstract":"The U.S. Soil Survey Geographic (SSURGO) database provides detailed soil mapping for most of the conterminous United States (CONUS). These data have been used to formulate estimates of soil carbon stocks, and have been useful for environmental models, including plant productivity models, hydrologic models, and ecological models for studies of greenhouse gas exchange. The data were compiled by the U.S. Department of Agriculture Natural Resources Conservation Service (NRCS) from 1:24,000-scale or 1:12,000-scale maps. It was found that the total soil organic carbon stock in CONUS to 1 m depth is 57 Pg C and for the total profile is 73 Pg C, as estimated from SSURGO with data gaps filled from the 1:250,000-scale Digital General Soil Map. We explore the non-linear distribution of soil carbon on the landscape and with depth in the soil, and the implications for sampling strategies that result from the observed soil carbon variability.","container-title":"Soil Carbon","event-place":"Cham","ISBN":"978-3-319-04084-4","language":"en","note":"DOI: 10.1007/978-3-319-04084-4_9","page":"85-93","publisher":"Springer International Publishing","publisher-place":"Cham","source":"Springer Link","title":"Distribution of Soil Organic Carbon in the Conterminous United States","URL":"https://doi.org/10.1007/978-3-319-04084-4_9","author":[{"family":"Bliss","given":"Norman B."},{"family":"Waltman","given":"Sharon W."},{"family":"West","given":"Larry T."},{"family":"Neale","given":"Anne"},{"family":"Mehaffey","given":"Megan"}],"editor":[{"family":"Hartemink","given":"Alfred E."},{"family":"McSweeney","given":"Kevin"}],"accessed":{"date-parts":[["2024",4,12]]},"issued":{"date-parts":[["2014"]]}}}],"schema":"https://github.com/citation-style-language/schema/raw/master/csl-citation.json"}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(Bliss et al., 2014)</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 xml:space="preserve">. Other researchers estimated that 27% of the total SOC in the CONUS is found in agricultural soils, which given our estimate would be 16.7 Pg C </w:t>
      </w:r>
      <w:r w:rsidRPr="008E4EFB">
        <w:rPr>
          <w:rFonts w:ascii="Times New Roman" w:hAnsi="Times New Roman" w:cs="Times New Roman"/>
          <w:sz w:val="24"/>
          <w:szCs w:val="24"/>
          <w:shd w:val="clear" w:color="auto" w:fill="FFFFFF"/>
        </w:rPr>
        <w:fldChar w:fldCharType="begin"/>
      </w:r>
      <w:r w:rsidR="0004467C" w:rsidRPr="008E4EFB">
        <w:rPr>
          <w:rFonts w:ascii="Times New Roman" w:hAnsi="Times New Roman" w:cs="Times New Roman"/>
          <w:sz w:val="24"/>
          <w:szCs w:val="24"/>
          <w:shd w:val="clear" w:color="auto" w:fill="FFFFFF"/>
        </w:rPr>
        <w:instrText xml:space="preserve"> ADDIN ZOTERO_ITEM CSL_CITATION {"citationID":"3hHfIBj7","properties":{"formattedCitation":"(Mario Guevara et al., 2020)","plainCitation":"(Mario Guevara et al., 2020)","noteIndex":0},"citationItems":[{"id":2665,"uris":["http://zotero.org/users/3110659/items/B27T86P3"],"itemData":{"id":2665,"type":"article-journal","abstract":"Soil organic carbon (SOC) information is fundamental for improving global carbon cycle modeling efforts, but discrepancies exist from country-to-global scales. We predicted the spatial distribution of SOC stocks (topsoil; 0–30 cm) and quantified modeling uncertainty across Mexico and the conterminous United States (CONUS). We used a multisource SOC dataset (&gt;10 000 pedons, between 1991 and 2010) coupled with a simulated annealing regression framework that accounts for variable selection. Our model explained 50% of SOC spatial variability (across 250-m grids). We analyzed model variance, and the residual variance of six conventional pedotransfer functions for estimating bulk density to calculate SOC stocks. Two independent datasets confirmed that the SOC stock for both countries represents between 46 and 47 Pg with a total modeling variance of ±12 Pg. We report a residual variance of 10.4 ±5.1 Pg of SOC stocks calculated from six pedotransfer functions for soil bulk density. When reducing training data to define decades with relatively higher density of observations (1991–2000 and 2001–2010, respectively), model variance for predicted SOC stocks ranged between 41 and 55 Pg. We found nearly 42% of SOC across Mexico in forests and 24% in croplands, whereas 31% was found in forests and 28% in croplands across CONUS. Grasslands and shrublands stored 29 and 35% of SOC across Mexico and CONUS, respectively. We predicted SOC stocks &gt;30% below recent global estimates that do not account for uncertainty and are based on legacy data. Our results provide insights for interpretation of estimates based on SOC legacy data and benchmarks for improving regional-to-global monitoring efforts.","container-title":"Global Biogeochemical Cycles","DOI":"10.1029/2019GB006219","ISSN":"1944-9224","issue":"3","language":"en","license":"©2020. American Geophysical Union. All Rights Reserved.","note":"_eprint: https://onlinelibrary.wiley.com/doi/pdf/10.1029/2019GB006219","page":"e2019GB006219","source":"Wiley Online Library","title":"Soil Organic Carbon Across Mexico and the Conterminous United States (1991–2010)","volume":"34","author":[{"family":"Guevara","given":"Mario"},{"family":"Arroyo","given":"Carlos"},{"family":"Brunsell","given":"Nathaniel"},{"family":"Cruz","given":"Carlos O."},{"family":"Domke","given":"Grant"},{"family":"Equihua","given":"Julian"},{"family":"Etchevers","given":"Jorge"},{"family":"Hayes","given":"Daniel"},{"family":"Hengl","given":"Tomislav"},{"family":"Ibelles","given":"Alejandro"},{"family":"Johnson","given":"Kris"},{"family":"Jong","given":"Ben","non-dropping-particle":"de"},{"family":"Libohova","given":"Zamir"},{"family":"Llamas","given":"Ricardo"},{"family":"Nave","given":"Lucas"},{"family":"Ornelas","given":"Jose L."},{"family":"Paz","given":"Fernando"},{"family":"Ressl","given":"Rainer"},{"family":"Schwartz","given":"Anita"},{"family":"Victoria","given":"Arturo"},{"family":"Wills","given":"Skye"},{"family":"Vargas","given":"Rodrigo"}],"issued":{"date-parts":[["2020"]]}}}],"schema":"https://github.com/citation-style-language/schema/raw/master/csl-citation.json"} </w:instrText>
      </w:r>
      <w:r w:rsidRPr="008E4EFB">
        <w:rPr>
          <w:rFonts w:ascii="Times New Roman" w:hAnsi="Times New Roman" w:cs="Times New Roman"/>
          <w:sz w:val="24"/>
          <w:szCs w:val="24"/>
          <w:shd w:val="clear" w:color="auto" w:fill="FFFFFF"/>
        </w:rPr>
        <w:fldChar w:fldCharType="separate"/>
      </w:r>
      <w:r w:rsidR="0004467C" w:rsidRPr="008E4EFB">
        <w:rPr>
          <w:rFonts w:ascii="Times New Roman" w:hAnsi="Times New Roman" w:cs="Times New Roman"/>
          <w:sz w:val="24"/>
          <w:szCs w:val="24"/>
        </w:rPr>
        <w:t>(Mario Guevara et al., 2020)</w:t>
      </w:r>
      <w:r w:rsidRPr="008E4EFB">
        <w:rPr>
          <w:rFonts w:ascii="Times New Roman" w:hAnsi="Times New Roman" w:cs="Times New Roman"/>
          <w:sz w:val="24"/>
          <w:szCs w:val="24"/>
          <w:shd w:val="clear" w:color="auto" w:fill="FFFFFF"/>
        </w:rPr>
        <w:fldChar w:fldCharType="end"/>
      </w:r>
      <w:r w:rsidRPr="008E4EFB">
        <w:rPr>
          <w:rFonts w:ascii="Times New Roman" w:hAnsi="Times New Roman" w:cs="Times New Roman"/>
          <w:noProof/>
          <w:sz w:val="24"/>
          <w:szCs w:val="24"/>
        </w:rPr>
        <w:t xml:space="preserve">. The carbon storage potential of croplands is a heavily debated issue because management practices contribute heavily to variations in SOC values and therefore have the potential to offset the impacts on SOC storage from climate change </w:t>
      </w:r>
      <w:r w:rsidRPr="008E4EFB">
        <w:rPr>
          <w:rFonts w:ascii="Times New Roman" w:hAnsi="Times New Roman" w:cs="Times New Roman"/>
          <w:noProof/>
          <w:sz w:val="24"/>
          <w:szCs w:val="24"/>
        </w:rPr>
        <w:fldChar w:fldCharType="begin"/>
      </w:r>
      <w:r w:rsidR="0004467C" w:rsidRPr="008E4EFB">
        <w:rPr>
          <w:rFonts w:ascii="Times New Roman" w:hAnsi="Times New Roman" w:cs="Times New Roman"/>
          <w:noProof/>
          <w:sz w:val="24"/>
          <w:szCs w:val="24"/>
        </w:rPr>
        <w:instrText xml:space="preserve"> ADDIN ZOTERO_ITEM CSL_CITATION {"citationID":"NORaAXK2","properties":{"formattedCitation":"(Ren et al., 2020)","plainCitation":"(Ren et al., 2020)","noteIndex":0},"citationItems":[{"id":3207,"uris":["http://zotero.org/users/3110659/items/A72QC2PY"],"itemData":{"id":3207,"type":"article-journal","abstract":"Soil organic carbon (SOC) in croplands is a key property of soil quality for ensuring food security and agricultural sustainability, and also plays a central role in the global carbon (C) budget. When managed sustainably, soils may play a critical role in mitigating climate change by sequestering C and decreasing greenhouse gas emissions into the atmosphere. However, the magnitude and spatio-temporal patterns of global cropland SOC are far from well constrained due to high land surface heterogeneity, complicated mechanisms, and multiple influencing factors. Here, we use a process-based agroecosystem model (DLEM-Ag) in combination with diverse spatially-explicit gridded environmental data to quantify the long-term trend of SOC storage in global cropland area during 1901-2010 and identify the relative impacts of climate change, elevated CO2, nitrogen deposition, land cover change, and land management practices such as nitrogen fertilizer use and irrigation. Model results show that the total SOC and SOC density in the 2000s increased by 125% and 48.8%, respectively, compared to the early 20th century. This SOC increase was primarily attributed to cropland expansion and nitrogen fertilizer use. Factorial analysis suggests that climate change reduced approximately 3.2% (or 2,166 Tg C) of the total SOC over the past 110 years. Our results indicate that croplands have a large potential to sequester C through implementing better land use management practices, which may partially offset SOC loss caused by climate change.","container-title":"Geography and Sustainability","DOI":"10.1016/j.geosus.2020.03.001","ISSN":"2666-6839","issue":"1","journalAbbreviation":"Geography and Sustainability","page":"59-69","source":"ScienceDirect","title":"Global pattern and change of cropland soil organic carbon during 1901-2010: Roles of climate, atmospheric chemistry, land use and management","title-short":"Global pattern and change of cropland soil organic carbon during 1901-2010","volume":"1","author":[{"family":"Ren","given":"Wei"},{"family":"Banger","given":"Kamaljit"},{"family":"Tao","given":"Bo"},{"family":"Yang","given":"Jia"},{"family":"Huang","given":"Yawen"},{"family":"Tian","given":"Hanqin"}],"issued":{"date-parts":[["2020",3,1]]}}}],"schema":"https://github.com/citation-style-language/schema/raw/master/csl-citation.json"} </w:instrText>
      </w:r>
      <w:r w:rsidRPr="008E4EFB">
        <w:rPr>
          <w:rFonts w:ascii="Times New Roman" w:hAnsi="Times New Roman" w:cs="Times New Roman"/>
          <w:noProof/>
          <w:sz w:val="24"/>
          <w:szCs w:val="24"/>
        </w:rPr>
        <w:fldChar w:fldCharType="separate"/>
      </w:r>
      <w:r w:rsidR="0004467C" w:rsidRPr="008E4EFB">
        <w:rPr>
          <w:rFonts w:ascii="Times New Roman" w:hAnsi="Times New Roman" w:cs="Times New Roman"/>
          <w:sz w:val="24"/>
          <w:szCs w:val="24"/>
        </w:rPr>
        <w:t>(Ren et al., 2020)</w:t>
      </w:r>
      <w:r w:rsidRPr="008E4EFB">
        <w:rPr>
          <w:rFonts w:ascii="Times New Roman" w:hAnsi="Times New Roman" w:cs="Times New Roman"/>
          <w:noProof/>
          <w:sz w:val="24"/>
          <w:szCs w:val="24"/>
        </w:rPr>
        <w:fldChar w:fldCharType="end"/>
      </w:r>
      <w:r w:rsidRPr="008E4EFB">
        <w:rPr>
          <w:rFonts w:ascii="Times New Roman" w:hAnsi="Times New Roman" w:cs="Times New Roman"/>
          <w:noProof/>
          <w:sz w:val="24"/>
          <w:szCs w:val="24"/>
        </w:rPr>
        <w:t xml:space="preserve">.  </w:t>
      </w:r>
      <w:r w:rsidRPr="008E4EFB">
        <w:rPr>
          <w:rFonts w:ascii="Times New Roman" w:hAnsi="Times New Roman" w:cs="Times New Roman"/>
          <w:sz w:val="24"/>
          <w:szCs w:val="24"/>
        </w:rPr>
        <w:t xml:space="preserve">Effects of land use change and land management are estimated to be 7-10 times larger than direct effects of climate change, excluding indirect effects such as wildfires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{"citationID":"OzES7XBd","properties":{"formattedCitation":"(Beillouin et al., 2023)","plainCitation":"(Beillouin et al., 2023)","noteIndex":0},"citationItems":[{"id":3089,"uris":["http://zotero.org/users/3110659/items/NQKH8XHU"],"itemData":{"id":3089,"type":"article-journal","abstract":"Anthropogenic activities profoundly impact soil organic carbon (SOC), affecting its contribution to ecosystem services such as climate regulation. Here, we conducted a thorough review of the impacts of land-use change, land management, and climate change on SOC. Using second-order meta-analysis, we synthesized findings from 230 first-order meta-analyses comprising over 25,000 primary studies. We show that (i) land conversion for crop production leads to high SOC loss, that can be partially restored through land management practices, particularly by introducing trees and incorporating exogenous carbon in the form of biochar or organic amendments, (ii) land management practices that are implemented in forests generally result in depletion of SOC, and (iii) indirect effects of climate change, such as through wildfires, have a greater impact on SOC than direct climate change effects (e.g., from rising temperatures). The findings of our study provide strong evidence to assist decision-makers in safeguarding SOC stocks and promoting land management practices for SOC restoration. Furthermore, they serve as a crucial research roadmap, identifying areas that require attention to fill the knowledge gaps concerning the factors driving changes in SOC.","container-title":"Nature Communications","DOI":"10.1038/s41467-023-39338-z","ISSN":"2041-1723","issue":"1","journalAbbreviation":"Nat Commun","language":"en","license":"2023 The Author(s)","note":"number: 1\npublisher: Nature Publishing Group","page":"3700","source":"www.nature.com","title":"A global meta-analysis of soil organic carbon in the Anthropocene","volume":"14","author":[{"family":"Beillouin","given":"Damien"},{"family":"Corbeels","given":"Marc"},{"family":"Demenois","given":"Julien"},{"family":"Berre","given":"David"},{"family":"Boyer","given":"Annie"},{"family":"Fallot","given":"Abigail"},{"family":"Feder","given":"Frédéric"},{"family":"Cardinael","given":"Rémi"}],"issued":{"date-parts":[["2023",6,22]]}}}],"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(Beillouin et al., 2023)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The effects of wildfires on soil carbon pools vary widely depending on fire extent and severity, soil type, tree species, elevation, slope, and ecosystem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{"citationID":"Obpxhz7x","properties":{"formattedCitation":"(Y. Cheng et al., 2023)","plainCitation":"(Y. Cheng et al., 2023)","noteIndex":0},"citationItems":[{"id":3597,"uris":["http://zotero.org/users/3110659/items/TGLQV6QC"],"itemData":{"id":3597,"type":"article-journal","container-title":"Science of The Total Environment","DOI":"DOI:10.1016/j.scitotenv.2023.165001","issue":"165001","title":"Fire effects on soil carbon cycling pools in forest ecosystems: A global meta-analysis","URL":"https://doi.org/10.1016/j.scitotenv.2023.165001","volume":"895","author":[{"family":"Cheng","given":"Yue"},{"family":"Luo","given":"Peng"},{"family":"Yang","given":"Hao"},{"family":"Li","given":"Honglin"},{"family":"Luo","given":"Chuan"},{"family":"Jia","given":"Honghong"},{"family":"Huang","given":"Yu"}],"issued":{"date-parts":[["2023"]]}}}],"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(Y. Cheng et al., 2023)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Fires lead to carbon loss as both plant and soil biomass burn; however, during the fire recovery process, soil carbon increases as fires promote soil microbial activity and pyrogenic carbon is sequestered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{"citationID":"EMAS2hoK","properties":{"formattedCitation":"(Y. Cheng et al., 2023)","plainCitation":"(Y. Cheng et al., 2023)","noteIndex":0},"citationItems":[{"id":3597,"uris":["http://zotero.org/users/3110659/items/TGLQV6QC"],"itemData":{"id":3597,"type":"article-journal","container-title":"Science of The Total Environment","DOI":"DOI:10.1016/j.scitotenv.2023.165001","issue":"165001","title":"Fire effects on soil carbon cycling pools in forest ecosystems: A global meta-analysis","URL":"https://doi.org/10.1016/j.scitotenv.2023.165001","volume":"895","author":[{"family":"Cheng","given":"Yue"},{"family":"Luo","given":"Peng"},{"family":"Yang","given":"Hao"},{"family":"Li","given":"Honglin"},{"family":"Luo","given":"Chuan"},{"family":"Jia","given":"Honghong"},{"family":"Huang","given":"Yu"}],"issued":{"date-parts":[["2023"]]}}}],"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(Y. Cheng et al., 2023)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We find, similarly, that there is no clear relationship between fire activity and SOC (</w:t>
      </w:r>
      <w:r w:rsidRPr="00427197">
        <w:rPr>
          <w:rFonts w:ascii="Times New Roman" w:hAnsi="Times New Roman" w:cs="Times New Roman"/>
          <w:b/>
          <w:bCs/>
          <w:sz w:val="24"/>
          <w:szCs w:val="24"/>
        </w:rPr>
        <w:t>Figure S</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4</w:t>
      </w:r>
      <w:r w:rsidRPr="008E4EFB">
        <w:rPr>
          <w:rFonts w:ascii="Times New Roman" w:hAnsi="Times New Roman" w:cs="Times New Roman"/>
          <w:sz w:val="24"/>
          <w:szCs w:val="24"/>
        </w:rPr>
        <w:t xml:space="preserve">). </w:t>
      </w:r>
    </w:p>
    <w:p w14:paraId="54A60C9C" w14:textId="2C4D957A" w:rsidR="00025DA5" w:rsidRPr="008E4EFB" w:rsidRDefault="00025DA5"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Much of the gain in SOC in the CONUS over the last hundred years can be attributed to cropland expansion and nitrogen fertilizer use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{"citationID":"CcsttpC2","properties":{"formattedCitation":"(Ren et al., 2020)","plainCitation":"(Ren et al., 2020)","noteIndex":0},"citationItems":[{"id":3207,"uris":["http://zotero.org/users/3110659/items/A72QC2PY"],"itemData":{"id":3207,"type":"article-journal","abstract":"Soil organic carbon (SOC) in croplands is a key property of soil quality for ensuring food security and agricultural sustainability, and also plays a central role in the global carbon (C) budget. When managed sustainably, soils may play a critical role in mitigating climate change by sequestering C and decreasing greenhouse gas emissions into the atmosphere. However, the magnitude and spatio-temporal patterns of global cropland SOC are far from well constrained due to high land surface heterogeneity, complicated mechanisms, and multiple influencing factors. Here, we use a process-based agroecosystem model (DLEM-Ag) in combination with diverse spatially-explicit gridded environmental data to quantify the long-term trend of SOC storage in global cropland area during 1901-2010 and identify the relative impacts of climate change, elevated CO2, nitrogen deposition, land cover change, and land management practices such as nitrogen fertilizer use and irrigation. Model results show that the total SOC and SOC density in the 2000s increased by 125% and 48.8%, respectively, compared to the early 20th century. This SOC increase was primarily attributed to cropland expansion and nitrogen fertilizer use. Factorial analysis suggests that climate change reduced approximately 3.2% (or 2,166 Tg C) of the total SOC over the past 110 years. Our results indicate that croplands have a large potential to sequester C through implementing better land use management practices, which may partially offset SOC loss caused by climate change.","container-title":"Geography and Sustainability","DOI":"10.1016/j.geosus.2020.03.001","ISSN":"2666-6839","issue":"1","journalAbbreviation":"Geography and Sustainability","page":"59-69","source":"ScienceDirect","title":"Global pattern and change of cropland soil organic carbon during 1901-2010: Roles of climate, atmospheric chemistry, land use and management","title-short":"Global pattern and change of cropland soil organic carbon during 1901-2010","volume":"1","author":[{"family":"Ren","given":"Wei"},{"family":"Banger","given":"Kamaljit"},{"family":"Tao","given":"Bo"},{"family":"Yang","given":"Jia"},{"family":"Huang","given":"Yawen"},{"family":"Tian","given":"Hanqin"}],"issued":{"date-parts":[["2020",3,1]]}}}],"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(Ren et al., 2020)</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Interventions like biochar and agroforestry have been shown to help rebuild SOC stocks in croplands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{"citationID":"BU3GvpHc","properties":{"formattedCitation":"(Chenu et al., 2019)","plainCitation":"(Chenu et al., 2019)","noteIndex":0},"citationItems":[{"id":3091,"uris":["http://zotero.org/users/3110659/items/CN8IMW8C"],"itemData":{"id":3091,"type":"article-journal","abstract":"Recent initiatives, such as the United Nations declaring 2015 as the International Year of Soils and the French « 4 per 1000 » initiative call attention on soils and on the importance of maintaining and increasing soil organic matter stocks for soil fertility and food security, and for climate change adaptation and mitigation. We stress that soil organic carbon storage (i.e. an increase of soil organic carbon stocks) should be clearly differentiated from soil organic carbon sequestration, as the latter assumes a net removal of atmospheric CO2. Implementing management options that allow increasing soil organic carbon stocks at the local scale raises several questions, which are discussed in this article: how can we increase SOC stocks, at which rate and for how long; where do we prioritize SOC storage; how do we estimate the potential gain in C and which agricultural practices should we implement? We show that knowledge and tools are available to answer many of these questions, while further research remains necessary for others. A range of agricultural practices would require a re-assessment of their potential to store C and a better understanding of the underlying processes, such as no tillage and conservation agriculture, irrigation, practices increasing below ground inputs, organic amendments, and N fertilization. The vision emerging from the literature, showing the prominent role of soil microorganisms in the stabilization of soil organic matter, draw the attention to more exploratory potential levers, through changes in microbial physiology or soil biodiversity induced by agricultural practices, that require in-depth research.","collection-title":"Soil Carbon and Climate Change: the 4 per Mille Initiative","container-title":"Soil and Tillage Research","DOI":"10.1016/j.still.2018.04.011","ISSN":"0167-1987","journalAbbreviation":"Soil and Tillage Research","page":"41-52","source":"ScienceDirect","title":"Increasing organic stocks in agricultural soils: Knowledge gaps and potential innovations","title-short":"Increasing organic stocks in agricultural soils","volume":"188","author":[{"family":"Chenu","given":"Claire"},{"family":"Angers","given":"Denis A."},{"family":"Barré","given":"Pierre"},{"family":"Derrien","given":"Delphine"},{"family":"Arrouays","given":"Dominique"},{"family":"Balesdent","given":"Jérôme"}],"issued":{"date-parts":[["2019",5,1]]}}}],"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(Chenu et al., 2019)</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However, there is no way to differentiate between land management practices in our maps without an additional </w:t>
      </w:r>
      <w:proofErr w:type="gramStart"/>
      <w:r w:rsidRPr="008E4EFB">
        <w:rPr>
          <w:rFonts w:ascii="Times New Roman" w:hAnsi="Times New Roman" w:cs="Times New Roman"/>
          <w:sz w:val="24"/>
          <w:szCs w:val="24"/>
        </w:rPr>
        <w:t>dataset</w:t>
      </w:r>
      <w:proofErr w:type="gramEnd"/>
      <w:r w:rsidRPr="008E4EFB">
        <w:rPr>
          <w:rFonts w:ascii="Times New Roman" w:hAnsi="Times New Roman" w:cs="Times New Roman"/>
          <w:sz w:val="24"/>
          <w:szCs w:val="24"/>
        </w:rPr>
        <w:t xml:space="preserve"> to label lands. For example, the Random Forest model may “know” that a specific field has had a cover crop over the winter because the NDVI value remains higher </w:t>
      </w:r>
      <w:r w:rsidRPr="008E4EFB">
        <w:rPr>
          <w:rFonts w:ascii="Times New Roman" w:hAnsi="Times New Roman" w:cs="Times New Roman"/>
          <w:sz w:val="24"/>
          <w:szCs w:val="24"/>
        </w:rPr>
        <w:lastRenderedPageBreak/>
        <w:t xml:space="preserve">than if it were bare soil; but it cannot say that that field has been managed with no-till vs. the plowing before planting. </w:t>
      </w:r>
    </w:p>
    <w:p w14:paraId="013EAAAC" w14:textId="316DBE40" w:rsidR="00025DA5" w:rsidRPr="008E4EFB" w:rsidRDefault="00025DA5"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Intensive tillage has historically been highest in the Fruitful Rim, the Mississippi Portal, and the Southern Seaboard while the Prairie Gateway, Heartland, and Northern Great Plains have historically benefited from higher rates of reduced tillage and conservation tillage practices (</w:t>
      </w:r>
      <w:r w:rsidRPr="00427197">
        <w:rPr>
          <w:rFonts w:ascii="Times New Roman" w:hAnsi="Times New Roman" w:cs="Times New Roman"/>
          <w:b/>
          <w:bCs/>
          <w:sz w:val="24"/>
          <w:szCs w:val="24"/>
        </w:rPr>
        <w:t>Figure S</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5</w:t>
      </w:r>
      <w:r w:rsidRPr="008E4EFB">
        <w:rPr>
          <w:rFonts w:ascii="Times New Roman" w:hAnsi="Times New Roman" w:cs="Times New Roman"/>
          <w:sz w:val="24"/>
          <w:szCs w:val="24"/>
        </w:rPr>
        <w:t>). These Midwestern areas are also the ones that have a more positive slope in the annual rate of SOC change while the most negative changes in SOC accumulation are all found in the Southern Seaboard, Eastern Uplands, and Northern Crescent (</w:t>
      </w:r>
      <w:r w:rsidRPr="00427197">
        <w:rPr>
          <w:rFonts w:ascii="Times New Roman" w:hAnsi="Times New Roman" w:cs="Times New Roman"/>
          <w:b/>
          <w:bCs/>
          <w:sz w:val="24"/>
          <w:szCs w:val="24"/>
        </w:rPr>
        <w:t xml:space="preserve">Figure </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2B</w:t>
      </w:r>
      <w:r w:rsidRPr="008E4EFB">
        <w:rPr>
          <w:rFonts w:ascii="Times New Roman" w:hAnsi="Times New Roman" w:cs="Times New Roman"/>
          <w:sz w:val="24"/>
          <w:szCs w:val="24"/>
        </w:rPr>
        <w:t xml:space="preserve">). </w:t>
      </w:r>
    </w:p>
    <w:p w14:paraId="7329BE46" w14:textId="340F74B2" w:rsidR="00537FE1" w:rsidRPr="008E4EFB" w:rsidRDefault="00537FE1" w:rsidP="00D555F0">
      <w:pPr>
        <w:pStyle w:val="Style3"/>
        <w:numPr>
          <w:ilvl w:val="1"/>
          <w:numId w:val="32"/>
        </w:numPr>
        <w:spacing w:before="0" w:line="360" w:lineRule="auto"/>
        <w:rPr>
          <w:rFonts w:cs="Times New Roman"/>
          <w:szCs w:val="24"/>
          <w:shd w:val="clear" w:color="auto" w:fill="FFFFFF"/>
        </w:rPr>
      </w:pPr>
      <w:r w:rsidRPr="008E4EFB">
        <w:rPr>
          <w:rFonts w:cs="Times New Roman"/>
          <w:noProof/>
          <w:szCs w:val="24"/>
        </w:rPr>
        <w:t>Climate Change</w:t>
      </w:r>
      <w:bookmarkEnd w:id="111"/>
      <w:r w:rsidRPr="008E4EFB">
        <w:rPr>
          <w:rFonts w:cs="Times New Roman"/>
          <w:noProof/>
          <w:szCs w:val="24"/>
        </w:rPr>
        <w:t xml:space="preserve"> </w:t>
      </w:r>
    </w:p>
    <w:p w14:paraId="27907FB2" w14:textId="5B6F8D4D" w:rsidR="002B0580" w:rsidRPr="008E4EFB" w:rsidRDefault="002B0580" w:rsidP="00D555F0">
      <w:pPr>
        <w:spacing w:after="0" w:line="360" w:lineRule="auto"/>
        <w:rPr>
          <w:rFonts w:ascii="Times New Roman" w:hAnsi="Times New Roman" w:cs="Times New Roman"/>
          <w:sz w:val="24"/>
          <w:szCs w:val="24"/>
        </w:rPr>
      </w:pPr>
      <w:bookmarkStart w:id="112" w:name="_Toc179918001"/>
      <w:r w:rsidRPr="008E4EFB">
        <w:rPr>
          <w:rFonts w:ascii="Times New Roman" w:hAnsi="Times New Roman" w:cs="Times New Roman"/>
          <w:sz w:val="24"/>
          <w:szCs w:val="24"/>
        </w:rPr>
        <w:t xml:space="preserve">From a study on urban greenspaces, mapping SOC with a Random Forest model, we know that higher SOC levels are associated with colder, less variable climates, particularly in older undisturbed areas where vegetation can regrow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{"citationID":"wKYFY137","properties":{"formattedCitation":"(H. Guo et al., 2024)","plainCitation":"(H. Guo et al., 2024)","noteIndex":0},"citationItems":[{"id":3063,"uris":["http://zotero.org/users/3110659/items/8U78JV3A"],"itemData":{"id":3063,"type":"article-journal","abstract":"Urban greenspaces continue to grow with global urbanization. The global distribution and stock of soil organic carbon (SOC) in urban greenspaces remain largely undescribed and missing in global carbon (C) budgets. Here, we synthesize data of 420 observations from 257 cities in 52 countries to evaluate the global pattern of surface SOC density (0–20 cm depth) in urban greenspaces. Surface SOC density in urban greenspaces increases significantly at higher latitudes and decreases significantly with higher mean annual temperature, stronger temperature and precipitation seasonality, as well as lower urban greenness index. By mapping surface SOC density using a random forest model, we estimate an average SOC density of 55.2 (51.9–58.6) Mg C ha−1 and a SOC stock of 1.46 (1.37–1.54) Pg C in global urban greenspaces. Our findings present a comprehensive assessment of SOC in global urban greenspaces and provide a baseline for future urban soil C assessment under continuing urbanization.","container-title":"Nature Communications","DOI":"10.1038/s41467-024-44887-y","ISSN":"2041-1723","issue":"1","journalAbbreviation":"Nat Commun","language":"en","license":"2024 The Author(s)","note":"number: 1\npublisher: Nature Publishing Group","page":"806","source":"www.nature.com","title":"Global distribution of surface soil organic carbon in urban greenspaces","volume":"15","author":[{"family":"Guo","given":"Hongbo"},{"family":"Du","given":"Enzai"},{"family":"Terrer","given":"César"},{"family":"Jackson","given":"Robert B."}],"issued":{"date-parts":[["2024",1,27]]}}}],"schema":"https://github.com/citation-style-language/schema/raw/master/csl-citation.json"}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(H. Guo et al., 2024)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With the world warming due to the increased CO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in the atmosphere there will be two effects: 1) more plant growth due to higher CO</w:t>
      </w:r>
      <w:r w:rsidRPr="008E4EFB">
        <w:rPr>
          <w:rFonts w:ascii="Times New Roman" w:hAnsi="Times New Roman" w:cs="Times New Roman"/>
          <w:sz w:val="24"/>
          <w:szCs w:val="24"/>
          <w:vertAlign w:val="subscript"/>
        </w:rPr>
        <w:t>2</w:t>
      </w:r>
      <w:r w:rsidRPr="008E4EFB">
        <w:rPr>
          <w:rFonts w:ascii="Times New Roman" w:hAnsi="Times New Roman" w:cs="Times New Roman"/>
          <w:sz w:val="24"/>
          <w:szCs w:val="24"/>
        </w:rPr>
        <w:t xml:space="preserve"> levels, leading to higher soil carbon, and 2) increased microbial activity due to the warmer temperature leading to more soil carbon loss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{"citationID":"iJcaHoiW","properties":{"formattedCitation":"(J. Liu et al., 2022)","plainCitation":"(J. Liu et al., 2022)","noteIndex":0},"citationItems":[{"id":3065,"uris":["http://zotero.org/users/3110659/items/XIHSJEZA"],"itemData":{"id":3065,"type":"article-journal","abstract":"Permafrost soils represent an enormous carbon (C) pool that is highly vulnerable to climate warming. We used the model output ensemble of the Coupled Model Intercomparison Project Phase 6 to estimate the C storage in soil, litter, and vegetation in the current extent of northern Asian permafrost during 1900–2100. The contemporary (1995–2014) C storage was estimated to be 368.1 ± 82.5 Pg C for the full column depth of the soil, 13.3 ± 4.6 Pg C in litter, and 22.2 ± 3.2 Pg C in vegetation biomass, while these C storage levels are projected to decline by 3.9 Pg C (1.1%) in soils, increase of 0.03 Pg C (0.2%) in litter, and increase by 21.1 Pg C (95.3%) in vegetation biomass by the end of the 21st century under SSP585. The total C storage was dominated by warming-induced vegetation growth. Partial correlation analysis showed that surface air temperature (TAS), soil liquid water, and soil mineral nitrogen (SMN) dominated the soil and vegetation C pools, while SMN controlled litter C during the historical period. Under future scenarios, TAS and SMN dominated the changes of soil and litter C, while TAS determined the vegetation C increase. The growing soil C loss with warming indicates positive C-climate feedback in soils; this warming-induced acceleration of soil C loss was canceled out by the enhanced vegetation C accumulation, leading to a strong C sink in the 21st century.","container-title":"Environmental Research Letters","DOI":"10.1088/1748-9326/ac7eda","ISSN":"1748-9326","issue":"8","journalAbbreviation":"Environ. Res. Lett.","language":"en","note":"publisher: IOP Publishing","page":"084009","source":"Institute of Physics","title":"Warming-induced vegetation growth cancels out soil carbon-climate feedback in the northern Asian permafrost region in the 21st century","volume":"17","author":[{"family":"Liu","given":"Jianzhao"},{"family":"Yuan","given":"Fenghui"},{"family":"Zuo","given":"Yunjiang"},{"family":"Zhou","given":"Rui"},{"family":"Zhu","given":"Xinhao"},{"family":"Li","given":"Kexin"},{"family":"Wang","given":"Nannan"},{"family":"Chen","given":"Ning"},{"family":"Guo","given":"Ziyu"},{"family":"Zhang","given":"Lihua"},{"family":"Sun","given":"Ying"},{"family":"Guo","given":"Yuedong"},{"family":"Song","given":"Changchun"},{"family":"Xu","given":"Xiaofeng"}],"issued":{"date-parts":[["2022",7]]}}}],"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(J. Liu et al.,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Overall, SOC will be reduced by 10.5% globally under 1.5 degrees C of warming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{"citationID":"gimx0h8c","properties":{"formattedCitation":"(M. Wang et al., 2024)","plainCitation":"(M. Wang et al., 2024)","noteIndex":0},"citationItems":[{"id":3067,"uris":["http://zotero.org/users/3110659/items/ACV6E4CI"],"itemData":{"id":3067,"type":"article-journal","abstract":"The impact of more extreme climate conditions under global warming on soil organic carbon (SOC) dynamics remains unquantified. Here we estimate the response of SOC to climate extreme shifts under 1.5 °C warming by combining a space-for-time substitution approach and global SOC measurements (0–30 cm soil). Most extremes (22 out of 33 assessed extreme types) exacerbate SOC loss under warming globally, but their effects vary among ecosystems. Only decreasing duration of cold spells exerts consistent positive effects, and increasing extreme wet days exerts negative effects in all ecosystems. Temperate grasslands and croplands negatively respond to most extremes, while positive responses are dominant in temperate and boreal forests and deserts. In tundra, 21 extremes show neutral effects, but 11 extremes show negative effects with stronger magnitude than in other ecosystems. Our results reveal distinct, biome-specific effects of climate extremes on SOC dynamics, promoting more reliable SOC projection under climate change.","container-title":"Nature Climate Change","DOI":"10.1038/s41558-023-01874-3","ISSN":"1758-6798","issue":"1","journalAbbreviation":"Nat. Clim. Chang.","language":"en","license":"2023 The Author(s), under exclusive licence to Springer Nature Limited","note":"number: 1\npublisher: Nature Publishing Group","page":"98-105","source":"www.nature.com","title":"Responses of soil organic carbon to climate extremes under warming across global biomes","volume":"14","author":[{"family":"Wang","given":"Mingming"},{"family":"Zhang","given":"Shuai"},{"family":"Guo","given":"Xiaowei"},{"family":"Xiao","given":"Liujun"},{"family":"Yang","given":"Yuanhe"},{"family":"Luo","given":"Yiqi"},{"family":"Mishra","given":"Umakant"},{"family":"Luo","given":"Zhongkui"}],"issued":{"date-parts":[["2024",1]]}}}],"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(M. Wang et al., 2024)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However, this effect will have regional variation. For example, one study showed that warming-induced vegetation growth canceled out soil carbon-climate feedback in the northern Asian permafrost region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{"citationID":"0XGX07fE","properties":{"formattedCitation":"(J. Liu et al., 2022)","plainCitation":"(J. Liu et al., 2022)","noteIndex":0},"citationItems":[{"id":3065,"uris":["http://zotero.org/users/3110659/items/XIHSJEZA"],"itemData":{"id":3065,"type":"article-journal","abstract":"Permafrost soils represent an enormous carbon (C) pool that is highly vulnerable to climate warming. We used the model output ensemble of the Coupled Model Intercomparison Project Phase 6 to estimate the C storage in soil, litter, and vegetation in the current extent of northern Asian permafrost during 1900–2100. The contemporary (1995–2014) C storage was estimated to be 368.1 ± 82.5 Pg C for the full column depth of the soil, 13.3 ± 4.6 Pg C in litter, and 22.2 ± 3.2 Pg C in vegetation biomass, while these C storage levels are projected to decline by 3.9 Pg C (1.1%) in soils, increase of 0.03 Pg C (0.2%) in litter, and increase by 21.1 Pg C (95.3%) in vegetation biomass by the end of the 21st century under SSP585. The total C storage was dominated by warming-induced vegetation growth. Partial correlation analysis showed that surface air temperature (TAS), soil liquid water, and soil mineral nitrogen (SMN) dominated the soil and vegetation C pools, while SMN controlled litter C during the historical period. Under future scenarios, TAS and SMN dominated the changes of soil and litter C, while TAS determined the vegetation C increase. The growing soil C loss with warming indicates positive C-climate feedback in soils; this warming-induced acceleration of soil C loss was canceled out by the enhanced vegetation C accumulation, leading to a strong C sink in the 21st century.","container-title":"Environmental Research Letters","DOI":"10.1088/1748-9326/ac7eda","ISSN":"1748-9326","issue":"8","journalAbbreviation":"Environ. Res. Lett.","language":"en","note":"publisher: IOP Publishing","page":"084009","source":"Institute of Physics","title":"Warming-induced vegetation growth cancels out soil carbon-climate feedback in the northern Asian permafrost region in the 21st century","volume":"17","author":[{"family":"Liu","given":"Jianzhao"},{"family":"Yuan","given":"Fenghui"},{"family":"Zuo","given":"Yunjiang"},{"family":"Zhou","given":"Rui"},{"family":"Zhu","given":"Xinhao"},{"family":"Li","given":"Kexin"},{"family":"Wang","given":"Nannan"},{"family":"Chen","given":"Ning"},{"family":"Guo","given":"Ziyu"},{"family":"Zhang","given":"Lihua"},{"family":"Sun","given":"Ying"},{"family":"Guo","given":"Yuedong"},{"family":"Song","given":"Changchun"},{"family":"Xu","given":"Xiaofeng"}],"issued":{"date-parts":[["2022",7]]}}}],"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(J. Liu et al., 2022)</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In Florida, research showed that SOC sequestration under climate change was dependent on the land use type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{"citationID":"2STsuMUo","properties":{"formattedCitation":"(Xiong et al., 2014)","plainCitation":"(Xiong et al., 2014)","noteIndex":0},"citationItems":[{"id":3579,"uris":["http://zotero.org/users/3110659/items/5YQACGD3"],"itemData":{"id":3579,"type":"article-journal","abstract":"Historically, Florida soils stored the largest amount of soil organic carbon (SOC) among the conterminous U.S. states (2.26Pg). This region experienced rapid land use/land cover (LULC) shifts and climate change in the past decades. The effects of these changes on SOC sequestration are unknown. The objectives of this study were to 1) investigate the change in SOC stocks in Florida to determine if soils have acted as a net sink or net source for carbon (C) over the past four decades and 2) identify the concomitant effects of LULC, LULC change, and climate on the SOC change. A total of 1080 sites were sampled in the topsoil (0–20cm) between 2008 and 2009 representing the current SOC stocks, 194 of which were selected to collocate with historical sites (n=1251) from the Florida Soil Characterization Database (1965–1996) for direct comparison. Results show that SOC stocks significantly differed among LULC classes – sugarcane and wetland contained the highest SOC, followed by improved pasture, urban, mesic upland forest, rangeland, and pineland while crop, citrus and xeric upland forest remained the lowest. The surface 20cm soils acted as a net sink for C with the median SOC significantly increasing from 2.69 to 3.40kgm−2 over the past decades. The SOC sequestration rate was LULC dependent and controlled by climate factors interacting with LULC. Higher temperature tended to accelerate SOC accumulation, while higher precipitation reduced the SOC sequestration rate. Land use/land cover change observed over the past four decades also favored the C sequestration in soils due to the increase in the C-rich wetland area by ~140% and decrease in the C-poor agricultural area by ~20%. Soils are likely to provide a substantial soil C sink considering the climate and LULC projections for this region.","container-title":"Science of The Total Environment","DOI":"10.1016/j.scitotenv.2014.06.088","ISSN":"0048-9697","journalAbbreviation":"Science of The Total Environment","page":"974-982","source":"ScienceDirect","title":"Interaction effects of climate and land use/land cover change on soil organic carbon sequestration","volume":"493","author":[{"family":"Xiong","given":"Xiong"},{"family":"Grunwald","given":"Sabine"},{"family":"Myers","given":"D. Brenton"},{"family":"Ross","given":"C. Wade"},{"family":"Harris","given":"Willie G."},{"family":"Comerford","given":"Nicolas B."}],"issued":{"date-parts":[["2014",9,15]]}}}],"schema":"https://github.com/citation-style-language/schema/raw/master/csl-citation.json"}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(Xiong et al., 2014)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and in the Upper Midwest and Ohio Valley regions, research showed that SOC stocks will decline as temperatures and precipitation increase, although this will be dependent on the agricultural practices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{"citationID":"IueJLtRC","properties":{"formattedCitation":"(Grace et al., 2006)","plainCitation":"(Grace et al., 2006)","noteIndex":0},"citationItems":[{"id":3581,"uris":["http://zotero.org/users/3110659/items/QHUZHW94"],"itemData":{"id":3581,"type":"article-journal","abstract":"Soil organic carbon (SOC) represents a significant pool of carbon within the biosphere. Climatic shifts in temperature and precipitation have a major influence on the decomposition and amount of SOC stored within an ecosystem. We have linked net primary production algorithms, which include the impact of enhanced atmospheric CO2 on plant growth, to the Soil Organic Carbon Resources And Transformations in EcoSystems (SOCRATES) model to develop a SOC map for the North Central Region of the United States between the years 1850 and 2100 in response to agricultural activity and climate conditions generated by the CSIRO Mk2 Global Circulation Model (GCM) and based on the Intergovernmental Panel for Climate Change (IPCC) IS92a emission scenario. We estimate that the current day (1990) stocks of SOC in the top 10 cm of the North Central Region to be 4692 Mt, and 8090 Mt in the top 20 cm of soil. This is 19% lower than the pre-settlement steady state value predicted by the SOCRATES model. By the year 2100, with temperature and precipitation increasing across the North Central Region by an average of 3.9°C and 8.1 cm, respectively, SOCRATES predicts SOC stores of the North Central Region to decline by 11.5 and 2% (in relation to 1990 values) for conventional and conservation tillage scenarios, respectively.","container-title":"Ecosystems","DOI":"10.1007/s10021-004-0096-9","ISSN":"1435-0629","issue":"5","journalAbbreviation":"Ecosystems","language":"en","page":"816-827","source":"Springer Link","title":"The Potential Impact of Agricultural Management and Climate Change on Soil Organic Carbon of the North Central Region of the United States","volume":"9","author":[{"family":"Grace","given":"Peter R."},{"family":"Colunga-Garcia","given":"Manuel"},{"family":"Gage","given":"Stuart H."},{"family":"Robertson","given":"G. Philip"},{"family":"Safir","given":"Gene R."}],"issued":{"date-parts":[["2006",8,1]]}}}],"schema":"https://github.com/citation-style-language/schema/raw/master/csl-citation.json"}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(Grace et al., 2006)</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w:t>
      </w:r>
    </w:p>
    <w:p w14:paraId="6D7FA84D" w14:textId="65F63D49" w:rsidR="002B0580" w:rsidRPr="008E4EFB" w:rsidRDefault="002B0580"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Nearly 50% of the SOC in the entire CONUS is located in regions that have experienced unusually high temperatures (</w:t>
      </w:r>
      <w:r w:rsidRPr="00427197">
        <w:rPr>
          <w:rFonts w:ascii="Times New Roman" w:hAnsi="Times New Roman" w:cs="Times New Roman"/>
          <w:b/>
          <w:bCs/>
          <w:sz w:val="24"/>
          <w:szCs w:val="24"/>
        </w:rPr>
        <w:t xml:space="preserve">Figure </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5</w:t>
      </w:r>
      <w:r w:rsidRPr="008E4EFB">
        <w:rPr>
          <w:rFonts w:ascii="Times New Roman" w:hAnsi="Times New Roman" w:cs="Times New Roman"/>
          <w:sz w:val="24"/>
          <w:szCs w:val="24"/>
        </w:rPr>
        <w:t>); this is not an indication of SOC or temperature changing rapidly, but rather an indication that the highest levels of soil carbon are located in places that are frequently experiencing both higher temperatures and more rainfall than the average. The precipitation patterns are more variable, with between 30% and 50% of the total SOC in regions that experience unusually high precipitation each year (</w:t>
      </w:r>
      <w:r w:rsidRPr="00427197">
        <w:rPr>
          <w:rFonts w:ascii="Times New Roman" w:hAnsi="Times New Roman" w:cs="Times New Roman"/>
          <w:b/>
          <w:bCs/>
          <w:sz w:val="24"/>
          <w:szCs w:val="24"/>
        </w:rPr>
        <w:t xml:space="preserve">Figure </w:t>
      </w:r>
      <w:r w:rsidR="00972AEF" w:rsidRPr="00427197">
        <w:rPr>
          <w:rFonts w:ascii="Times New Roman" w:hAnsi="Times New Roman" w:cs="Times New Roman"/>
          <w:b/>
          <w:bCs/>
          <w:sz w:val="24"/>
          <w:szCs w:val="24"/>
        </w:rPr>
        <w:t>6.</w:t>
      </w:r>
      <w:r w:rsidRPr="00427197">
        <w:rPr>
          <w:rFonts w:ascii="Times New Roman" w:hAnsi="Times New Roman" w:cs="Times New Roman"/>
          <w:b/>
          <w:bCs/>
          <w:sz w:val="24"/>
          <w:szCs w:val="24"/>
        </w:rPr>
        <w:t>5</w:t>
      </w:r>
      <w:r w:rsidRPr="008E4EFB">
        <w:rPr>
          <w:rFonts w:ascii="Times New Roman" w:hAnsi="Times New Roman" w:cs="Times New Roman"/>
          <w:sz w:val="24"/>
          <w:szCs w:val="24"/>
        </w:rPr>
        <w:t xml:space="preserve">). Climate extremes can also impact the spatial distribution of carbon loss and the pattern of loss is not consistent across different ecosystems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{"citationID":"pkJe75eI","properties":{"formattedCitation":"(M. Wang et al., 2024)","plainCitation":"(M. Wang et al., 2024)","noteIndex":0},"citationItems":[{"id":3067,"uris":["http://zotero.org/users/3110659/items/ACV6E4CI"],"itemData":{"id":3067,"type":"article-journal","abstract":"The impact of more extreme climate conditions under global warming on soil organic carbon (SOC) dynamics remains unquantified. Here we estimate the response of SOC to climate extreme shifts under 1.5 °C warming by combining a space-for-time substitution approach and global SOC measurements (0–30 cm soil). Most extremes (22 out of 33 assessed extreme types) exacerbate SOC loss under warming globally, but their effects vary among ecosystems. Only decreasing duration of cold spells exerts consistent positive effects, and increasing extreme wet days exerts negative effects in all ecosystems. Temperate grasslands and croplands negatively respond to most extremes, while positive responses are dominant in temperate and boreal forests and deserts. In tundra, 21 extremes show neutral effects, but 11 extremes show negative effects with stronger magnitude than in other ecosystems. Our results reveal distinct, biome-specific effects of climate extremes on SOC dynamics, promoting more reliable SOC projection under climate change.","container-title":"Nature Climate Change","DOI":"10.1038/s41558-023-01874-3","ISSN":"1758-6798","issue":"1","journalAbbreviation":"Nat. Clim. Chang.","language":"en","license":"2023 The Author(s), under exclusive licence to Springer Nature Limited","note":"number: 1\npublisher: Nature Publishing Group","page":"98-105","source":"www.nature.com","title":"Responses of soil organic carbon to climate extremes under warming across global biomes","volume":"14","author":[{"family":"Wang","given":"Mingming"},{"family":"Zhang","given":"Shuai"},{"family":"Guo","given":"Xiaowei"},{"family":"Xiao","given":"Liujun"},{"family":"Yang","given":"Yuanhe"},{"family":"Luo","given":"Yiqi"},{"family":"Mishra","given":"Umakant"},{"family":"Luo","given":"Zhongkui"}],"issued":{"date-parts":[["2024",1]]}}}],"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(M. Wang et al., 2024)</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or time periods because multiple </w:t>
      </w:r>
      <w:r w:rsidRPr="008E4EFB">
        <w:rPr>
          <w:rFonts w:ascii="Times New Roman" w:hAnsi="Times New Roman" w:cs="Times New Roman"/>
          <w:sz w:val="24"/>
          <w:szCs w:val="24"/>
        </w:rPr>
        <w:lastRenderedPageBreak/>
        <w:t xml:space="preserve">extreme events can impact the carbon cycle both concurrently and also with a time-lagged response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{"citationID":"aq9LUA1G","properties":{"formattedCitation":"(Arnone III et al., 2008; Frank et al., 2015)","plainCitation":"(Arnone III et al., 2008; Frank et al., 2015)","noteIndex":0},"citationItems":[{"id":3069,"uris":["http://zotero.org/users/3110659/items/BU7W3LAC"],"itemData":{"id":3069,"type":"article-journal","abstract":"Earth's terrestrial ecosystems strongly modulate levels of CO2 in the atmosphere through seasonal changes in net plant productivity (CO2 absorbance) and soil microbial respiration (CO2 release). It has been known for decades that these processes respond to seasonal shifts in climate, especially temperature, resulting in the zig-zag form of the global CO2 curve, but the data necessary to quantify impacts of a single climate variable at interannual timescales have been lacking. A four-year study using intact tallgrass prairie ecosystems in controlled environment chambers (like the one on the cover, showing plant communities a few weeks after summer mowing) now provides some of the missing data. The results show that one anomalously warm year reduces net ecosystem CO2 exchange for that year and the year after. Carbon sequestration in ecosystems exposed to high temperatures for a year is a third of that in controls. These findings suggest that more frequent anomalously warm years, a possible consequence of rising anthropogenic CO2 levels, could lead to a sustained decrease in CO2 uptake by terrestrial ecosystems.","container-title":"Nature","DOI":"10.1038/nature07296","ISSN":"1476-4687","issue":"7211","language":"en","license":"2008 Macmillan Publishers Limited. All rights reserved","note":"number: 7211\npublisher: Nature Publishing Group","page":"383-386","source":"www.nature.com","title":"Prolonged suppression of ecosystem carbon dioxide uptake after an anomalously warm year","volume":"455","author":[{"family":"Arnone III","given":"John A."},{"family":"Verburg","given":"Paul S. J."},{"family":"Johnson","given":"Dale W."},{"family":"Larsen","given":"Jessica D."},{"family":"Jasoni","given":"Richard L."},{"family":"Lucchesi","given":"Annmarie J."},{"family":"Batts","given":"Candace M."},{"family":"Nagy","given":"Christopher","non-dropping-particle":"von"},{"family":"Coulombe","given":"William G."},{"family":"Schorran","given":"David E."},{"family":"Buck","given":"Paul E."},{"family":"Braswell","given":"Bobby H."},{"family":"Coleman","given":"James S."},{"family":"Sherry","given":"Rebecca A."},{"family":"Wallace","given":"Linda L."},{"family":"Luo","given":"Yiqi"},{"family":"Schimel","given":"David S."}],"issued":{"date-parts":[["2008",9]]}}},{"id":3073,"uris":["http://zotero.org/users/3110659/items/KMNAR7JI"],"itemData":{"id":3073,"type":"article-journal","abstract":"Extreme droughts, heat waves, frosts, precipitation, wind storms and other climate extremes may impact the structure, composition and functioning of terrestrial ecosystems, and thus carbon cycling and its feedbacks to the climate system. Yet, the interconnected avenues through which climate extremes drive ecological and physiological processes and alter the carbon balance are poorly understood. Here, we review the literature on carbon cycle relevant responses of ecosystems to extreme climatic events. Given that impacts of climate extremes are considered disturbances, we assume the respective general disturbance-induced mechanisms and processes to also operate in an extreme context. The paucity of well-defined studies currently renders a quantitative meta-analysis impossible, but permits us to develop a deductive framework for identifying the main mechanisms (and coupling thereof) through which climate extremes may act on the carbon cycle. We find that ecosystem responses can exceed the duration of the climate impacts via lagged effects on the carbon cycle. The expected regional impacts of future climate extremes will depend on changes in the probability and severity of their occurrence, on the compound effects and timing of different climate extremes, and on the vulnerability of each land-cover type modulated by management. Although processes and sensitivities differ among biomes, based on expert opinion, we expect forests to exhibit the largest net effect of extremes due to their large carbon pools and fluxes, potentially large indirect and lagged impacts, and long recovery time to regain previous stocks. At the global scale, we presume that droughts have the strongest and most widespread effects on terrestrial carbon cycling. Comparing impacts of climate extremes identified via remote sensing vs. ground-based observational case studies reveals that many regions in the (sub-)tropics are understudied. Hence, regional investigations are needed to allow a global upscaling of the impacts of climate extremes on global carbon–climate feedbacks.","container-title":"Global Change Biology","DOI":"10.1111/gcb.12916","ISSN":"1365-2486","issue":"8","language":"en","license":"© 2015 The Authors. Global Change Biology published by John Wiley &amp; Sons Ltd.","note":"_eprint: https://onlinelibrary.wiley.com/doi/pdf/10.1111/gcb.12916","page":"2861-2880","source":"Wiley Online Library","title":"Effects of climate extremes on the terrestrial carbon cycle: concepts, processes and potential future impacts","title-short":"Effects of climate extremes on the terrestrial carbon cycle","volume":"21","author":[{"family":"Frank","given":"Dorothea"},{"family":"Reichstein","given":"Markus"},{"family":"Bahn","given":"Michael"},{"family":"Thonicke","given":"Kirsten"},{"family":"Frank","given":"David"},{"family":"Mahecha","given":"Miguel D."},{"family":"Smith","given":"Pete"},{"family":"Velde","given":"Marijn","non-dropping-particle":"van der"},{"family":"Vicca","given":"Sara"},{"family":"Babst","given":"Flurin"},{"family":"Beer","given":"Christian"},{"family":"Buchmann","given":"Nina"},{"family":"Canadell","given":"Josep G."},{"family":"Ciais","given":"Philippe"},{"family":"Cramer","given":"Wolfgang"},{"family":"Ibrom","given":"Andreas"},{"family":"Miglietta","given":"Franco"},{"family":"Poulter","given":"Ben"},{"family":"Rammig","given":"Anja"},{"family":"Seneviratne","given":"Sonia I."},{"family":"Walz","given":"Ariane"},{"family":"Wattenbach","given":"Martin"},{"family":"Zavala","given":"Miguel A."},{"family":"Zscheischler","given":"Jakob"}],"issued":{"date-parts":[["2015"]]}}}],"schema":"https://github.com/citation-style-language/schema/raw/master/csl-citation.json"}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(Arnone III et al., 2008; Frank et al., 2015)</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The timing of these climate extremes is important and different ecosystems experience different impacts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{"citationID":"co1WT4fp","properties":{"formattedCitation":"(Frank et al., 2015)","plainCitation":"(Frank et al., 2015)","noteIndex":0},"citationItems":[{"id":3073,"uris":["http://zotero.org/users/3110659/items/KMNAR7JI"],"itemData":{"id":3073,"type":"article-journal","abstract":"Extreme droughts, heat waves, frosts, precipitation, wind storms and other climate extremes may impact the structure, composition and functioning of terrestrial ecosystems, and thus carbon cycling and its feedbacks to the climate system. Yet, the interconnected avenues through which climate extremes drive ecological and physiological processes and alter the carbon balance are poorly understood. Here, we review the literature on carbon cycle relevant responses of ecosystems to extreme climatic events. Given that impacts of climate extremes are considered disturbances, we assume the respective general disturbance-induced mechanisms and processes to also operate in an extreme context. The paucity of well-defined studies currently renders a quantitative meta-analysis impossible, but permits us to develop a deductive framework for identifying the main mechanisms (and coupling thereof) through which climate extremes may act on the carbon cycle. We find that ecosystem responses can exceed the duration of the climate impacts via lagged effects on the carbon cycle. The expected regional impacts of future climate extremes will depend on changes in the probability and severity of their occurrence, on the compound effects and timing of different climate extremes, and on the vulnerability of each land-cover type modulated by management. Although processes and sensitivities differ among biomes, based on expert opinion, we expect forests to exhibit the largest net effect of extremes due to their large carbon pools and fluxes, potentially large indirect and lagged impacts, and long recovery time to regain previous stocks. At the global scale, we presume that droughts have the strongest and most widespread effects on terrestrial carbon cycling. Comparing impacts of climate extremes identified via remote sensing vs. ground-based observational case studies reveals that many regions in the (sub-)tropics are understudied. Hence, regional investigations are needed to allow a global upscaling of the impacts of climate extremes on global carbon–climate feedbacks.","container-title":"Global Change Biology","DOI":"10.1111/gcb.12916","ISSN":"1365-2486","issue":"8","language":"en","license":"© 2015 The Authors. Global Change Biology published by John Wiley &amp; Sons Ltd.","note":"_eprint: https://onlinelibrary.wiley.com/doi/pdf/10.1111/gcb.12916","page":"2861-2880","source":"Wiley Online Library","title":"Effects of climate extremes on the terrestrial carbon cycle: concepts, processes and potential future impacts","title-short":"Effects of climate extremes on the terrestrial carbon cycle","volume":"21","author":[{"family":"Frank","given":"Dorothea"},{"family":"Reichstein","given":"Markus"},{"family":"Bahn","given":"Michael"},{"family":"Thonicke","given":"Kirsten"},{"family":"Frank","given":"David"},{"family":"Mahecha","given":"Miguel D."},{"family":"Smith","given":"Pete"},{"family":"Velde","given":"Marijn","non-dropping-particle":"van der"},{"family":"Vicca","given":"Sara"},{"family":"Babst","given":"Flurin"},{"family":"Beer","given":"Christian"},{"family":"Buchmann","given":"Nina"},{"family":"Canadell","given":"Josep G."},{"family":"Ciais","given":"Philippe"},{"family":"Cramer","given":"Wolfgang"},{"family":"Ibrom","given":"Andreas"},{"family":"Miglietta","given":"Franco"},{"family":"Poulter","given":"Ben"},{"family":"Rammig","given":"Anja"},{"family":"Seneviratne","given":"Sonia I."},{"family":"Walz","given":"Ariane"},{"family":"Wattenbach","given":"Martin"},{"family":"Zavala","given":"Miguel A."},{"family":"Zscheischler","given":"Jakob"}],"issued":{"date-parts":[["2015"]]}}}],"schema":"https://github.com/citation-style-language/schema/raw/master/csl-citation.json"}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(Frank et al., 2015)</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For example, croplands are affected differently than other ecosystems because they are managed, and interventions can happen quickly (such as irrigation to offset a drought). The soil-vegetation system is also reset regularly throughout the year, and the type and duration of crop cover are variable </w:t>
      </w:r>
      <w:r w:rsidRPr="008E4EFB">
        <w:rPr>
          <w:rFonts w:ascii="Times New Roman" w:hAnsi="Times New Roman" w:cs="Times New Roman"/>
          <w:sz w:val="24"/>
          <w:szCs w:val="24"/>
        </w:rPr>
        <w:fldChar w:fldCharType="begin"/>
      </w:r>
      <w:r w:rsidR="0004467C" w:rsidRPr="008E4EFB">
        <w:rPr>
          <w:rFonts w:ascii="Times New Roman" w:hAnsi="Times New Roman" w:cs="Times New Roman"/>
          <w:sz w:val="24"/>
          <w:szCs w:val="24"/>
        </w:rPr>
        <w:instrText xml:space="preserve"> ADDIN ZOTERO_ITEM CSL_CITATION {"citationID":"BRAy05W8","properties":{"formattedCitation":"(Reichstein et al., 2013)","plainCitation":"(Reichstein et al., 2013)","noteIndex":0},"citationItems":[{"id":3071,"uris":["http://zotero.org/users/3110659/items/QF4ZJE7G"],"itemData":{"id":3071,"type":"article-journal","abstract":"The effects of climate extremes such as droughts or storms on the carbon cycle of ecosystems are investigated; such extremes can decrease regional carbon stocks.","container-title":"Nature","DOI":"10.1038/nature12350","ISSN":"1476-4687","issue":"7462","language":"en","license":"2013 Springer Nature Limited","note":"number: 7462\npublisher: Nature Publishing Group","page":"287-295","source":"www.nature.com","title":"Climate extremes and the carbon cycle","volume":"500","author":[{"family":"Reichstein","given":"Markus"},{"family":"Bahn","given":"Michael"},{"family":"Ciais","given":"Philippe"},{"family":"Frank","given":"Dorothea"},{"family":"Mahecha","given":"Miguel D."},{"family":"Seneviratne","given":"Sonia I."},{"family":"Zscheischler","given":"Jakob"},{"family":"Beer","given":"Christian"},{"family":"Buchmann","given":"Nina"},{"family":"Frank","given":"David C."},{"family":"Papale","given":"Dario"},{"family":"Rammig","given":"Anja"},{"family":"Smith","given":"Pete"},{"family":"Thonicke","given":"Kirsten"},{"family":"Velde","given":"Marijn","non-dropping-particle":"van der"},{"family":"Vicca","given":"Sara"},{"family":"Walz","given":"Ariane"},{"family":"Wattenbach","given":"Martin"}],"issued":{"date-parts":[["2013",8]]}}}],"schema":"https://github.com/citation-style-language/schema/raw/master/csl-citation.json"} </w:instrText>
      </w:r>
      <w:r w:rsidRPr="008E4EFB">
        <w:rPr>
          <w:rFonts w:ascii="Times New Roman" w:hAnsi="Times New Roman" w:cs="Times New Roman"/>
          <w:sz w:val="24"/>
          <w:szCs w:val="24"/>
        </w:rPr>
        <w:fldChar w:fldCharType="separate"/>
      </w:r>
      <w:r w:rsidR="0004467C" w:rsidRPr="008E4EFB">
        <w:rPr>
          <w:rFonts w:ascii="Times New Roman" w:hAnsi="Times New Roman" w:cs="Times New Roman"/>
          <w:sz w:val="24"/>
          <w:szCs w:val="24"/>
        </w:rPr>
        <w:t>(Reichstein et al., 2013)</w:t>
      </w:r>
      <w:r w:rsidRPr="008E4EFB">
        <w:rPr>
          <w:rFonts w:ascii="Times New Roman" w:hAnsi="Times New Roman" w:cs="Times New Roman"/>
          <w:sz w:val="24"/>
          <w:szCs w:val="24"/>
        </w:rPr>
        <w:fldChar w:fldCharType="end"/>
      </w:r>
      <w:r w:rsidRPr="008E4EFB">
        <w:rPr>
          <w:rFonts w:ascii="Times New Roman" w:hAnsi="Times New Roman" w:cs="Times New Roman"/>
          <w:sz w:val="24"/>
          <w:szCs w:val="24"/>
        </w:rPr>
        <w:t xml:space="preserve">. Additionally, there is a temporal element because crops can be vulnerable to specific stressors at different stages of the year. </w:t>
      </w:r>
    </w:p>
    <w:p w14:paraId="25A05157" w14:textId="443E4DF8" w:rsidR="00537FE1" w:rsidRPr="008E4EFB" w:rsidRDefault="00537FE1" w:rsidP="00D555F0">
      <w:pPr>
        <w:pStyle w:val="Style3"/>
        <w:numPr>
          <w:ilvl w:val="1"/>
          <w:numId w:val="32"/>
        </w:numPr>
        <w:spacing w:before="0" w:line="360" w:lineRule="auto"/>
        <w:rPr>
          <w:rFonts w:cs="Times New Roman"/>
          <w:szCs w:val="24"/>
        </w:rPr>
      </w:pPr>
      <w:r w:rsidRPr="008E4EFB">
        <w:rPr>
          <w:rFonts w:cs="Times New Roman"/>
          <w:szCs w:val="24"/>
        </w:rPr>
        <w:t>Conclusions</w:t>
      </w:r>
      <w:bookmarkEnd w:id="112"/>
    </w:p>
    <w:p w14:paraId="3CE36178" w14:textId="77777777" w:rsidR="0072526E" w:rsidRPr="008E4EFB" w:rsidRDefault="0072526E"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We compile a set of comprehensive georeferenced databases of SOC measurements in the CONUS and match the soil observations with climate, topography, soil moisture, and NDVI layers based on the date and location of the measurement. We then use this database to compare 7 machine learning models and linear regression in terms of how well they can interpolate SOC stocks in the top 30 cm of soil across the region. We generate spatially and temporally continuous maps of SOC using the best performing model – the Random Forest – and evaluate land use and climate impacts on SOC. We demonstrate that the factors that influence SOC do so on long time scales and the lack of interannual variation is a desirable property for carbon capture and carbon sequestration on a landscape scale. Our maps and analysis have great potential to be a resource for further studies on soil biogeochemistry and the role of anthropogenic disturbance and land use changes. In particular, we include soil measurements from more sources than many of the previous research efforts, we compare a wide range of potential machine learning models instead of selecting a single one based on a single prior approach, and our covariate selection is relatively simple (unlike, for example, </w:t>
      </w:r>
      <w:proofErr w:type="spellStart"/>
      <w:r w:rsidRPr="008E4EFB">
        <w:rPr>
          <w:rFonts w:ascii="Times New Roman" w:hAnsi="Times New Roman" w:cs="Times New Roman"/>
          <w:sz w:val="24"/>
          <w:szCs w:val="24"/>
        </w:rPr>
        <w:t>SoilGrids</w:t>
      </w:r>
      <w:proofErr w:type="spellEnd"/>
      <w:r w:rsidRPr="008E4EFB">
        <w:rPr>
          <w:rFonts w:ascii="Times New Roman" w:hAnsi="Times New Roman" w:cs="Times New Roman"/>
          <w:sz w:val="24"/>
          <w:szCs w:val="24"/>
        </w:rPr>
        <w:t xml:space="preserve"> 2.0 which includes around 400 covariate layers). We also suggest that future soil sampling should be better distributed to more accurately represent the variation in climate, topography, and land use across the landscape. </w:t>
      </w:r>
    </w:p>
    <w:p w14:paraId="291B1315" w14:textId="77777777" w:rsidR="00675381" w:rsidRPr="008E4EFB" w:rsidRDefault="00675381" w:rsidP="00D555F0">
      <w:pPr>
        <w:spacing w:after="0" w:line="360" w:lineRule="auto"/>
        <w:rPr>
          <w:rFonts w:ascii="Times New Roman" w:hAnsi="Times New Roman" w:cs="Times New Roman"/>
          <w:sz w:val="24"/>
          <w:szCs w:val="24"/>
        </w:rPr>
      </w:pPr>
    </w:p>
    <w:p w14:paraId="47678DD9" w14:textId="77777777" w:rsidR="00F74FF1" w:rsidRDefault="00F74FF1">
      <w:pPr>
        <w:rPr>
          <w:rFonts w:ascii="Times New Roman" w:eastAsiaTheme="majorEastAsia" w:hAnsi="Times New Roman" w:cs="Times New Roman"/>
          <w:sz w:val="24"/>
          <w:szCs w:val="24"/>
        </w:rPr>
      </w:pPr>
      <w:bookmarkStart w:id="113" w:name="_Toc179918002"/>
      <w:r>
        <w:rPr>
          <w:sz w:val="24"/>
          <w:szCs w:val="24"/>
        </w:rPr>
        <w:br w:type="page"/>
      </w:r>
    </w:p>
    <w:p w14:paraId="220C394B" w14:textId="7A0FB389" w:rsidR="00CD7F80" w:rsidRPr="008E4EFB" w:rsidRDefault="00675381" w:rsidP="00D555F0">
      <w:pPr>
        <w:pStyle w:val="Style1"/>
        <w:spacing w:before="0" w:line="360" w:lineRule="auto"/>
        <w:rPr>
          <w:color w:val="auto"/>
          <w:sz w:val="24"/>
          <w:szCs w:val="24"/>
        </w:rPr>
      </w:pPr>
      <w:r w:rsidRPr="008E4EFB">
        <w:rPr>
          <w:color w:val="auto"/>
          <w:sz w:val="24"/>
          <w:szCs w:val="24"/>
        </w:rPr>
        <w:lastRenderedPageBreak/>
        <w:t>Conclusions</w:t>
      </w:r>
      <w:bookmarkEnd w:id="113"/>
    </w:p>
    <w:p w14:paraId="2EBDCF77" w14:textId="2DA68B07" w:rsidR="00086B24" w:rsidRPr="008E4EFB" w:rsidRDefault="00086B24"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 xml:space="preserve">This </w:t>
      </w:r>
      <w:r w:rsidR="00531A79" w:rsidRPr="008E4EFB">
        <w:rPr>
          <w:rFonts w:ascii="Times New Roman" w:hAnsi="Times New Roman" w:cs="Times New Roman"/>
          <w:sz w:val="24"/>
          <w:szCs w:val="24"/>
        </w:rPr>
        <w:t>research</w:t>
      </w:r>
      <w:r w:rsidRPr="008E4EFB">
        <w:rPr>
          <w:rFonts w:ascii="Times New Roman" w:hAnsi="Times New Roman" w:cs="Times New Roman"/>
          <w:sz w:val="24"/>
          <w:szCs w:val="24"/>
        </w:rPr>
        <w:t xml:space="preserve"> </w:t>
      </w:r>
      <w:r w:rsidR="0027143C" w:rsidRPr="008E4EFB">
        <w:rPr>
          <w:rFonts w:ascii="Times New Roman" w:hAnsi="Times New Roman" w:cs="Times New Roman"/>
          <w:sz w:val="24"/>
          <w:szCs w:val="24"/>
        </w:rPr>
        <w:t xml:space="preserve">investigates </w:t>
      </w:r>
      <w:r w:rsidR="00B43F27" w:rsidRPr="008E4EFB">
        <w:rPr>
          <w:rFonts w:ascii="Times New Roman" w:hAnsi="Times New Roman" w:cs="Times New Roman"/>
          <w:sz w:val="24"/>
          <w:szCs w:val="24"/>
        </w:rPr>
        <w:t xml:space="preserve">several facets of global environmental change and </w:t>
      </w:r>
      <w:r w:rsidR="00A45459" w:rsidRPr="008E4EFB">
        <w:rPr>
          <w:rFonts w:ascii="Times New Roman" w:hAnsi="Times New Roman" w:cs="Times New Roman"/>
          <w:sz w:val="24"/>
          <w:szCs w:val="24"/>
        </w:rPr>
        <w:t xml:space="preserve">demonstrates the effectiveness of machine learning for quantification of climate risks and uncertainties both in terms of historical data and in the near future. </w:t>
      </w:r>
    </w:p>
    <w:p w14:paraId="28FB84F1" w14:textId="6343B238" w:rsidR="002C1969" w:rsidRPr="008E4EFB" w:rsidRDefault="00A91FB8" w:rsidP="00D555F0">
      <w:pPr>
        <w:spacing w:after="0" w:line="360" w:lineRule="auto"/>
        <w:rPr>
          <w:rStyle w:val="IOPTitleChar"/>
          <w:rFonts w:ascii="Times New Roman" w:hAnsi="Times New Roman"/>
          <w:b w:val="0"/>
          <w:sz w:val="24"/>
          <w:szCs w:val="24"/>
        </w:rPr>
      </w:pPr>
      <w:r w:rsidRPr="008E4EFB">
        <w:rPr>
          <w:rFonts w:ascii="Times New Roman" w:hAnsi="Times New Roman" w:cs="Times New Roman"/>
          <w:sz w:val="24"/>
          <w:szCs w:val="24"/>
        </w:rPr>
        <w:t xml:space="preserve">First, I </w:t>
      </w:r>
      <w:r w:rsidR="002C1969" w:rsidRPr="008E4EFB">
        <w:rPr>
          <w:rStyle w:val="IOPTitleChar"/>
          <w:rFonts w:ascii="Times New Roman" w:hAnsi="Times New Roman"/>
          <w:b w:val="0"/>
          <w:sz w:val="24"/>
          <w:szCs w:val="24"/>
        </w:rPr>
        <w:t xml:space="preserve">update the 2010 deposition budgets </w:t>
      </w:r>
      <w:r w:rsidRPr="008E4EFB">
        <w:rPr>
          <w:rStyle w:val="IOPTitleChar"/>
          <w:rFonts w:ascii="Times New Roman" w:hAnsi="Times New Roman"/>
          <w:b w:val="0"/>
          <w:sz w:val="24"/>
          <w:szCs w:val="24"/>
        </w:rPr>
        <w:t xml:space="preserve">for reactive nitrogen and sulfur deposition </w:t>
      </w:r>
      <w:r w:rsidR="002C1969" w:rsidRPr="008E4EFB">
        <w:rPr>
          <w:rStyle w:val="IOPTitleChar"/>
          <w:rFonts w:ascii="Times New Roman" w:hAnsi="Times New Roman"/>
          <w:b w:val="0"/>
          <w:sz w:val="24"/>
          <w:szCs w:val="24"/>
        </w:rPr>
        <w:t xml:space="preserve">using measurement-model fusion to combine the broad spatial coverage of a model with accurate in-situ measurements. This work emphasizes the necessity of combining models with observations wherever possible, to better capture regional patterns and to inform policy and decision-making. Future work to improve measurement-model fusion should investigate more advanced MMF methods to avoid the limitations associated with IDW such as surface artifacts and high error in regions with sparse measurements. It </w:t>
      </w:r>
      <w:r w:rsidR="00743650" w:rsidRPr="008E4EFB">
        <w:rPr>
          <w:rStyle w:val="IOPTitleChar"/>
          <w:rFonts w:ascii="Times New Roman" w:hAnsi="Times New Roman"/>
          <w:b w:val="0"/>
          <w:sz w:val="24"/>
          <w:szCs w:val="24"/>
        </w:rPr>
        <w:t>should</w:t>
      </w:r>
      <w:r w:rsidR="002C1969" w:rsidRPr="008E4EFB">
        <w:rPr>
          <w:rStyle w:val="IOPTitleChar"/>
          <w:rFonts w:ascii="Times New Roman" w:hAnsi="Times New Roman"/>
          <w:b w:val="0"/>
          <w:sz w:val="24"/>
          <w:szCs w:val="24"/>
        </w:rPr>
        <w:t xml:space="preserve"> also incorporate satellite remote sensing derived concentrations to improve model estimates where in-situ measurements are not available</w:t>
      </w:r>
      <w:r w:rsidR="00743650" w:rsidRPr="008E4EFB">
        <w:rPr>
          <w:rStyle w:val="IOPTitleChar"/>
          <w:rFonts w:ascii="Times New Roman" w:hAnsi="Times New Roman"/>
          <w:b w:val="0"/>
          <w:sz w:val="24"/>
          <w:szCs w:val="24"/>
        </w:rPr>
        <w:t>.</w:t>
      </w:r>
    </w:p>
    <w:p w14:paraId="3255A7CA" w14:textId="25B79AF0" w:rsidR="002C1969" w:rsidRPr="008E4EFB" w:rsidRDefault="00743650" w:rsidP="00D555F0">
      <w:pPr>
        <w:spacing w:after="0" w:line="360" w:lineRule="auto"/>
        <w:rPr>
          <w:rFonts w:ascii="Times New Roman" w:eastAsia="Times New Roman" w:hAnsi="Times New Roman" w:cs="Times New Roman"/>
          <w:sz w:val="24"/>
          <w:szCs w:val="24"/>
        </w:rPr>
      </w:pPr>
      <w:r w:rsidRPr="008E4EFB">
        <w:rPr>
          <w:rStyle w:val="IOPTitleChar"/>
          <w:rFonts w:ascii="Times New Roman" w:hAnsi="Times New Roman"/>
          <w:b w:val="0"/>
          <w:sz w:val="24"/>
          <w:szCs w:val="24"/>
        </w:rPr>
        <w:t xml:space="preserve">Second, I evaluate the potential </w:t>
      </w:r>
      <w:r w:rsidR="002C1969" w:rsidRPr="008E4EFB">
        <w:rPr>
          <w:rFonts w:ascii="Times New Roman" w:eastAsia="Times New Roman" w:hAnsi="Times New Roman" w:cs="Times New Roman"/>
          <w:kern w:val="2"/>
          <w:sz w:val="24"/>
          <w:szCs w:val="24"/>
        </w:rPr>
        <w:t xml:space="preserve">ecological impacts of enacting </w:t>
      </w:r>
      <w:r w:rsidRPr="008E4EFB">
        <w:rPr>
          <w:rFonts w:ascii="Times New Roman" w:eastAsia="Times New Roman" w:hAnsi="Times New Roman" w:cs="Times New Roman"/>
          <w:kern w:val="2"/>
          <w:sz w:val="24"/>
          <w:szCs w:val="24"/>
        </w:rPr>
        <w:t>SAI</w:t>
      </w:r>
      <w:r w:rsidR="002C1969" w:rsidRPr="008E4EFB">
        <w:rPr>
          <w:rFonts w:ascii="Times New Roman" w:eastAsia="Times New Roman" w:hAnsi="Times New Roman" w:cs="Times New Roman"/>
          <w:kern w:val="2"/>
          <w:sz w:val="24"/>
          <w:szCs w:val="24"/>
        </w:rPr>
        <w:t xml:space="preserve"> globally</w:t>
      </w:r>
      <w:r w:rsidRPr="008E4EFB">
        <w:rPr>
          <w:rFonts w:ascii="Times New Roman" w:eastAsia="Times New Roman" w:hAnsi="Times New Roman" w:cs="Times New Roman"/>
          <w:kern w:val="2"/>
          <w:sz w:val="24"/>
          <w:szCs w:val="24"/>
        </w:rPr>
        <w:t xml:space="preserve"> </w:t>
      </w:r>
      <w:proofErr w:type="gramStart"/>
      <w:r w:rsidRPr="008E4EFB">
        <w:rPr>
          <w:rFonts w:ascii="Times New Roman" w:eastAsia="Times New Roman" w:hAnsi="Times New Roman" w:cs="Times New Roman"/>
          <w:kern w:val="2"/>
          <w:sz w:val="24"/>
          <w:szCs w:val="24"/>
        </w:rPr>
        <w:t>in the near future</w:t>
      </w:r>
      <w:proofErr w:type="gramEnd"/>
      <w:r w:rsidRPr="008E4EFB">
        <w:rPr>
          <w:rFonts w:ascii="Times New Roman" w:eastAsia="Times New Roman" w:hAnsi="Times New Roman" w:cs="Times New Roman"/>
          <w:kern w:val="2"/>
          <w:sz w:val="24"/>
          <w:szCs w:val="24"/>
        </w:rPr>
        <w:t xml:space="preserve"> by focusing on an </w:t>
      </w:r>
      <w:r w:rsidR="00D409B1" w:rsidRPr="008E4EFB">
        <w:rPr>
          <w:rFonts w:ascii="Times New Roman" w:eastAsia="Times New Roman" w:hAnsi="Times New Roman" w:cs="Times New Roman"/>
          <w:kern w:val="2"/>
          <w:sz w:val="24"/>
          <w:szCs w:val="24"/>
        </w:rPr>
        <w:t>often-overlooked</w:t>
      </w:r>
      <w:r w:rsidRPr="008E4EFB">
        <w:rPr>
          <w:rFonts w:ascii="Times New Roman" w:eastAsia="Times New Roman" w:hAnsi="Times New Roman" w:cs="Times New Roman"/>
          <w:kern w:val="2"/>
          <w:sz w:val="24"/>
          <w:szCs w:val="24"/>
        </w:rPr>
        <w:t xml:space="preserve"> as</w:t>
      </w:r>
      <w:r w:rsidR="00D409B1" w:rsidRPr="008E4EFB">
        <w:rPr>
          <w:rFonts w:ascii="Times New Roman" w:eastAsia="Times New Roman" w:hAnsi="Times New Roman" w:cs="Times New Roman"/>
          <w:kern w:val="2"/>
          <w:sz w:val="24"/>
          <w:szCs w:val="24"/>
        </w:rPr>
        <w:t>pect of SAI – sulfur deposition</w:t>
      </w:r>
      <w:r w:rsidR="002C1969" w:rsidRPr="008E4EFB">
        <w:rPr>
          <w:rFonts w:ascii="Times New Roman" w:eastAsia="Times New Roman" w:hAnsi="Times New Roman" w:cs="Times New Roman"/>
          <w:kern w:val="2"/>
          <w:sz w:val="24"/>
          <w:szCs w:val="24"/>
        </w:rPr>
        <w:t xml:space="preserve">. </w:t>
      </w:r>
      <w:r w:rsidR="00D409B1" w:rsidRPr="008E4EFB">
        <w:rPr>
          <w:rFonts w:ascii="Times New Roman" w:eastAsia="Times New Roman" w:hAnsi="Times New Roman" w:cs="Times New Roman"/>
          <w:kern w:val="2"/>
          <w:sz w:val="24"/>
          <w:szCs w:val="24"/>
        </w:rPr>
        <w:t>My</w:t>
      </w:r>
      <w:r w:rsidR="002C1969" w:rsidRPr="008E4EFB">
        <w:rPr>
          <w:rFonts w:ascii="Times New Roman" w:eastAsia="Times New Roman" w:hAnsi="Times New Roman" w:cs="Times New Roman"/>
          <w:kern w:val="2"/>
          <w:sz w:val="24"/>
          <w:szCs w:val="24"/>
        </w:rPr>
        <w:t xml:space="preserve"> work </w:t>
      </w:r>
      <w:r w:rsidR="00D409B1" w:rsidRPr="008E4EFB">
        <w:rPr>
          <w:rFonts w:ascii="Times New Roman" w:eastAsia="Times New Roman" w:hAnsi="Times New Roman" w:cs="Times New Roman"/>
          <w:kern w:val="2"/>
          <w:sz w:val="24"/>
          <w:szCs w:val="24"/>
        </w:rPr>
        <w:t>compares</w:t>
      </w:r>
      <w:r w:rsidR="002C1969" w:rsidRPr="008E4EFB">
        <w:rPr>
          <w:rFonts w:ascii="Times New Roman" w:eastAsia="Times New Roman" w:hAnsi="Times New Roman" w:cs="Times New Roman"/>
          <w:kern w:val="2"/>
          <w:sz w:val="24"/>
          <w:szCs w:val="24"/>
        </w:rPr>
        <w:t xml:space="preserve"> sulfur deposition under G6sulfur with SSP2-4.5 and SSP5-8.5 scenarios</w:t>
      </w:r>
      <w:r w:rsidR="00D409B1" w:rsidRPr="008E4EFB">
        <w:rPr>
          <w:rFonts w:ascii="Times New Roman" w:eastAsia="Times New Roman" w:hAnsi="Times New Roman" w:cs="Times New Roman"/>
          <w:kern w:val="2"/>
          <w:sz w:val="24"/>
          <w:szCs w:val="24"/>
        </w:rPr>
        <w:t>. T</w:t>
      </w:r>
      <w:r w:rsidR="002C1969" w:rsidRPr="008E4EFB">
        <w:rPr>
          <w:rFonts w:ascii="Times New Roman" w:eastAsia="Times New Roman" w:hAnsi="Times New Roman" w:cs="Times New Roman"/>
          <w:kern w:val="2"/>
          <w:sz w:val="24"/>
          <w:szCs w:val="24"/>
        </w:rPr>
        <w:t>here are large discrepancies across models and injection strategies and as such it is challenging to compare projections by creating ensembles, as is the usual method for multidimensional climate variables. Much more work is needed in this area to incorporate nitrogen-sulfur interactions and bidirectional flux into the ESMs as well as ensuring land and fire models accurately capture sulfur dynamics and stratosphere-troposphere interactions.</w:t>
      </w:r>
    </w:p>
    <w:p w14:paraId="49949728" w14:textId="73B0132B" w:rsidR="002C1969" w:rsidRPr="008E4EFB" w:rsidRDefault="00F77A76" w:rsidP="00D555F0">
      <w:pPr>
        <w:pBdr>
          <w:top w:val="nil"/>
          <w:left w:val="nil"/>
          <w:bottom w:val="nil"/>
          <w:right w:val="nil"/>
          <w:between w:val="nil"/>
        </w:pBdr>
        <w:spacing w:after="0" w:line="360" w:lineRule="auto"/>
        <w:rPr>
          <w:rFonts w:ascii="Times New Roman" w:eastAsia="Times New Roman" w:hAnsi="Times New Roman" w:cs="Times New Roman"/>
          <w:sz w:val="24"/>
          <w:szCs w:val="24"/>
        </w:rPr>
      </w:pPr>
      <w:r w:rsidRPr="008E4EFB">
        <w:rPr>
          <w:rFonts w:ascii="Times New Roman" w:eastAsia="Times New Roman" w:hAnsi="Times New Roman" w:cs="Times New Roman"/>
          <w:sz w:val="24"/>
          <w:szCs w:val="24"/>
        </w:rPr>
        <w:t xml:space="preserve">My </w:t>
      </w:r>
      <w:r w:rsidR="0072526E" w:rsidRPr="008E4EFB">
        <w:rPr>
          <w:rFonts w:ascii="Times New Roman" w:eastAsia="Times New Roman" w:hAnsi="Times New Roman" w:cs="Times New Roman"/>
          <w:sz w:val="24"/>
          <w:szCs w:val="24"/>
        </w:rPr>
        <w:t>fourth</w:t>
      </w:r>
      <w:r w:rsidRPr="008E4EFB">
        <w:rPr>
          <w:rFonts w:ascii="Times New Roman" w:eastAsia="Times New Roman" w:hAnsi="Times New Roman" w:cs="Times New Roman"/>
          <w:sz w:val="24"/>
          <w:szCs w:val="24"/>
        </w:rPr>
        <w:t xml:space="preserve"> study </w:t>
      </w:r>
      <w:r w:rsidR="002C1969" w:rsidRPr="008E4EFB">
        <w:rPr>
          <w:rFonts w:ascii="Times New Roman" w:eastAsia="Times New Roman" w:hAnsi="Times New Roman" w:cs="Times New Roman"/>
          <w:sz w:val="24"/>
          <w:szCs w:val="24"/>
        </w:rPr>
        <w:t>investigate</w:t>
      </w:r>
      <w:r w:rsidR="00726E9D" w:rsidRPr="008E4EFB">
        <w:rPr>
          <w:rFonts w:ascii="Times New Roman" w:eastAsia="Times New Roman" w:hAnsi="Times New Roman" w:cs="Times New Roman"/>
          <w:sz w:val="24"/>
          <w:szCs w:val="24"/>
        </w:rPr>
        <w:t xml:space="preserve">s the </w:t>
      </w:r>
      <w:r w:rsidR="002C1969" w:rsidRPr="008E4EFB">
        <w:rPr>
          <w:rFonts w:ascii="Times New Roman" w:eastAsia="Times New Roman" w:hAnsi="Times New Roman" w:cs="Times New Roman"/>
          <w:sz w:val="24"/>
          <w:szCs w:val="24"/>
        </w:rPr>
        <w:t xml:space="preserve">trend </w:t>
      </w:r>
      <w:r w:rsidRPr="008E4EFB">
        <w:rPr>
          <w:rFonts w:ascii="Times New Roman" w:eastAsia="Times New Roman" w:hAnsi="Times New Roman" w:cs="Times New Roman"/>
          <w:sz w:val="24"/>
          <w:szCs w:val="24"/>
        </w:rPr>
        <w:t xml:space="preserve">of increasing heat wave </w:t>
      </w:r>
      <w:r w:rsidR="00726E9D" w:rsidRPr="008E4EFB">
        <w:rPr>
          <w:rFonts w:ascii="Times New Roman" w:eastAsia="Times New Roman" w:hAnsi="Times New Roman" w:cs="Times New Roman"/>
          <w:sz w:val="24"/>
          <w:szCs w:val="24"/>
        </w:rPr>
        <w:t>frequency, intensity, and duration</w:t>
      </w:r>
      <w:r w:rsidRPr="008E4EFB">
        <w:rPr>
          <w:rFonts w:ascii="Times New Roman" w:eastAsia="Times New Roman" w:hAnsi="Times New Roman" w:cs="Times New Roman"/>
          <w:sz w:val="24"/>
          <w:szCs w:val="24"/>
        </w:rPr>
        <w:t xml:space="preserve"> </w:t>
      </w:r>
      <w:r w:rsidR="002C1969" w:rsidRPr="008E4EFB">
        <w:rPr>
          <w:rFonts w:ascii="Times New Roman" w:eastAsia="Times New Roman" w:hAnsi="Times New Roman" w:cs="Times New Roman"/>
          <w:sz w:val="24"/>
          <w:szCs w:val="24"/>
        </w:rPr>
        <w:t>on a regional scale using new fine-resolution climate data ensembles and compare</w:t>
      </w:r>
      <w:r w:rsidR="00726E9D" w:rsidRPr="008E4EFB">
        <w:rPr>
          <w:rFonts w:ascii="Times New Roman" w:eastAsia="Times New Roman" w:hAnsi="Times New Roman" w:cs="Times New Roman"/>
          <w:sz w:val="24"/>
          <w:szCs w:val="24"/>
        </w:rPr>
        <w:t>s</w:t>
      </w:r>
      <w:r w:rsidR="002C1969" w:rsidRPr="008E4EFB">
        <w:rPr>
          <w:rFonts w:ascii="Times New Roman" w:eastAsia="Times New Roman" w:hAnsi="Times New Roman" w:cs="Times New Roman"/>
          <w:sz w:val="24"/>
          <w:szCs w:val="24"/>
        </w:rPr>
        <w:t xml:space="preserve"> two downscaling approaches to other commonly used meteorology products. </w:t>
      </w:r>
      <w:r w:rsidR="00E905E3" w:rsidRPr="008E4EFB">
        <w:rPr>
          <w:rFonts w:ascii="Times New Roman" w:eastAsia="Times New Roman" w:hAnsi="Times New Roman" w:cs="Times New Roman"/>
          <w:sz w:val="24"/>
          <w:szCs w:val="24"/>
        </w:rPr>
        <w:t>I systematically</w:t>
      </w:r>
      <w:r w:rsidR="002C1969" w:rsidRPr="008E4EFB">
        <w:rPr>
          <w:rFonts w:ascii="Times New Roman" w:eastAsia="Times New Roman" w:hAnsi="Times New Roman" w:cs="Times New Roman"/>
          <w:sz w:val="24"/>
          <w:szCs w:val="24"/>
        </w:rPr>
        <w:t xml:space="preserve"> compare the model estimates </w:t>
      </w:r>
      <w:r w:rsidR="00E905E3" w:rsidRPr="008E4EFB">
        <w:rPr>
          <w:rFonts w:ascii="Times New Roman" w:eastAsia="Times New Roman" w:hAnsi="Times New Roman" w:cs="Times New Roman"/>
          <w:sz w:val="24"/>
          <w:szCs w:val="24"/>
        </w:rPr>
        <w:t>from two separate ensembles of dynamically and statistically downscaled models with</w:t>
      </w:r>
      <w:r w:rsidR="002C1969" w:rsidRPr="008E4EFB">
        <w:rPr>
          <w:rFonts w:ascii="Times New Roman" w:eastAsia="Times New Roman" w:hAnsi="Times New Roman" w:cs="Times New Roman"/>
          <w:sz w:val="24"/>
          <w:szCs w:val="24"/>
        </w:rPr>
        <w:t xml:space="preserve"> meteorological observations and assess the sensitivity of a heat wave index to four percentile thresholds and three reference timeframes. </w:t>
      </w:r>
      <w:r w:rsidR="002C1969" w:rsidRPr="008E4EFB">
        <w:rPr>
          <w:rFonts w:ascii="Times New Roman" w:hAnsi="Times New Roman" w:cs="Times New Roman"/>
          <w:sz w:val="24"/>
          <w:szCs w:val="24"/>
        </w:rPr>
        <w:t>My work shows that the downscaling method, heat wave index, and temporal and spatial scale directly influence model estimates, although h</w:t>
      </w:r>
      <w:r w:rsidR="002C1969" w:rsidRPr="008E4EFB">
        <w:rPr>
          <w:rFonts w:ascii="Times New Roman" w:eastAsia="Times New Roman" w:hAnsi="Times New Roman" w:cs="Times New Roman"/>
          <w:sz w:val="24"/>
          <w:szCs w:val="24"/>
        </w:rPr>
        <w:t>eat waves are projected to increase in magnitude and duration regardless of the index used for analysis</w:t>
      </w:r>
      <w:r w:rsidR="002C1969" w:rsidRPr="008E4EFB">
        <w:rPr>
          <w:rFonts w:ascii="Times New Roman" w:hAnsi="Times New Roman" w:cs="Times New Roman"/>
          <w:sz w:val="24"/>
          <w:szCs w:val="24"/>
        </w:rPr>
        <w:t xml:space="preserve">. </w:t>
      </w:r>
      <w:r w:rsidR="00E905E3" w:rsidRPr="008E4EFB">
        <w:rPr>
          <w:rFonts w:ascii="Times New Roman" w:eastAsia="Times New Roman" w:hAnsi="Times New Roman" w:cs="Times New Roman"/>
          <w:sz w:val="24"/>
          <w:szCs w:val="24"/>
        </w:rPr>
        <w:t>This</w:t>
      </w:r>
      <w:r w:rsidR="002C1969" w:rsidRPr="008E4EFB">
        <w:rPr>
          <w:rFonts w:ascii="Times New Roman" w:eastAsia="Times New Roman" w:hAnsi="Times New Roman" w:cs="Times New Roman"/>
          <w:sz w:val="24"/>
          <w:szCs w:val="24"/>
        </w:rPr>
        <w:t xml:space="preserve"> demonstrate</w:t>
      </w:r>
      <w:r w:rsidR="00E905E3" w:rsidRPr="008E4EFB">
        <w:rPr>
          <w:rFonts w:ascii="Times New Roman" w:eastAsia="Times New Roman" w:hAnsi="Times New Roman" w:cs="Times New Roman"/>
          <w:sz w:val="24"/>
          <w:szCs w:val="24"/>
        </w:rPr>
        <w:t xml:space="preserve">s </w:t>
      </w:r>
      <w:r w:rsidR="002C1969" w:rsidRPr="008E4EFB">
        <w:rPr>
          <w:rFonts w:ascii="Times New Roman" w:eastAsia="Times New Roman" w:hAnsi="Times New Roman" w:cs="Times New Roman"/>
          <w:sz w:val="24"/>
          <w:szCs w:val="24"/>
        </w:rPr>
        <w:t xml:space="preserve">the importance of </w:t>
      </w:r>
      <w:proofErr w:type="gramStart"/>
      <w:r w:rsidR="002C1969" w:rsidRPr="008E4EFB">
        <w:rPr>
          <w:rFonts w:ascii="Times New Roman" w:eastAsia="Times New Roman" w:hAnsi="Times New Roman" w:cs="Times New Roman"/>
          <w:sz w:val="24"/>
          <w:szCs w:val="24"/>
        </w:rPr>
        <w:t>dynamical</w:t>
      </w:r>
      <w:proofErr w:type="gramEnd"/>
      <w:r w:rsidR="002C1969" w:rsidRPr="008E4EFB">
        <w:rPr>
          <w:rFonts w:ascii="Times New Roman" w:eastAsia="Times New Roman" w:hAnsi="Times New Roman" w:cs="Times New Roman"/>
          <w:sz w:val="24"/>
          <w:szCs w:val="24"/>
        </w:rPr>
        <w:t xml:space="preserve"> downscaling a fine spatial scale for regional insights into processes occurring on an intra-annual basis</w:t>
      </w:r>
      <w:r w:rsidR="00E905E3" w:rsidRPr="008E4EFB">
        <w:rPr>
          <w:rFonts w:ascii="Times New Roman" w:hAnsi="Times New Roman" w:cs="Times New Roman"/>
          <w:sz w:val="24"/>
          <w:szCs w:val="24"/>
        </w:rPr>
        <w:t xml:space="preserve"> and</w:t>
      </w:r>
      <w:r w:rsidR="002C1969" w:rsidRPr="008E4EFB">
        <w:rPr>
          <w:rFonts w:ascii="Times New Roman" w:hAnsi="Times New Roman" w:cs="Times New Roman"/>
          <w:sz w:val="24"/>
          <w:szCs w:val="24"/>
        </w:rPr>
        <w:t xml:space="preserve"> emphasize</w:t>
      </w:r>
      <w:r w:rsidR="00E905E3" w:rsidRPr="008E4EFB">
        <w:rPr>
          <w:rFonts w:ascii="Times New Roman" w:hAnsi="Times New Roman" w:cs="Times New Roman"/>
          <w:sz w:val="24"/>
          <w:szCs w:val="24"/>
        </w:rPr>
        <w:t>s</w:t>
      </w:r>
      <w:r w:rsidR="002C1969" w:rsidRPr="008E4EFB">
        <w:rPr>
          <w:rFonts w:ascii="Times New Roman" w:hAnsi="Times New Roman" w:cs="Times New Roman"/>
          <w:sz w:val="24"/>
          <w:szCs w:val="24"/>
        </w:rPr>
        <w:t xml:space="preserve"> the need for urgent preparations for a hotter future climate</w:t>
      </w:r>
      <w:r w:rsidR="00E905E3" w:rsidRPr="008E4EFB">
        <w:rPr>
          <w:rFonts w:ascii="Times New Roman" w:hAnsi="Times New Roman" w:cs="Times New Roman"/>
          <w:sz w:val="24"/>
          <w:szCs w:val="24"/>
        </w:rPr>
        <w:t>.</w:t>
      </w:r>
    </w:p>
    <w:p w14:paraId="5B8D004F" w14:textId="77E81655" w:rsidR="002C1969" w:rsidRPr="008E4EFB" w:rsidRDefault="00E905E3" w:rsidP="00D555F0">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lastRenderedPageBreak/>
        <w:t xml:space="preserve">And the </w:t>
      </w:r>
      <w:r w:rsidR="0072526E" w:rsidRPr="008E4EFB">
        <w:rPr>
          <w:rFonts w:ascii="Times New Roman" w:hAnsi="Times New Roman" w:cs="Times New Roman"/>
          <w:sz w:val="24"/>
          <w:szCs w:val="24"/>
        </w:rPr>
        <w:t>fifth</w:t>
      </w:r>
      <w:r w:rsidRPr="008E4EFB">
        <w:rPr>
          <w:rFonts w:ascii="Times New Roman" w:hAnsi="Times New Roman" w:cs="Times New Roman"/>
          <w:sz w:val="24"/>
          <w:szCs w:val="24"/>
        </w:rPr>
        <w:t xml:space="preserve"> study is fundamentally about mitigating climate change</w:t>
      </w:r>
      <w:r w:rsidR="00DA13D7" w:rsidRPr="008E4EFB">
        <w:rPr>
          <w:rFonts w:ascii="Times New Roman" w:hAnsi="Times New Roman" w:cs="Times New Roman"/>
          <w:sz w:val="24"/>
          <w:szCs w:val="24"/>
        </w:rPr>
        <w:t xml:space="preserve"> through industrial decarbonization. Many efforts in the direction have begun, but without baseline maps of SOC, it is hard to accurately assess </w:t>
      </w:r>
      <w:r w:rsidR="002C3F45" w:rsidRPr="008E4EFB">
        <w:rPr>
          <w:rFonts w:ascii="Times New Roman" w:hAnsi="Times New Roman" w:cs="Times New Roman"/>
          <w:sz w:val="24"/>
          <w:szCs w:val="24"/>
        </w:rPr>
        <w:t xml:space="preserve">whether targets have been met. I </w:t>
      </w:r>
      <w:r w:rsidR="002C1969" w:rsidRPr="008E4EFB">
        <w:rPr>
          <w:rFonts w:ascii="Times New Roman" w:hAnsi="Times New Roman" w:cs="Times New Roman"/>
          <w:sz w:val="24"/>
          <w:szCs w:val="24"/>
        </w:rPr>
        <w:t>compile</w:t>
      </w:r>
      <w:r w:rsidR="002C3F45" w:rsidRPr="008E4EFB">
        <w:rPr>
          <w:rFonts w:ascii="Times New Roman" w:hAnsi="Times New Roman" w:cs="Times New Roman"/>
          <w:sz w:val="24"/>
          <w:szCs w:val="24"/>
        </w:rPr>
        <w:t>d</w:t>
      </w:r>
      <w:r w:rsidR="002C1969" w:rsidRPr="008E4EFB">
        <w:rPr>
          <w:rFonts w:ascii="Times New Roman" w:hAnsi="Times New Roman" w:cs="Times New Roman"/>
          <w:sz w:val="24"/>
          <w:szCs w:val="24"/>
        </w:rPr>
        <w:t xml:space="preserve"> a georeferenced database of SOC measurements in the CONUS and match</w:t>
      </w:r>
      <w:r w:rsidR="00F23CA5" w:rsidRPr="008E4EFB">
        <w:rPr>
          <w:rFonts w:ascii="Times New Roman" w:hAnsi="Times New Roman" w:cs="Times New Roman"/>
          <w:sz w:val="24"/>
          <w:szCs w:val="24"/>
        </w:rPr>
        <w:t>ed</w:t>
      </w:r>
      <w:r w:rsidR="002C1969" w:rsidRPr="008E4EFB">
        <w:rPr>
          <w:rFonts w:ascii="Times New Roman" w:hAnsi="Times New Roman" w:cs="Times New Roman"/>
          <w:sz w:val="24"/>
          <w:szCs w:val="24"/>
        </w:rPr>
        <w:t xml:space="preserve"> the soil observations with climate, topography, soil moisture, </w:t>
      </w:r>
      <w:r w:rsidR="00F23CA5" w:rsidRPr="008E4EFB">
        <w:rPr>
          <w:rFonts w:ascii="Times New Roman" w:hAnsi="Times New Roman" w:cs="Times New Roman"/>
          <w:sz w:val="24"/>
          <w:szCs w:val="24"/>
        </w:rPr>
        <w:t xml:space="preserve">and </w:t>
      </w:r>
      <w:r w:rsidR="002C1969" w:rsidRPr="008E4EFB">
        <w:rPr>
          <w:rFonts w:ascii="Times New Roman" w:hAnsi="Times New Roman" w:cs="Times New Roman"/>
          <w:sz w:val="24"/>
          <w:szCs w:val="24"/>
        </w:rPr>
        <w:t xml:space="preserve">NDVI based on the date and location of the measurement. </w:t>
      </w:r>
      <w:r w:rsidR="002C3F45" w:rsidRPr="008E4EFB">
        <w:rPr>
          <w:rFonts w:ascii="Times New Roman" w:hAnsi="Times New Roman" w:cs="Times New Roman"/>
          <w:sz w:val="24"/>
          <w:szCs w:val="24"/>
        </w:rPr>
        <w:t>I</w:t>
      </w:r>
      <w:r w:rsidR="002C1969" w:rsidRPr="008E4EFB">
        <w:rPr>
          <w:rFonts w:ascii="Times New Roman" w:hAnsi="Times New Roman" w:cs="Times New Roman"/>
          <w:sz w:val="24"/>
          <w:szCs w:val="24"/>
        </w:rPr>
        <w:t xml:space="preserve"> then use</w:t>
      </w:r>
      <w:r w:rsidR="002C3F45" w:rsidRPr="008E4EFB">
        <w:rPr>
          <w:rFonts w:ascii="Times New Roman" w:hAnsi="Times New Roman" w:cs="Times New Roman"/>
          <w:sz w:val="24"/>
          <w:szCs w:val="24"/>
        </w:rPr>
        <w:t>d</w:t>
      </w:r>
      <w:r w:rsidR="002C1969" w:rsidRPr="008E4EFB">
        <w:rPr>
          <w:rFonts w:ascii="Times New Roman" w:hAnsi="Times New Roman" w:cs="Times New Roman"/>
          <w:sz w:val="24"/>
          <w:szCs w:val="24"/>
        </w:rPr>
        <w:t xml:space="preserve"> this database to compare 7 machine learning models and a linear regression in terms of how well they can interpolate SOC stocks in the top 30 cm of soil across the region. </w:t>
      </w:r>
      <w:r w:rsidR="002C3F45" w:rsidRPr="008E4EFB">
        <w:rPr>
          <w:rFonts w:ascii="Times New Roman" w:hAnsi="Times New Roman" w:cs="Times New Roman"/>
          <w:sz w:val="24"/>
          <w:szCs w:val="24"/>
        </w:rPr>
        <w:t>I</w:t>
      </w:r>
      <w:r w:rsidR="002C1969" w:rsidRPr="008E4EFB">
        <w:rPr>
          <w:rFonts w:ascii="Times New Roman" w:hAnsi="Times New Roman" w:cs="Times New Roman"/>
          <w:sz w:val="24"/>
          <w:szCs w:val="24"/>
        </w:rPr>
        <w:t xml:space="preserve"> generate</w:t>
      </w:r>
      <w:r w:rsidR="002C3F45" w:rsidRPr="008E4EFB">
        <w:rPr>
          <w:rFonts w:ascii="Times New Roman" w:hAnsi="Times New Roman" w:cs="Times New Roman"/>
          <w:sz w:val="24"/>
          <w:szCs w:val="24"/>
        </w:rPr>
        <w:t>d</w:t>
      </w:r>
      <w:r w:rsidR="002C1969" w:rsidRPr="008E4EFB">
        <w:rPr>
          <w:rFonts w:ascii="Times New Roman" w:hAnsi="Times New Roman" w:cs="Times New Roman"/>
          <w:sz w:val="24"/>
          <w:szCs w:val="24"/>
        </w:rPr>
        <w:t xml:space="preserve"> spatially and temporally continuous maps of SOC using the best performing model – the Random Forest – and evaluate</w:t>
      </w:r>
      <w:r w:rsidR="002C3F45" w:rsidRPr="008E4EFB">
        <w:rPr>
          <w:rFonts w:ascii="Times New Roman" w:hAnsi="Times New Roman" w:cs="Times New Roman"/>
          <w:sz w:val="24"/>
          <w:szCs w:val="24"/>
        </w:rPr>
        <w:t>d</w:t>
      </w:r>
      <w:r w:rsidR="002C1969" w:rsidRPr="008E4EFB">
        <w:rPr>
          <w:rFonts w:ascii="Times New Roman" w:hAnsi="Times New Roman" w:cs="Times New Roman"/>
          <w:sz w:val="24"/>
          <w:szCs w:val="24"/>
        </w:rPr>
        <w:t xml:space="preserve"> land use and climate impacts on SOC. </w:t>
      </w:r>
      <w:r w:rsidR="002C3F45" w:rsidRPr="008E4EFB">
        <w:rPr>
          <w:rFonts w:ascii="Times New Roman" w:hAnsi="Times New Roman" w:cs="Times New Roman"/>
          <w:sz w:val="24"/>
          <w:szCs w:val="24"/>
        </w:rPr>
        <w:t>My work</w:t>
      </w:r>
      <w:r w:rsidR="002C1969" w:rsidRPr="008E4EFB">
        <w:rPr>
          <w:rFonts w:ascii="Times New Roman" w:hAnsi="Times New Roman" w:cs="Times New Roman"/>
          <w:sz w:val="24"/>
          <w:szCs w:val="24"/>
        </w:rPr>
        <w:t xml:space="preserve"> demonstrate</w:t>
      </w:r>
      <w:r w:rsidR="002C3F45" w:rsidRPr="008E4EFB">
        <w:rPr>
          <w:rFonts w:ascii="Times New Roman" w:hAnsi="Times New Roman" w:cs="Times New Roman"/>
          <w:sz w:val="24"/>
          <w:szCs w:val="24"/>
        </w:rPr>
        <w:t>s</w:t>
      </w:r>
      <w:r w:rsidR="002C1969" w:rsidRPr="008E4EFB">
        <w:rPr>
          <w:rFonts w:ascii="Times New Roman" w:hAnsi="Times New Roman" w:cs="Times New Roman"/>
          <w:sz w:val="24"/>
          <w:szCs w:val="24"/>
        </w:rPr>
        <w:t xml:space="preserve"> that the factors that influence SOC do so on long time scales and the lack of interannual variation is in fact a desirable property for carbon capture and carbon sequestration on a landscape scale. These maps and analysis have great potential to be a resource for further studies on soil biogeochemistry and the role of anthropogenic disturbance and land use changes. </w:t>
      </w:r>
    </w:p>
    <w:p w14:paraId="5ECC37FE" w14:textId="77777777" w:rsidR="002C1969" w:rsidRPr="008E4EFB" w:rsidRDefault="002C1969" w:rsidP="00ED686E">
      <w:pPr>
        <w:spacing w:line="240" w:lineRule="auto"/>
        <w:rPr>
          <w:rFonts w:ascii="Times New Roman" w:hAnsi="Times New Roman" w:cs="Times New Roman"/>
          <w:sz w:val="24"/>
          <w:szCs w:val="24"/>
        </w:rPr>
      </w:pPr>
    </w:p>
    <w:p w14:paraId="2B3E617F" w14:textId="77777777" w:rsidR="00DD6148" w:rsidRPr="008E4EFB" w:rsidRDefault="00DD6148" w:rsidP="00ED686E">
      <w:pPr>
        <w:spacing w:line="240" w:lineRule="auto"/>
        <w:rPr>
          <w:rFonts w:ascii="Times New Roman" w:eastAsiaTheme="majorEastAsia" w:hAnsi="Times New Roman" w:cs="Times New Roman"/>
          <w:sz w:val="24"/>
          <w:szCs w:val="24"/>
        </w:rPr>
      </w:pPr>
      <w:r w:rsidRPr="008E4EFB">
        <w:rPr>
          <w:rFonts w:ascii="Times New Roman" w:hAnsi="Times New Roman" w:cs="Times New Roman"/>
          <w:sz w:val="24"/>
          <w:szCs w:val="24"/>
        </w:rPr>
        <w:br w:type="page"/>
      </w:r>
    </w:p>
    <w:p w14:paraId="03EC26BA" w14:textId="511845E6" w:rsidR="00590FC1" w:rsidRPr="00C12D8F" w:rsidRDefault="00590FC1" w:rsidP="00C12D8F">
      <w:pPr>
        <w:pStyle w:val="Style1"/>
        <w:numPr>
          <w:ilvl w:val="0"/>
          <w:numId w:val="0"/>
        </w:numPr>
        <w:spacing w:before="0" w:line="360" w:lineRule="auto"/>
        <w:rPr>
          <w:color w:val="auto"/>
          <w:sz w:val="24"/>
          <w:szCs w:val="24"/>
        </w:rPr>
      </w:pPr>
      <w:bookmarkStart w:id="114" w:name="_Toc179918003"/>
      <w:r w:rsidRPr="00C12D8F">
        <w:rPr>
          <w:color w:val="auto"/>
          <w:sz w:val="24"/>
          <w:szCs w:val="24"/>
        </w:rPr>
        <w:lastRenderedPageBreak/>
        <w:t>References</w:t>
      </w:r>
      <w:bookmarkEnd w:id="114"/>
    </w:p>
    <w:p w14:paraId="74F8E9D2" w14:textId="77777777" w:rsidR="0004467C" w:rsidRPr="00C12D8F" w:rsidRDefault="00590FC1"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fldChar w:fldCharType="begin"/>
      </w:r>
      <w:r w:rsidR="0004467C" w:rsidRPr="00C12D8F">
        <w:rPr>
          <w:rFonts w:ascii="Times New Roman" w:hAnsi="Times New Roman" w:cs="Times New Roman"/>
          <w:sz w:val="24"/>
          <w:szCs w:val="24"/>
        </w:rPr>
        <w:instrText xml:space="preserve"> ADDIN ZOTERO_BIBL {"uncited":[],"omitted":[],"custom":[]} CSL_BIBLIOGRAPHY </w:instrText>
      </w:r>
      <w:r w:rsidRPr="00C12D8F">
        <w:rPr>
          <w:rFonts w:ascii="Times New Roman" w:hAnsi="Times New Roman" w:cs="Times New Roman"/>
          <w:sz w:val="24"/>
          <w:szCs w:val="24"/>
        </w:rPr>
        <w:fldChar w:fldCharType="separate"/>
      </w:r>
      <w:r w:rsidR="0004467C" w:rsidRPr="00C12D8F">
        <w:rPr>
          <w:rFonts w:ascii="Times New Roman" w:hAnsi="Times New Roman" w:cs="Times New Roman"/>
          <w:sz w:val="24"/>
          <w:szCs w:val="24"/>
        </w:rPr>
        <w:t xml:space="preserve">Aas, W., Mortier, A., Bowersox, V., Cherian, R., Faluvegi, G., Fagerli, H., et al. (2019). Global and regional trends of atmospheric sulfur. </w:t>
      </w:r>
      <w:r w:rsidR="0004467C" w:rsidRPr="00C12D8F">
        <w:rPr>
          <w:rFonts w:ascii="Times New Roman" w:hAnsi="Times New Roman" w:cs="Times New Roman"/>
          <w:i/>
          <w:iCs/>
          <w:sz w:val="24"/>
          <w:szCs w:val="24"/>
        </w:rPr>
        <w:t>Scientific Reports</w:t>
      </w:r>
      <w:r w:rsidR="0004467C" w:rsidRPr="00C12D8F">
        <w:rPr>
          <w:rFonts w:ascii="Times New Roman" w:hAnsi="Times New Roman" w:cs="Times New Roman"/>
          <w:sz w:val="24"/>
          <w:szCs w:val="24"/>
        </w:rPr>
        <w:t xml:space="preserve">, </w:t>
      </w:r>
      <w:r w:rsidR="0004467C" w:rsidRPr="00C12D8F">
        <w:rPr>
          <w:rFonts w:ascii="Times New Roman" w:hAnsi="Times New Roman" w:cs="Times New Roman"/>
          <w:i/>
          <w:iCs/>
          <w:sz w:val="24"/>
          <w:szCs w:val="24"/>
        </w:rPr>
        <w:t>9</w:t>
      </w:r>
      <w:r w:rsidR="0004467C" w:rsidRPr="00C12D8F">
        <w:rPr>
          <w:rFonts w:ascii="Times New Roman" w:hAnsi="Times New Roman" w:cs="Times New Roman"/>
          <w:sz w:val="24"/>
          <w:szCs w:val="24"/>
        </w:rPr>
        <w:t>(1), 953. https://doi.org/10.1038/s41598-018-37304-0</w:t>
      </w:r>
    </w:p>
    <w:p w14:paraId="0C2F133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Abram, N. J., McGregor, H. V., Tierney, J. E., Evans, M. N., McKay, N. P., &amp; Kaufman, D. S. (2016). Early onset of </w:t>
      </w:r>
      <w:proofErr w:type="gramStart"/>
      <w:r w:rsidRPr="00C12D8F">
        <w:rPr>
          <w:rFonts w:ascii="Times New Roman" w:hAnsi="Times New Roman" w:cs="Times New Roman"/>
          <w:sz w:val="24"/>
          <w:szCs w:val="24"/>
        </w:rPr>
        <w:t>industrial-era</w:t>
      </w:r>
      <w:proofErr w:type="gramEnd"/>
      <w:r w:rsidRPr="00C12D8F">
        <w:rPr>
          <w:rFonts w:ascii="Times New Roman" w:hAnsi="Times New Roman" w:cs="Times New Roman"/>
          <w:sz w:val="24"/>
          <w:szCs w:val="24"/>
        </w:rPr>
        <w:t xml:space="preserve"> warming across the oceans and continents. </w:t>
      </w:r>
      <w:r w:rsidRPr="00C12D8F">
        <w:rPr>
          <w:rFonts w:ascii="Times New Roman" w:hAnsi="Times New Roman" w:cs="Times New Roman"/>
          <w:i/>
          <w:iCs/>
          <w:sz w:val="24"/>
          <w:szCs w:val="24"/>
        </w:rPr>
        <w:t>Nature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536</w:t>
      </w:r>
      <w:r w:rsidRPr="00C12D8F">
        <w:rPr>
          <w:rFonts w:ascii="Times New Roman" w:hAnsi="Times New Roman" w:cs="Times New Roman"/>
          <w:sz w:val="24"/>
          <w:szCs w:val="24"/>
        </w:rPr>
        <w:t>(7617), 411–418. https://doi.org/10.1038/nature19082</w:t>
      </w:r>
    </w:p>
    <w:p w14:paraId="05016E5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Adhikari, K., Mishra, U., Owens, P. R., Libohova, Z., Wills, S. A., Riley, W. J., et al. (2020). Importance and strength of environmental controllers of soil organic carbon changes with scale. </w:t>
      </w:r>
      <w:r w:rsidRPr="00C12D8F">
        <w:rPr>
          <w:rFonts w:ascii="Times New Roman" w:hAnsi="Times New Roman" w:cs="Times New Roman"/>
          <w:i/>
          <w:iCs/>
          <w:sz w:val="24"/>
          <w:szCs w:val="24"/>
        </w:rPr>
        <w:t>Geoderma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375</w:t>
      </w:r>
      <w:r w:rsidRPr="00C12D8F">
        <w:rPr>
          <w:rFonts w:ascii="Times New Roman" w:hAnsi="Times New Roman" w:cs="Times New Roman"/>
          <w:sz w:val="24"/>
          <w:szCs w:val="24"/>
        </w:rPr>
        <w:t>, 114472. https://doi.org/10.1016/j.geoderma.2020.114472</w:t>
      </w:r>
    </w:p>
    <w:p w14:paraId="22F1CF8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Adon, M., Galy-Lacaux, C., Yoboué, V., Delon, C., Lacaux, J. P., Castera, P., et al. (2010). Long term measurements of sulfur dioxide, nitrogen dioxide, ammonia, nitric acid and ozone in Africa using passive samplers.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w:t>
      </w:r>
      <w:r w:rsidRPr="00C12D8F">
        <w:rPr>
          <w:rFonts w:ascii="Times New Roman" w:hAnsi="Times New Roman" w:cs="Times New Roman"/>
          <w:sz w:val="24"/>
          <w:szCs w:val="24"/>
        </w:rPr>
        <w:t>(15), 7467–7487. https://doi.org/10.5194/acp-10-7467-2010</w:t>
      </w:r>
    </w:p>
    <w:p w14:paraId="31B3271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An, </w:t>
      </w:r>
      <w:proofErr w:type="gramStart"/>
      <w:r w:rsidRPr="00C12D8F">
        <w:rPr>
          <w:rFonts w:ascii="Times New Roman" w:hAnsi="Times New Roman" w:cs="Times New Roman"/>
          <w:sz w:val="24"/>
          <w:szCs w:val="24"/>
        </w:rPr>
        <w:t>Z.,</w:t>
      </w:r>
      <w:proofErr w:type="gramEnd"/>
      <w:r w:rsidRPr="00C12D8F">
        <w:rPr>
          <w:rFonts w:ascii="Times New Roman" w:hAnsi="Times New Roman" w:cs="Times New Roman"/>
          <w:sz w:val="24"/>
          <w:szCs w:val="24"/>
        </w:rPr>
        <w:t xml:space="preserve"> Bernard, G. M., Ma, Z., Plante, A. F., Michaelis, V. K., Bork, E. W., et al. (2021). Forest land-use increases soil organic carbon quality but not its structural or thermal stability in a hedgerow system. </w:t>
      </w:r>
      <w:r w:rsidRPr="00C12D8F">
        <w:rPr>
          <w:rFonts w:ascii="Times New Roman" w:hAnsi="Times New Roman" w:cs="Times New Roman"/>
          <w:i/>
          <w:iCs/>
          <w:sz w:val="24"/>
          <w:szCs w:val="24"/>
        </w:rPr>
        <w:t>Agriculture, Ecosystems &amp;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321</w:t>
      </w:r>
      <w:r w:rsidRPr="00C12D8F">
        <w:rPr>
          <w:rFonts w:ascii="Times New Roman" w:hAnsi="Times New Roman" w:cs="Times New Roman"/>
          <w:sz w:val="24"/>
          <w:szCs w:val="24"/>
        </w:rPr>
        <w:t>, 107617. https://doi.org/10.1016/j.agee.2021.107617</w:t>
      </w:r>
    </w:p>
    <w:p w14:paraId="40EE736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Anderson, D. M., Burkholder, J. M., Cochlan, W. P., Glibert, P. M., Gobler, C. J., Heil, C. A., et al. (2008). Harmful algal blooms and eutrophication: Examining linkages from selected coastal regions of the United States. </w:t>
      </w:r>
      <w:r w:rsidRPr="00C12D8F">
        <w:rPr>
          <w:rFonts w:ascii="Times New Roman" w:hAnsi="Times New Roman" w:cs="Times New Roman"/>
          <w:i/>
          <w:iCs/>
          <w:sz w:val="24"/>
          <w:szCs w:val="24"/>
        </w:rPr>
        <w:t>Harmful Algae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w:t>
      </w:r>
      <w:r w:rsidRPr="00C12D8F">
        <w:rPr>
          <w:rFonts w:ascii="Times New Roman" w:hAnsi="Times New Roman" w:cs="Times New Roman"/>
          <w:sz w:val="24"/>
          <w:szCs w:val="24"/>
        </w:rPr>
        <w:t>(1), 39–53. https://doi.org/10.1016/j.hal.2008.08.017</w:t>
      </w:r>
    </w:p>
    <w:p w14:paraId="16CEAB3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Angelopoulou, T., Tziolas, N., Balafoutis, A., Zalidis, G., &amp; Bochtis, D. (2019). Remote Sensing Techniques for Soil Organic Carbon Estimation: A Review. </w:t>
      </w:r>
      <w:r w:rsidRPr="00C12D8F">
        <w:rPr>
          <w:rFonts w:ascii="Times New Roman" w:hAnsi="Times New Roman" w:cs="Times New Roman"/>
          <w:i/>
          <w:iCs/>
          <w:sz w:val="24"/>
          <w:szCs w:val="24"/>
        </w:rPr>
        <w:t>Remote Sensing</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w:t>
      </w:r>
      <w:r w:rsidRPr="00C12D8F">
        <w:rPr>
          <w:rFonts w:ascii="Times New Roman" w:hAnsi="Times New Roman" w:cs="Times New Roman"/>
          <w:sz w:val="24"/>
          <w:szCs w:val="24"/>
        </w:rPr>
        <w:t>(6), 676. https://doi.org/10.3390/rs11060676</w:t>
      </w:r>
    </w:p>
    <w:p w14:paraId="118AFA3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Arbuthnott, K. G., &amp; Hajat, S. (2017). The health effects of hotter summers and heat waves in the population of the United Kingdom: a review of the evidence. </w:t>
      </w:r>
      <w:r w:rsidRPr="00C12D8F">
        <w:rPr>
          <w:rFonts w:ascii="Times New Roman" w:hAnsi="Times New Roman" w:cs="Times New Roman"/>
          <w:i/>
          <w:iCs/>
          <w:sz w:val="24"/>
          <w:szCs w:val="24"/>
        </w:rPr>
        <w:t>Environmental Health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16</w:t>
      </w:r>
      <w:r w:rsidRPr="00C12D8F">
        <w:rPr>
          <w:rFonts w:ascii="Times New Roman" w:hAnsi="Times New Roman" w:cs="Times New Roman"/>
          <w:sz w:val="24"/>
          <w:szCs w:val="24"/>
        </w:rPr>
        <w:t>(1), 119. https://doi.org/10.1186/s12940-017-0322-5</w:t>
      </w:r>
    </w:p>
    <w:p w14:paraId="1BAD709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d’Arge, R. C., Schulze, W. D., &amp; Brookshire, D. S. (1982). Carbon Dioxide and Intergenerational Choice. </w:t>
      </w:r>
      <w:r w:rsidRPr="00C12D8F">
        <w:rPr>
          <w:rFonts w:ascii="Times New Roman" w:hAnsi="Times New Roman" w:cs="Times New Roman"/>
          <w:i/>
          <w:iCs/>
          <w:sz w:val="24"/>
          <w:szCs w:val="24"/>
        </w:rPr>
        <w:t>The American Economic Review</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72</w:t>
      </w:r>
      <w:r w:rsidRPr="00C12D8F">
        <w:rPr>
          <w:rFonts w:ascii="Times New Roman" w:hAnsi="Times New Roman" w:cs="Times New Roman"/>
          <w:sz w:val="24"/>
          <w:szCs w:val="24"/>
        </w:rPr>
        <w:t>(2), 251–256.</w:t>
      </w:r>
    </w:p>
    <w:p w14:paraId="67C5003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Argüeso, D., Di Luca, A., Perkins-Kirkpatrick, S. E., &amp; Evans, J. P. (2016). Seasonal mean temperature changes control future heat waves. </w:t>
      </w:r>
      <w:r w:rsidRPr="00C12D8F">
        <w:rPr>
          <w:rFonts w:ascii="Times New Roman" w:hAnsi="Times New Roman" w:cs="Times New Roman"/>
          <w:i/>
          <w:iCs/>
          <w:sz w:val="24"/>
          <w:szCs w:val="24"/>
        </w:rPr>
        <w:t>Geophysical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43</w:t>
      </w:r>
      <w:r w:rsidRPr="00C12D8F">
        <w:rPr>
          <w:rFonts w:ascii="Times New Roman" w:hAnsi="Times New Roman" w:cs="Times New Roman"/>
          <w:sz w:val="24"/>
          <w:szCs w:val="24"/>
        </w:rPr>
        <w:t>, 7653–7660.</w:t>
      </w:r>
    </w:p>
    <w:p w14:paraId="0BA5E9A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Arnone III, J. A., Verburg, P. S. J., Johnson, D. W., Larsen, J. D., Jasoni, R. L., Lucchesi, A. J., et al. (2008). Prolonged suppression of ecosystem carbon dioxide uptake after an anomalously warm year. </w:t>
      </w:r>
      <w:r w:rsidRPr="00C12D8F">
        <w:rPr>
          <w:rFonts w:ascii="Times New Roman" w:hAnsi="Times New Roman" w:cs="Times New Roman"/>
          <w:i/>
          <w:iCs/>
          <w:sz w:val="24"/>
          <w:szCs w:val="24"/>
        </w:rPr>
        <w:t>Nature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455</w:t>
      </w:r>
      <w:r w:rsidRPr="00C12D8F">
        <w:rPr>
          <w:rFonts w:ascii="Times New Roman" w:hAnsi="Times New Roman" w:cs="Times New Roman"/>
          <w:sz w:val="24"/>
          <w:szCs w:val="24"/>
        </w:rPr>
        <w:t>(7211), 383–386. https://doi.org/10.1038/nature07296</w:t>
      </w:r>
    </w:p>
    <w:p w14:paraId="7701F49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Ashfaq, M., Rastogi, D., Mei, R., Kao, S.-C., Gangrade, S., Naz, B. S., &amp; Touma, D. (2016). High-resolution ensemble projections of near-term regional climate over the continental United States.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121</w:t>
      </w:r>
      <w:r w:rsidRPr="00C12D8F">
        <w:rPr>
          <w:rFonts w:ascii="Times New Roman" w:hAnsi="Times New Roman" w:cs="Times New Roman"/>
          <w:sz w:val="24"/>
          <w:szCs w:val="24"/>
        </w:rPr>
        <w:t>(17), 9943–9963. https://doi.org/10.1002/2016JD025285</w:t>
      </w:r>
    </w:p>
    <w:p w14:paraId="21127E1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Ashfaq, M., Rastogi, D., Kitson, J., Abid, M. A., &amp; Kao, S.-C. (2022). Evaluation of CMIP6 GCMs Over the CONUS for Downscaling Studies.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127</w:t>
      </w:r>
      <w:r w:rsidRPr="00C12D8F">
        <w:rPr>
          <w:rFonts w:ascii="Times New Roman" w:hAnsi="Times New Roman" w:cs="Times New Roman"/>
          <w:sz w:val="24"/>
          <w:szCs w:val="24"/>
        </w:rPr>
        <w:t>(21), e2022JD036659. https://doi.org/10.1029/2022JD036659</w:t>
      </w:r>
    </w:p>
    <w:p w14:paraId="5D7CC5D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Asia Center for Air Pollution Research. (2021). Acid Deposition Monitoring Network in East Asia (EANET). Retrieved November 18, 2021, from https://www.eanet.asia/</w:t>
      </w:r>
    </w:p>
    <w:p w14:paraId="16BFE3B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Bai, Y., &amp; Cotrufo, M. F. (2022). Grassland soil carbon sequestration: Current understanding, challenges, and solutions. </w:t>
      </w:r>
      <w:r w:rsidRPr="00C12D8F">
        <w:rPr>
          <w:rFonts w:ascii="Times New Roman" w:hAnsi="Times New Roman" w:cs="Times New Roman"/>
          <w:i/>
          <w:iCs/>
          <w:sz w:val="24"/>
          <w:szCs w:val="24"/>
        </w:rPr>
        <w:t>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377</w:t>
      </w:r>
      <w:r w:rsidRPr="00C12D8F">
        <w:rPr>
          <w:rFonts w:ascii="Times New Roman" w:hAnsi="Times New Roman" w:cs="Times New Roman"/>
          <w:sz w:val="24"/>
          <w:szCs w:val="24"/>
        </w:rPr>
        <w:t>(6606), 603–608. https://doi.org/10.1126/science.abo2380</w:t>
      </w:r>
    </w:p>
    <w:p w14:paraId="5A8FA5F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Bailey, V. L., Pries, C. H., &amp; Lajtha, K. (2019). What do we know about soil carbon destabilization?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14</w:t>
      </w:r>
      <w:r w:rsidRPr="00C12D8F">
        <w:rPr>
          <w:rFonts w:ascii="Times New Roman" w:hAnsi="Times New Roman" w:cs="Times New Roman"/>
          <w:sz w:val="24"/>
          <w:szCs w:val="24"/>
        </w:rPr>
        <w:t>(8), 083004. https://doi.org/10.1088/1748-9326/ab2c11</w:t>
      </w:r>
    </w:p>
    <w:p w14:paraId="53DDECC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Balbus, J., Crimmins, A., Gamble, J. L., Easterling, D. R., Kunkel, K. E., Saha, S., &amp; Sarofim, M. C. (2016). </w:t>
      </w:r>
      <w:r w:rsidRPr="00C12D8F">
        <w:rPr>
          <w:rFonts w:ascii="Times New Roman" w:hAnsi="Times New Roman" w:cs="Times New Roman"/>
          <w:i/>
          <w:iCs/>
          <w:sz w:val="24"/>
          <w:szCs w:val="24"/>
        </w:rPr>
        <w:t>Ch. 1: Introduction: Climate Change and Human Health. The Impacts of Climate Change on Human Health in the United States: A Scientific Assessment</w:t>
      </w:r>
      <w:r w:rsidRPr="00C12D8F">
        <w:rPr>
          <w:rFonts w:ascii="Times New Roman" w:hAnsi="Times New Roman" w:cs="Times New Roman"/>
          <w:sz w:val="24"/>
          <w:szCs w:val="24"/>
        </w:rPr>
        <w:t>. U.S. Global Change Research Program. https://doi.org/10.7930/J0VX0DFW</w:t>
      </w:r>
    </w:p>
    <w:p w14:paraId="03D2AE6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Barnes, M. L., Zhang, Q., Robeson, S. M., Young, L., Burakowski, E. A., Oishi, A. </w:t>
      </w:r>
      <w:proofErr w:type="gramStart"/>
      <w:r w:rsidRPr="00C12D8F">
        <w:rPr>
          <w:rFonts w:ascii="Times New Roman" w:hAnsi="Times New Roman" w:cs="Times New Roman"/>
          <w:sz w:val="24"/>
          <w:szCs w:val="24"/>
        </w:rPr>
        <w:t>Christopher.,</w:t>
      </w:r>
      <w:proofErr w:type="gramEnd"/>
      <w:r w:rsidRPr="00C12D8F">
        <w:rPr>
          <w:rFonts w:ascii="Times New Roman" w:hAnsi="Times New Roman" w:cs="Times New Roman"/>
          <w:sz w:val="24"/>
          <w:szCs w:val="24"/>
        </w:rPr>
        <w:t xml:space="preserve"> et al. (2024). A Century of Reforestation Reduced Anthropogenic Warming in the Eastern United States. </w:t>
      </w:r>
      <w:r w:rsidRPr="00C12D8F">
        <w:rPr>
          <w:rFonts w:ascii="Times New Roman" w:hAnsi="Times New Roman" w:cs="Times New Roman"/>
          <w:i/>
          <w:iCs/>
          <w:sz w:val="24"/>
          <w:szCs w:val="24"/>
        </w:rPr>
        <w:t>Earth’s Future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w:t>
      </w:r>
      <w:r w:rsidRPr="00C12D8F">
        <w:rPr>
          <w:rFonts w:ascii="Times New Roman" w:hAnsi="Times New Roman" w:cs="Times New Roman"/>
          <w:sz w:val="24"/>
          <w:szCs w:val="24"/>
        </w:rPr>
        <w:t>(2), e2023EF003663. https://doi.org/10.1029/2023EF003663</w:t>
      </w:r>
    </w:p>
    <w:p w14:paraId="44783EF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Batibeniz, F., Ashfaq, M., Diffenbaugh, N. S., Key, K., Evans, K. J., Turuncoglu, U. U., &amp; Önol, B. (2020). Doubling of U.S. Population Exposure to Climate Extremes by 2050. </w:t>
      </w:r>
      <w:r w:rsidRPr="00C12D8F">
        <w:rPr>
          <w:rFonts w:ascii="Times New Roman" w:hAnsi="Times New Roman" w:cs="Times New Roman"/>
          <w:i/>
          <w:iCs/>
          <w:sz w:val="24"/>
          <w:szCs w:val="24"/>
        </w:rPr>
        <w:t>Earth’s Future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w:t>
      </w:r>
      <w:r w:rsidRPr="00C12D8F">
        <w:rPr>
          <w:rFonts w:ascii="Times New Roman" w:hAnsi="Times New Roman" w:cs="Times New Roman"/>
          <w:sz w:val="24"/>
          <w:szCs w:val="24"/>
        </w:rPr>
        <w:t>(4), e2019EF001421. https://doi.org/10.1029/2019EF001421</w:t>
      </w:r>
    </w:p>
    <w:p w14:paraId="5413618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Batjes, N. H. (2016). Harmonized soil property values for broad-scale modelling (WISE30sec) with estimates of global soil carbon stocks. </w:t>
      </w:r>
      <w:r w:rsidRPr="00C12D8F">
        <w:rPr>
          <w:rFonts w:ascii="Times New Roman" w:hAnsi="Times New Roman" w:cs="Times New Roman"/>
          <w:i/>
          <w:iCs/>
          <w:sz w:val="24"/>
          <w:szCs w:val="24"/>
        </w:rPr>
        <w:t>Geoderma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269</w:t>
      </w:r>
      <w:r w:rsidRPr="00C12D8F">
        <w:rPr>
          <w:rFonts w:ascii="Times New Roman" w:hAnsi="Times New Roman" w:cs="Times New Roman"/>
          <w:sz w:val="24"/>
          <w:szCs w:val="24"/>
        </w:rPr>
        <w:t>, 61–68. https://doi.org/10.1016/j.geoderma.2016.01.034</w:t>
      </w:r>
    </w:p>
    <w:p w14:paraId="0690E71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Batjes, Niels H., Ribeiro, E., van Oostrum, A., Leenaars, J., Hengl, T., &amp; Mendes de Jesus, J. (2017). WoSIS: providing standardised soil profile data for the world. </w:t>
      </w:r>
      <w:r w:rsidRPr="00C12D8F">
        <w:rPr>
          <w:rFonts w:ascii="Times New Roman" w:hAnsi="Times New Roman" w:cs="Times New Roman"/>
          <w:i/>
          <w:iCs/>
          <w:sz w:val="24"/>
          <w:szCs w:val="24"/>
        </w:rPr>
        <w:t>Earth System Science Data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(1), 1–14. https://doi.org/10.5194/essd-9-1-2017</w:t>
      </w:r>
    </w:p>
    <w:p w14:paraId="7FFEF50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Behnke, R., Vavrus, S., Allstadt, A., Albright, T., Thogmartin, W. E., &amp; Radeloff, V. C. (2016). Evaluation of downscaled, gridded climate data for the conterminous United States. </w:t>
      </w:r>
      <w:r w:rsidRPr="00C12D8F">
        <w:rPr>
          <w:rFonts w:ascii="Times New Roman" w:hAnsi="Times New Roman" w:cs="Times New Roman"/>
          <w:i/>
          <w:iCs/>
          <w:sz w:val="24"/>
          <w:szCs w:val="24"/>
        </w:rPr>
        <w:t>Ecological Applications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26</w:t>
      </w:r>
      <w:r w:rsidRPr="00C12D8F">
        <w:rPr>
          <w:rFonts w:ascii="Times New Roman" w:hAnsi="Times New Roman" w:cs="Times New Roman"/>
          <w:sz w:val="24"/>
          <w:szCs w:val="24"/>
        </w:rPr>
        <w:t>(5), 1338–1351. https://doi.org/10.1002/15-1061</w:t>
      </w:r>
    </w:p>
    <w:p w14:paraId="730C431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Beillouin, D., Corbeels, M., Demenois, J., Berre, D., Boyer, A., Fallot, A., et al. (2023). A global meta-analysis of soil organic carbon in the Anthropocene. </w:t>
      </w:r>
      <w:r w:rsidRPr="00C12D8F">
        <w:rPr>
          <w:rFonts w:ascii="Times New Roman" w:hAnsi="Times New Roman" w:cs="Times New Roman"/>
          <w:i/>
          <w:iCs/>
          <w:sz w:val="24"/>
          <w:szCs w:val="24"/>
        </w:rPr>
        <w:t>Nature Communications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14</w:t>
      </w:r>
      <w:r w:rsidRPr="00C12D8F">
        <w:rPr>
          <w:rFonts w:ascii="Times New Roman" w:hAnsi="Times New Roman" w:cs="Times New Roman"/>
          <w:sz w:val="24"/>
          <w:szCs w:val="24"/>
        </w:rPr>
        <w:t>(1), 3700. https://doi.org/10.1038/s41467-023-39338-z</w:t>
      </w:r>
    </w:p>
    <w:p w14:paraId="3877F41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Belgiu, M., &amp; Drăguţ, L. (2016). Random forest in remote sensing: A review of applications and future directions. </w:t>
      </w:r>
      <w:r w:rsidRPr="00C12D8F">
        <w:rPr>
          <w:rFonts w:ascii="Times New Roman" w:hAnsi="Times New Roman" w:cs="Times New Roman"/>
          <w:i/>
          <w:iCs/>
          <w:sz w:val="24"/>
          <w:szCs w:val="24"/>
        </w:rPr>
        <w:t>ISPRS Journal of Photogrammetry and Remote Sensing</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114</w:t>
      </w:r>
      <w:r w:rsidRPr="00C12D8F">
        <w:rPr>
          <w:rFonts w:ascii="Times New Roman" w:hAnsi="Times New Roman" w:cs="Times New Roman"/>
          <w:sz w:val="24"/>
          <w:szCs w:val="24"/>
        </w:rPr>
        <w:t>, 24–31. https://doi.org/10.1016/j.isprsjprs.2016.01.011</w:t>
      </w:r>
    </w:p>
    <w:p w14:paraId="6CDB417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Benish, S. E., Bash, J. O., Foley, K. M., Appel, K. W., Hogrefe, C., Gilliam, R., &amp; Pouliot, G. (2022). Long-term regional trends of nitrogen and sulfur deposition in the United States from 2002 to 2017.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22</w:t>
      </w:r>
      <w:r w:rsidRPr="00C12D8F">
        <w:rPr>
          <w:rFonts w:ascii="Times New Roman" w:hAnsi="Times New Roman" w:cs="Times New Roman"/>
          <w:sz w:val="24"/>
          <w:szCs w:val="24"/>
        </w:rPr>
        <w:t>(19), 12749–12767. https://doi.org/10.5194/acp-22-12749-2022</w:t>
      </w:r>
    </w:p>
    <w:p w14:paraId="326B2D6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Bliss, N. B., Waltman, S. W., West, L. T., Neale, A., &amp; Mehaffey, M. (2014). Distribution of Soil Organic Carbon in the Conterminous United States. In A. E. Hartemink &amp; K. McSweeney (Eds.), </w:t>
      </w:r>
      <w:r w:rsidRPr="00C12D8F">
        <w:rPr>
          <w:rFonts w:ascii="Times New Roman" w:hAnsi="Times New Roman" w:cs="Times New Roman"/>
          <w:i/>
          <w:iCs/>
          <w:sz w:val="24"/>
          <w:szCs w:val="24"/>
        </w:rPr>
        <w:t>Soil Carbon</w:t>
      </w:r>
      <w:r w:rsidRPr="00C12D8F">
        <w:rPr>
          <w:rFonts w:ascii="Times New Roman" w:hAnsi="Times New Roman" w:cs="Times New Roman"/>
          <w:sz w:val="24"/>
          <w:szCs w:val="24"/>
        </w:rPr>
        <w:t xml:space="preserve"> (pp. 85–93). Cham: Springer International Publishing. https://doi.org/10.1007/978-3-319-04084-4_9</w:t>
      </w:r>
    </w:p>
    <w:p w14:paraId="54BA754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Bobbink, R., Hicks, K., Galloway, J., Spranger, T., Alkemade, R., Ashmore, M., et al. (2010). Global assessment of nitrogen deposition effects on terrestrial plant diversity: a synthesis. </w:t>
      </w:r>
      <w:r w:rsidRPr="00C12D8F">
        <w:rPr>
          <w:rFonts w:ascii="Times New Roman" w:hAnsi="Times New Roman" w:cs="Times New Roman"/>
          <w:i/>
          <w:iCs/>
          <w:sz w:val="24"/>
          <w:szCs w:val="24"/>
        </w:rPr>
        <w:t>Ecological Applications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20</w:t>
      </w:r>
      <w:r w:rsidRPr="00C12D8F">
        <w:rPr>
          <w:rFonts w:ascii="Times New Roman" w:hAnsi="Times New Roman" w:cs="Times New Roman"/>
          <w:sz w:val="24"/>
          <w:szCs w:val="24"/>
        </w:rPr>
        <w:t>(1), 30–59. https://doi.org/10.1890/08-1140.1</w:t>
      </w:r>
    </w:p>
    <w:p w14:paraId="1031237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Bowman, W. D., Cleveland, C. C., Halada, Ĺ., Hreško, J., &amp; Baron, J. S. (2008). Negative impact of nitrogen deposition on soil buffering capacity. </w:t>
      </w:r>
      <w:r w:rsidRPr="00C12D8F">
        <w:rPr>
          <w:rFonts w:ascii="Times New Roman" w:hAnsi="Times New Roman" w:cs="Times New Roman"/>
          <w:i/>
          <w:iCs/>
          <w:sz w:val="24"/>
          <w:szCs w:val="24"/>
        </w:rPr>
        <w:t>Nature Geoscience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w:t>
      </w:r>
      <w:r w:rsidRPr="00C12D8F">
        <w:rPr>
          <w:rFonts w:ascii="Times New Roman" w:hAnsi="Times New Roman" w:cs="Times New Roman"/>
          <w:sz w:val="24"/>
          <w:szCs w:val="24"/>
        </w:rPr>
        <w:t>(11), 767–770. https://doi.org/10.1038/ngeo339</w:t>
      </w:r>
    </w:p>
    <w:p w14:paraId="482A78C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Braganza, K., Karoly, D. J., &amp; Arblaster, J. M. (2004). Diurnal temperature range as an index of global climate change during the twentieth century. </w:t>
      </w:r>
      <w:r w:rsidRPr="00C12D8F">
        <w:rPr>
          <w:rFonts w:ascii="Times New Roman" w:hAnsi="Times New Roman" w:cs="Times New Roman"/>
          <w:i/>
          <w:iCs/>
          <w:sz w:val="24"/>
          <w:szCs w:val="24"/>
        </w:rPr>
        <w:t>Geophysical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31</w:t>
      </w:r>
      <w:r w:rsidRPr="00C12D8F">
        <w:rPr>
          <w:rFonts w:ascii="Times New Roman" w:hAnsi="Times New Roman" w:cs="Times New Roman"/>
          <w:sz w:val="24"/>
          <w:szCs w:val="24"/>
        </w:rPr>
        <w:t>(13). https://doi.org/10.1029/2004GL019998</w:t>
      </w:r>
    </w:p>
    <w:p w14:paraId="206931E2"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Brás, T. A., Seixas, J., Carvalhais, N., &amp; Jägermeyr, J. (2021). Severity of drought and heatwave crop losses tripled over the last five decades in Europe.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16</w:t>
      </w:r>
      <w:r w:rsidRPr="00C12D8F">
        <w:rPr>
          <w:rFonts w:ascii="Times New Roman" w:hAnsi="Times New Roman" w:cs="Times New Roman"/>
          <w:sz w:val="24"/>
          <w:szCs w:val="24"/>
        </w:rPr>
        <w:t>(6), 065012. https://doi.org/10.1088/1748-9326/abf004</w:t>
      </w:r>
    </w:p>
    <w:p w14:paraId="7EAB63A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Breiman, L. (2001). Random forests. </w:t>
      </w:r>
      <w:r w:rsidRPr="00C12D8F">
        <w:rPr>
          <w:rFonts w:ascii="Times New Roman" w:hAnsi="Times New Roman" w:cs="Times New Roman"/>
          <w:i/>
          <w:iCs/>
          <w:sz w:val="24"/>
          <w:szCs w:val="24"/>
        </w:rPr>
        <w:t>Machine Learning</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45</w:t>
      </w:r>
      <w:r w:rsidRPr="00C12D8F">
        <w:rPr>
          <w:rFonts w:ascii="Times New Roman" w:hAnsi="Times New Roman" w:cs="Times New Roman"/>
          <w:sz w:val="24"/>
          <w:szCs w:val="24"/>
        </w:rPr>
        <w:t>(1), 5–32. https://doi.org/10.1023/A:1010933404324</w:t>
      </w:r>
    </w:p>
    <w:p w14:paraId="101B9CA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Breshears, D. D., Fontaine, J. B., Ruthrof, K. X., Field, J. P., Feng, X., Burger, J. R., et al. (2021). Underappreciated plant vulnerabilities to heat waves. </w:t>
      </w:r>
      <w:r w:rsidRPr="00C12D8F">
        <w:rPr>
          <w:rFonts w:ascii="Times New Roman" w:hAnsi="Times New Roman" w:cs="Times New Roman"/>
          <w:i/>
          <w:iCs/>
          <w:sz w:val="24"/>
          <w:szCs w:val="24"/>
        </w:rPr>
        <w:t>New Phytologist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231</w:t>
      </w:r>
      <w:r w:rsidRPr="00C12D8F">
        <w:rPr>
          <w:rFonts w:ascii="Times New Roman" w:hAnsi="Times New Roman" w:cs="Times New Roman"/>
          <w:sz w:val="24"/>
          <w:szCs w:val="24"/>
        </w:rPr>
        <w:t>(1), 32–39. https://doi.org/10.1111/nph.17348</w:t>
      </w:r>
    </w:p>
    <w:p w14:paraId="0E5533C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Budikova, D., Ford, T. W., &amp; Ballinger, T. J. (2019). United States Heat Wave Frequency and Arctic Ocean Marginal Sea Ice Variability.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124</w:t>
      </w:r>
      <w:r w:rsidRPr="00C12D8F">
        <w:rPr>
          <w:rFonts w:ascii="Times New Roman" w:hAnsi="Times New Roman" w:cs="Times New Roman"/>
          <w:sz w:val="24"/>
          <w:szCs w:val="24"/>
        </w:rPr>
        <w:t>(12), 6247–6264. https://doi.org/10.1029/2018JD029365</w:t>
      </w:r>
    </w:p>
    <w:p w14:paraId="75B0C20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Chaney, N. W., Minasny, B., Herman, J. D., Nauman, T. W., Brungard, C. W., Morgan, C. L. S., et al. (2019). POLARIS Soil Properties: 30‐m Probabilistic Maps of Soil Properties Over the Contiguous United States. </w:t>
      </w:r>
      <w:r w:rsidRPr="00C12D8F">
        <w:rPr>
          <w:rFonts w:ascii="Times New Roman" w:hAnsi="Times New Roman" w:cs="Times New Roman"/>
          <w:i/>
          <w:iCs/>
          <w:sz w:val="24"/>
          <w:szCs w:val="24"/>
        </w:rPr>
        <w:t>Water Resources Research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55</w:t>
      </w:r>
      <w:r w:rsidRPr="00C12D8F">
        <w:rPr>
          <w:rFonts w:ascii="Times New Roman" w:hAnsi="Times New Roman" w:cs="Times New Roman"/>
          <w:sz w:val="24"/>
          <w:szCs w:val="24"/>
        </w:rPr>
        <w:t>, 2916–2938. https://doi.org/doi.org/10.1029/2018WR022797</w:t>
      </w:r>
    </w:p>
    <w:p w14:paraId="19101A6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Chen, G., Li, S., Knibbs, L. D., Hamm, N. A. S., Cao, W., Li, T., et al. (2018). A machine learning method to estimate PM2.5 concentrations across China with remote sensing, meteorological and land use information. </w:t>
      </w:r>
      <w:r w:rsidRPr="00C12D8F">
        <w:rPr>
          <w:rFonts w:ascii="Times New Roman" w:hAnsi="Times New Roman" w:cs="Times New Roman"/>
          <w:i/>
          <w:iCs/>
          <w:sz w:val="24"/>
          <w:szCs w:val="24"/>
        </w:rPr>
        <w:t>Science of The Total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636</w:t>
      </w:r>
      <w:r w:rsidRPr="00C12D8F">
        <w:rPr>
          <w:rFonts w:ascii="Times New Roman" w:hAnsi="Times New Roman" w:cs="Times New Roman"/>
          <w:sz w:val="24"/>
          <w:szCs w:val="24"/>
        </w:rPr>
        <w:t>, 52–60. https://doi.org/10.1016/j.scitotenv.2018.04.251</w:t>
      </w:r>
    </w:p>
    <w:p w14:paraId="19D19A2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Cheng, I., Zhang, L., He, Z., Cathcart, H., Houle, D., Cole, A., et al. (2022). Long-term declines in atmospheric nitrogen and sulfur deposition reduce critical loads exceedances at multiple Canadian rural sites, 2000–2018.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22</w:t>
      </w:r>
      <w:r w:rsidRPr="00C12D8F">
        <w:rPr>
          <w:rFonts w:ascii="Times New Roman" w:hAnsi="Times New Roman" w:cs="Times New Roman"/>
          <w:sz w:val="24"/>
          <w:szCs w:val="24"/>
        </w:rPr>
        <w:t>(22), 14631–14656. https://doi.org/10.5194/acp-22-14631-2022</w:t>
      </w:r>
    </w:p>
    <w:p w14:paraId="19131DD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Cheng, W., MacMartin, D. G., Dagon, K., Kravitz, B., Tilmes, S., Richter, J. H., et al. (2019). Soil Moisture and Other Hydrological Changes in a Stratospheric Aerosol </w:t>
      </w:r>
      <w:r w:rsidRPr="00C12D8F">
        <w:rPr>
          <w:rFonts w:ascii="Times New Roman" w:hAnsi="Times New Roman" w:cs="Times New Roman"/>
          <w:sz w:val="24"/>
          <w:szCs w:val="24"/>
        </w:rPr>
        <w:lastRenderedPageBreak/>
        <w:t xml:space="preserve">Geoengineering Large Ensemble.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124</w:t>
      </w:r>
      <w:r w:rsidRPr="00C12D8F">
        <w:rPr>
          <w:rFonts w:ascii="Times New Roman" w:hAnsi="Times New Roman" w:cs="Times New Roman"/>
          <w:sz w:val="24"/>
          <w:szCs w:val="24"/>
        </w:rPr>
        <w:t>(23), 12773–12793. https://doi.org/10.1029/2018JD030237</w:t>
      </w:r>
    </w:p>
    <w:p w14:paraId="0D6B7A0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Cheng, Y., Luo, P., Yang, H., Li, H., Luo, C., Jia, H., &amp; Huang, Y. (2023). Fire effects on soil carbon cycling pools in forest ecosystems: A global meta-analysis. </w:t>
      </w:r>
      <w:r w:rsidRPr="00C12D8F">
        <w:rPr>
          <w:rFonts w:ascii="Times New Roman" w:hAnsi="Times New Roman" w:cs="Times New Roman"/>
          <w:i/>
          <w:iCs/>
          <w:sz w:val="24"/>
          <w:szCs w:val="24"/>
        </w:rPr>
        <w:t>Science of The Total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895</w:t>
      </w:r>
      <w:r w:rsidRPr="00C12D8F">
        <w:rPr>
          <w:rFonts w:ascii="Times New Roman" w:hAnsi="Times New Roman" w:cs="Times New Roman"/>
          <w:sz w:val="24"/>
          <w:szCs w:val="24"/>
        </w:rPr>
        <w:t>(165001). https://doi.org/DOI:10.1016/j.scitotenv.2023.165001</w:t>
      </w:r>
    </w:p>
    <w:p w14:paraId="6F34FA4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Chenu, C., Angers, D. A., Barré, P., Derrien, D., Arrouays, D., &amp; Balesdent, J. (2019). Increasing organic stocks in agricultural soils: Knowledge gaps and potential innovations. </w:t>
      </w:r>
      <w:r w:rsidRPr="00C12D8F">
        <w:rPr>
          <w:rFonts w:ascii="Times New Roman" w:hAnsi="Times New Roman" w:cs="Times New Roman"/>
          <w:i/>
          <w:iCs/>
          <w:sz w:val="24"/>
          <w:szCs w:val="24"/>
        </w:rPr>
        <w:t>Soil and Tillage Research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188</w:t>
      </w:r>
      <w:r w:rsidRPr="00C12D8F">
        <w:rPr>
          <w:rFonts w:ascii="Times New Roman" w:hAnsi="Times New Roman" w:cs="Times New Roman"/>
          <w:sz w:val="24"/>
          <w:szCs w:val="24"/>
        </w:rPr>
        <w:t>, 41–52. https://doi.org/10.1016/j.still.2018.04.011</w:t>
      </w:r>
    </w:p>
    <w:p w14:paraId="5E71E47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Clarisse, L., Van Damme, M., &amp; Coheur, P. -F. (2018). Standard daily IASI/Metop-A ULB-LATMOS ammonia (NH</w:t>
      </w:r>
      <w:proofErr w:type="gramStart"/>
      <w:r w:rsidRPr="00C12D8F">
        <w:rPr>
          <w:rFonts w:ascii="Times New Roman" w:hAnsi="Times New Roman" w:cs="Times New Roman"/>
          <w:sz w:val="24"/>
          <w:szCs w:val="24"/>
        </w:rPr>
        <w:t>3)L</w:t>
      </w:r>
      <w:proofErr w:type="gramEnd"/>
      <w:r w:rsidRPr="00C12D8F">
        <w:rPr>
          <w:rFonts w:ascii="Times New Roman" w:hAnsi="Times New Roman" w:cs="Times New Roman"/>
          <w:sz w:val="24"/>
          <w:szCs w:val="24"/>
        </w:rPr>
        <w:t>2 product (total column). AERIS. Retrieved from https://www.aeris-data.fr/metadata/metadata/</w:t>
      </w:r>
    </w:p>
    <w:p w14:paraId="5257448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Clark, Brendan, Xia, L., Robock, A., Tilmes, S., Richter, J. H., Visioni, D., &amp; Rabin, S. S. (2023). Optimal climate intervention scenarios for crop production vary by nation. </w:t>
      </w:r>
      <w:r w:rsidRPr="00C12D8F">
        <w:rPr>
          <w:rFonts w:ascii="Times New Roman" w:hAnsi="Times New Roman" w:cs="Times New Roman"/>
          <w:i/>
          <w:iCs/>
          <w:sz w:val="24"/>
          <w:szCs w:val="24"/>
        </w:rPr>
        <w:t>Nature Food</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w:t>
      </w:r>
      <w:r w:rsidRPr="00C12D8F">
        <w:rPr>
          <w:rFonts w:ascii="Times New Roman" w:hAnsi="Times New Roman" w:cs="Times New Roman"/>
          <w:sz w:val="24"/>
          <w:szCs w:val="24"/>
        </w:rPr>
        <w:t>(10), 902–911. https://doi.org/10.1038/s43016-023-00853-3</w:t>
      </w:r>
    </w:p>
    <w:p w14:paraId="78ED0D4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Clark, Britta. (2023). How to Argue about Solar Geoengineering. </w:t>
      </w:r>
      <w:r w:rsidRPr="00C12D8F">
        <w:rPr>
          <w:rFonts w:ascii="Times New Roman" w:hAnsi="Times New Roman" w:cs="Times New Roman"/>
          <w:i/>
          <w:iCs/>
          <w:sz w:val="24"/>
          <w:szCs w:val="24"/>
        </w:rPr>
        <w:t>Journal of Applied Philosophy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40</w:t>
      </w:r>
      <w:r w:rsidRPr="00C12D8F">
        <w:rPr>
          <w:rFonts w:ascii="Times New Roman" w:hAnsi="Times New Roman" w:cs="Times New Roman"/>
          <w:sz w:val="24"/>
          <w:szCs w:val="24"/>
        </w:rPr>
        <w:t>(3), 505–520. https://doi.org/10.1111/japp.12643</w:t>
      </w:r>
    </w:p>
    <w:p w14:paraId="3923C1B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Clark, C. M., Bai, Y., Bowman, W. D., Cowles, J. M., Fenn, M. E., Gilliam, F. S., et al. (2013). Nitrogen Deposition and Terrestrial Biodiversity. In </w:t>
      </w:r>
      <w:r w:rsidRPr="00C12D8F">
        <w:rPr>
          <w:rFonts w:ascii="Times New Roman" w:hAnsi="Times New Roman" w:cs="Times New Roman"/>
          <w:i/>
          <w:iCs/>
          <w:sz w:val="24"/>
          <w:szCs w:val="24"/>
        </w:rPr>
        <w:t>Encyclopedia of Biodiversity</w:t>
      </w:r>
      <w:r w:rsidRPr="00C12D8F">
        <w:rPr>
          <w:rFonts w:ascii="Times New Roman" w:hAnsi="Times New Roman" w:cs="Times New Roman"/>
          <w:sz w:val="24"/>
          <w:szCs w:val="24"/>
        </w:rPr>
        <w:t xml:space="preserve"> (pp. 519–536). Elsevier. https://doi.org/10.1016/B978-0-12-384719-5.00366-X</w:t>
      </w:r>
    </w:p>
    <w:p w14:paraId="2BCAC692"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Clow, D. W., Roop, H. A., Nanus, L., Fenn, M. E., &amp; Sexstone, G. A. (2015). Spatial patterns of atmospheric deposition of nitrogen and sulfur using ion-exchange resin collectors in Rocky Mountain National Park, USA. </w:t>
      </w:r>
      <w:r w:rsidRPr="00C12D8F">
        <w:rPr>
          <w:rFonts w:ascii="Times New Roman" w:hAnsi="Times New Roman" w:cs="Times New Roman"/>
          <w:i/>
          <w:iCs/>
          <w:sz w:val="24"/>
          <w:szCs w:val="24"/>
        </w:rPr>
        <w:t>Atmospheric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101</w:t>
      </w:r>
      <w:r w:rsidRPr="00C12D8F">
        <w:rPr>
          <w:rFonts w:ascii="Times New Roman" w:hAnsi="Times New Roman" w:cs="Times New Roman"/>
          <w:sz w:val="24"/>
          <w:szCs w:val="24"/>
        </w:rPr>
        <w:t>, 149–157. https://doi.org/10.1016/j.atmosenv.2014.11.027</w:t>
      </w:r>
    </w:p>
    <w:p w14:paraId="1D30A10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Colucci, R. R., Giorgi, F., &amp; Torma, C. (2017). Unprecedented heat wave in December 2015 and potential for winter glacier ablation in the eastern Alps.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w:t>
      </w:r>
      <w:r w:rsidRPr="00C12D8F">
        <w:rPr>
          <w:rFonts w:ascii="Times New Roman" w:hAnsi="Times New Roman" w:cs="Times New Roman"/>
          <w:sz w:val="24"/>
          <w:szCs w:val="24"/>
        </w:rPr>
        <w:t>(1), 7090. https://doi.org/10.1038/s41598-017-07415-1</w:t>
      </w:r>
    </w:p>
    <w:p w14:paraId="6D9DBEF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Coppola, E., Stocchi, P., Pichelli, E., Torres Alavez, J. A., Glazer, R., Giuliani, G., et al. (2021). Non-Hydrostatic RegCM4 (RegCM4-NH): model description and case studies over multiple domains. </w:t>
      </w:r>
      <w:r w:rsidRPr="00C12D8F">
        <w:rPr>
          <w:rFonts w:ascii="Times New Roman" w:hAnsi="Times New Roman" w:cs="Times New Roman"/>
          <w:i/>
          <w:iCs/>
          <w:sz w:val="24"/>
          <w:szCs w:val="24"/>
        </w:rPr>
        <w:t>Geoscientific Model Development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14</w:t>
      </w:r>
      <w:r w:rsidRPr="00C12D8F">
        <w:rPr>
          <w:rFonts w:ascii="Times New Roman" w:hAnsi="Times New Roman" w:cs="Times New Roman"/>
          <w:sz w:val="24"/>
          <w:szCs w:val="24"/>
        </w:rPr>
        <w:t>(12), 7705–7723. https://doi.org/10.5194/gmd-14-7705-2021</w:t>
      </w:r>
    </w:p>
    <w:p w14:paraId="57B4D40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Coumou, D., &amp; Rahmstorf, S. (2012). A decade of weather extremes. </w:t>
      </w:r>
      <w:r w:rsidRPr="00C12D8F">
        <w:rPr>
          <w:rFonts w:ascii="Times New Roman" w:hAnsi="Times New Roman" w:cs="Times New Roman"/>
          <w:i/>
          <w:iCs/>
          <w:sz w:val="24"/>
          <w:szCs w:val="24"/>
        </w:rPr>
        <w:t>Nature Climate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w:t>
      </w:r>
      <w:r w:rsidRPr="00C12D8F">
        <w:rPr>
          <w:rFonts w:ascii="Times New Roman" w:hAnsi="Times New Roman" w:cs="Times New Roman"/>
          <w:sz w:val="24"/>
          <w:szCs w:val="24"/>
        </w:rPr>
        <w:t>(7), 491–496. https://doi.org/10.1038/nclimate1452</w:t>
      </w:r>
    </w:p>
    <w:p w14:paraId="4F366AB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Crutzen, P. J. (2006). Albedo Enhancement by Stratospheric Sulfur Injections: A Contribution to Resolve a Policy Dilemma? </w:t>
      </w:r>
      <w:r w:rsidRPr="00C12D8F">
        <w:rPr>
          <w:rFonts w:ascii="Times New Roman" w:hAnsi="Times New Roman" w:cs="Times New Roman"/>
          <w:i/>
          <w:iCs/>
          <w:sz w:val="24"/>
          <w:szCs w:val="24"/>
        </w:rPr>
        <w:t>Climatic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77</w:t>
      </w:r>
      <w:r w:rsidRPr="00C12D8F">
        <w:rPr>
          <w:rFonts w:ascii="Times New Roman" w:hAnsi="Times New Roman" w:cs="Times New Roman"/>
          <w:sz w:val="24"/>
          <w:szCs w:val="24"/>
        </w:rPr>
        <w:t>(3), 211–220. https://doi.org/10.1007/s10584-006-9101-y</w:t>
      </w:r>
    </w:p>
    <w:p w14:paraId="75A85FA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Daly, C., Halbleib, M., Smith, J. I., Gibson, W. P., Doggett, M. K., Taylor, G. H., et al. (2008). Physiographically sensitive mapping of climatological temperature and precipitation across the conterminous United States. </w:t>
      </w:r>
      <w:r w:rsidRPr="00C12D8F">
        <w:rPr>
          <w:rFonts w:ascii="Times New Roman" w:hAnsi="Times New Roman" w:cs="Times New Roman"/>
          <w:i/>
          <w:iCs/>
          <w:sz w:val="24"/>
          <w:szCs w:val="24"/>
        </w:rPr>
        <w:t>International Journal of Climatology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28</w:t>
      </w:r>
      <w:r w:rsidRPr="00C12D8F">
        <w:rPr>
          <w:rFonts w:ascii="Times New Roman" w:hAnsi="Times New Roman" w:cs="Times New Roman"/>
          <w:sz w:val="24"/>
          <w:szCs w:val="24"/>
        </w:rPr>
        <w:t>(15), 2031–2064. https://doi.org/10.1002/joc.1688</w:t>
      </w:r>
    </w:p>
    <w:p w14:paraId="576A182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Davidson, E. A., &amp; Janssens, I. A. (2006). Temperature sensitivity of soil carbon decomposition and </w:t>
      </w:r>
      <w:proofErr w:type="gramStart"/>
      <w:r w:rsidRPr="00C12D8F">
        <w:rPr>
          <w:rFonts w:ascii="Times New Roman" w:hAnsi="Times New Roman" w:cs="Times New Roman"/>
          <w:sz w:val="24"/>
          <w:szCs w:val="24"/>
        </w:rPr>
        <w:t>feedbacks</w:t>
      </w:r>
      <w:proofErr w:type="gramEnd"/>
      <w:r w:rsidRPr="00C12D8F">
        <w:rPr>
          <w:rFonts w:ascii="Times New Roman" w:hAnsi="Times New Roman" w:cs="Times New Roman"/>
          <w:sz w:val="24"/>
          <w:szCs w:val="24"/>
        </w:rPr>
        <w:t xml:space="preserve"> to climate change. </w:t>
      </w:r>
      <w:r w:rsidRPr="00C12D8F">
        <w:rPr>
          <w:rFonts w:ascii="Times New Roman" w:hAnsi="Times New Roman" w:cs="Times New Roman"/>
          <w:i/>
          <w:iCs/>
          <w:sz w:val="24"/>
          <w:szCs w:val="24"/>
        </w:rPr>
        <w:t>Nature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440</w:t>
      </w:r>
      <w:r w:rsidRPr="00C12D8F">
        <w:rPr>
          <w:rFonts w:ascii="Times New Roman" w:hAnsi="Times New Roman" w:cs="Times New Roman"/>
          <w:sz w:val="24"/>
          <w:szCs w:val="24"/>
        </w:rPr>
        <w:t>(7081), 165–173. https://doi.org/10.1038/nature04514</w:t>
      </w:r>
    </w:p>
    <w:p w14:paraId="1C2C861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Deng, L., Peng, C., Kim, D.-G., Li, J., Liu, Y., Hai, X., et al. (2021). Drought effects on soil carbon and nitrogen dynamics in global natural ecosystems. </w:t>
      </w:r>
      <w:r w:rsidRPr="00C12D8F">
        <w:rPr>
          <w:rFonts w:ascii="Times New Roman" w:hAnsi="Times New Roman" w:cs="Times New Roman"/>
          <w:i/>
          <w:iCs/>
          <w:sz w:val="24"/>
          <w:szCs w:val="24"/>
        </w:rPr>
        <w:t>Earth-Science Reviews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214</w:t>
      </w:r>
      <w:r w:rsidRPr="00C12D8F">
        <w:rPr>
          <w:rFonts w:ascii="Times New Roman" w:hAnsi="Times New Roman" w:cs="Times New Roman"/>
          <w:sz w:val="24"/>
          <w:szCs w:val="24"/>
        </w:rPr>
        <w:t>, 103501. https://doi.org/10.1016/j.earscirev.2020.103501</w:t>
      </w:r>
    </w:p>
    <w:p w14:paraId="732069C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Dentener, F., Drevet, J., Lamarque, J. F., Bey, I., Eickhout, B., Fiore, A. M., et al. (2006). Nitrogen and sulfur deposition on regional and global scales: A multimodel evaluation. </w:t>
      </w:r>
      <w:r w:rsidRPr="00C12D8F">
        <w:rPr>
          <w:rFonts w:ascii="Times New Roman" w:hAnsi="Times New Roman" w:cs="Times New Roman"/>
          <w:i/>
          <w:iCs/>
          <w:sz w:val="24"/>
          <w:szCs w:val="24"/>
        </w:rPr>
        <w:t>Global Biogeochemical Cycles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20</w:t>
      </w:r>
      <w:r w:rsidRPr="00C12D8F">
        <w:rPr>
          <w:rFonts w:ascii="Times New Roman" w:hAnsi="Times New Roman" w:cs="Times New Roman"/>
          <w:sz w:val="24"/>
          <w:szCs w:val="24"/>
        </w:rPr>
        <w:t>(4). https://doi.org/10.1029/2005GB002672</w:t>
      </w:r>
    </w:p>
    <w:p w14:paraId="3D87FB0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Dierauer, J. R., Allen, D. M., &amp; Whitfield, P. H. (2019). Snow Drought Risk and Susceptibility in the Western United States and Southwestern Canada. </w:t>
      </w:r>
      <w:r w:rsidRPr="00C12D8F">
        <w:rPr>
          <w:rFonts w:ascii="Times New Roman" w:hAnsi="Times New Roman" w:cs="Times New Roman"/>
          <w:i/>
          <w:iCs/>
          <w:sz w:val="24"/>
          <w:szCs w:val="24"/>
        </w:rPr>
        <w:t>Water Resources Research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55</w:t>
      </w:r>
      <w:r w:rsidRPr="00C12D8F">
        <w:rPr>
          <w:rFonts w:ascii="Times New Roman" w:hAnsi="Times New Roman" w:cs="Times New Roman"/>
          <w:sz w:val="24"/>
          <w:szCs w:val="24"/>
        </w:rPr>
        <w:t>(4), 3076–3091. https://doi.org/10.1029/2018WR023229</w:t>
      </w:r>
    </w:p>
    <w:p w14:paraId="24B6D4E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Dise, N. B., &amp; Stevens, J. (2005). Nitrogen deposition and reduction of terrestrial biodiversity: Evidence from temperate grasslands. </w:t>
      </w:r>
      <w:r w:rsidRPr="00C12D8F">
        <w:rPr>
          <w:rFonts w:ascii="Times New Roman" w:hAnsi="Times New Roman" w:cs="Times New Roman"/>
          <w:i/>
          <w:iCs/>
          <w:sz w:val="24"/>
          <w:szCs w:val="24"/>
        </w:rPr>
        <w:t>Science in China Series C: Life 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48</w:t>
      </w:r>
      <w:r w:rsidRPr="00C12D8F">
        <w:rPr>
          <w:rFonts w:ascii="Times New Roman" w:hAnsi="Times New Roman" w:cs="Times New Roman"/>
          <w:sz w:val="24"/>
          <w:szCs w:val="24"/>
        </w:rPr>
        <w:t>(2), 720–728. https://doi.org/10.1007/BF03187112</w:t>
      </w:r>
    </w:p>
    <w:p w14:paraId="151257B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Dixon, K. W., Lanzante, J. R., Nath, M. J., Hayhoe, K., Stoner, A., Radhakrishnan, A., et al. (2016). Evaluating the stationarity assumption in statistically downscaled climate projections: is past performance an indicator of future results? </w:t>
      </w:r>
      <w:r w:rsidRPr="00C12D8F">
        <w:rPr>
          <w:rFonts w:ascii="Times New Roman" w:hAnsi="Times New Roman" w:cs="Times New Roman"/>
          <w:i/>
          <w:iCs/>
          <w:sz w:val="24"/>
          <w:szCs w:val="24"/>
        </w:rPr>
        <w:t>Climatic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135</w:t>
      </w:r>
      <w:r w:rsidRPr="00C12D8F">
        <w:rPr>
          <w:rFonts w:ascii="Times New Roman" w:hAnsi="Times New Roman" w:cs="Times New Roman"/>
          <w:sz w:val="24"/>
          <w:szCs w:val="24"/>
        </w:rPr>
        <w:t>(3), 395–408. https://doi.org/10.1007/s10584-016-1598-0</w:t>
      </w:r>
    </w:p>
    <w:p w14:paraId="7BBBF15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Domke, G. M., Perry, C. H., Walters, B. F., Nave, L. E., Woodall, C. W., &amp; Swanston, C. W. (2017). Toward inventory-based estimates of soil organic carbon in forests of the United States. </w:t>
      </w:r>
      <w:r w:rsidRPr="00C12D8F">
        <w:rPr>
          <w:rFonts w:ascii="Times New Roman" w:hAnsi="Times New Roman" w:cs="Times New Roman"/>
          <w:i/>
          <w:iCs/>
          <w:sz w:val="24"/>
          <w:szCs w:val="24"/>
        </w:rPr>
        <w:t>Ecological Applications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27</w:t>
      </w:r>
      <w:r w:rsidRPr="00C12D8F">
        <w:rPr>
          <w:rFonts w:ascii="Times New Roman" w:hAnsi="Times New Roman" w:cs="Times New Roman"/>
          <w:sz w:val="24"/>
          <w:szCs w:val="24"/>
        </w:rPr>
        <w:t>(4), 1223–1235. https://doi.org/10.1002/eap.1516</w:t>
      </w:r>
    </w:p>
    <w:p w14:paraId="7426FCC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Doney, S. C., Mahowald, N., Lima, I., Feely, R. A., Mackenzie, F. T., Lamarque, J.-F., &amp; Rasch, P. J. (2007). Impact of anthropogenic atmospheric nitrogen and sulfur deposition on ocean acidification and the inorganic carbon system. </w:t>
      </w:r>
      <w:r w:rsidRPr="00C12D8F">
        <w:rPr>
          <w:rFonts w:ascii="Times New Roman" w:hAnsi="Times New Roman" w:cs="Times New Roman"/>
          <w:i/>
          <w:iCs/>
          <w:sz w:val="24"/>
          <w:szCs w:val="24"/>
        </w:rPr>
        <w:t>Proceedings of the National Academy of 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104</w:t>
      </w:r>
      <w:r w:rsidRPr="00C12D8F">
        <w:rPr>
          <w:rFonts w:ascii="Times New Roman" w:hAnsi="Times New Roman" w:cs="Times New Roman"/>
          <w:sz w:val="24"/>
          <w:szCs w:val="24"/>
        </w:rPr>
        <w:t>(37), 14580–14585. https://doi.org/10.1073/pnas.0702218104</w:t>
      </w:r>
    </w:p>
    <w:p w14:paraId="16BC84D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Driscoll, C. T., Lawrence, G. B., Bulger, A. J., Butler, T. J., Cronan, C. S., Eagar, C., et al. (2001). Acidic Deposition in the Northeastern United States: Sources and Inputs, Ecosystem Effects, and Management Strategies: The effects of acidic deposition in the northeastern United States include the acidification of soil and water, which stresses terrestrial and aquatic biota. </w:t>
      </w:r>
      <w:r w:rsidRPr="00C12D8F">
        <w:rPr>
          <w:rFonts w:ascii="Times New Roman" w:hAnsi="Times New Roman" w:cs="Times New Roman"/>
          <w:i/>
          <w:iCs/>
          <w:sz w:val="24"/>
          <w:szCs w:val="24"/>
        </w:rPr>
        <w:t>BioScience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51</w:t>
      </w:r>
      <w:r w:rsidRPr="00C12D8F">
        <w:rPr>
          <w:rFonts w:ascii="Times New Roman" w:hAnsi="Times New Roman" w:cs="Times New Roman"/>
          <w:sz w:val="24"/>
          <w:szCs w:val="24"/>
        </w:rPr>
        <w:t>(3), 180–198. https://doi.org/10.1641/0006-3568(2001)051[</w:t>
      </w:r>
      <w:proofErr w:type="gramStart"/>
      <w:r w:rsidRPr="00C12D8F">
        <w:rPr>
          <w:rFonts w:ascii="Times New Roman" w:hAnsi="Times New Roman" w:cs="Times New Roman"/>
          <w:sz w:val="24"/>
          <w:szCs w:val="24"/>
        </w:rPr>
        <w:t>0180:ADITNU</w:t>
      </w:r>
      <w:proofErr w:type="gramEnd"/>
      <w:r w:rsidRPr="00C12D8F">
        <w:rPr>
          <w:rFonts w:ascii="Times New Roman" w:hAnsi="Times New Roman" w:cs="Times New Roman"/>
          <w:sz w:val="24"/>
          <w:szCs w:val="24"/>
        </w:rPr>
        <w:t>]2.0.CO;2</w:t>
      </w:r>
    </w:p>
    <w:p w14:paraId="5941BDA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Eastham, S. D., Weisenstein, D. K., Keith, D. W., &amp; Barrett, S. R. H. (2018). Quantifying the impact of sulfate geoengineering on mortality from air quality and UV-B exposure. </w:t>
      </w:r>
      <w:r w:rsidRPr="00C12D8F">
        <w:rPr>
          <w:rFonts w:ascii="Times New Roman" w:hAnsi="Times New Roman" w:cs="Times New Roman"/>
          <w:i/>
          <w:iCs/>
          <w:sz w:val="24"/>
          <w:szCs w:val="24"/>
        </w:rPr>
        <w:t>Atmospheric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187</w:t>
      </w:r>
      <w:r w:rsidRPr="00C12D8F">
        <w:rPr>
          <w:rFonts w:ascii="Times New Roman" w:hAnsi="Times New Roman" w:cs="Times New Roman"/>
          <w:sz w:val="24"/>
          <w:szCs w:val="24"/>
        </w:rPr>
        <w:t>, 424–434. https://doi.org/10.1016/j.atmosenv.2018.05.047</w:t>
      </w:r>
    </w:p>
    <w:p w14:paraId="4A16297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Elder, M., &amp; Zusman, E. (2016). </w:t>
      </w:r>
      <w:r w:rsidRPr="00C12D8F">
        <w:rPr>
          <w:rFonts w:ascii="Times New Roman" w:hAnsi="Times New Roman" w:cs="Times New Roman"/>
          <w:i/>
          <w:iCs/>
          <w:sz w:val="24"/>
          <w:szCs w:val="24"/>
        </w:rPr>
        <w:t>Strengthening the Linkages Between Air Pollution and the Sustainable Development Goals</w:t>
      </w:r>
      <w:r w:rsidRPr="00C12D8F">
        <w:rPr>
          <w:rFonts w:ascii="Times New Roman" w:hAnsi="Times New Roman" w:cs="Times New Roman"/>
          <w:sz w:val="24"/>
          <w:szCs w:val="24"/>
        </w:rPr>
        <w:t xml:space="preserve"> (Technical Report No. 35) (p. 11). Institute for Global Environmental Strategies. Retrieved from https://www.researchgate.net/publication/305116520_Strengthening_The_Linkages_Between_Air_Pollution_And_The_Sustainable_Development_Goals</w:t>
      </w:r>
    </w:p>
    <w:p w14:paraId="4F421DC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EMEP. (2021). European Monitoring and Evaluation Prgrarmme (EMEP). Retrieved November 18, 2021, from https://www.emep.int/</w:t>
      </w:r>
    </w:p>
    <w:p w14:paraId="367D9A8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Environment and Climate Change Canada. (2017, November 30). Canadian Air and Precipitation Monitoring Network [program descriptions]. Retrieved November 18, 2021, from https://www.canada.ca/en/environment-climate-change/services/air-pollution/monitoring-networks-data/canadian-air-precipitation.html</w:t>
      </w:r>
    </w:p>
    <w:p w14:paraId="0B9D5C0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European Drought Observatory. (2018). </w:t>
      </w:r>
      <w:r w:rsidRPr="00C12D8F">
        <w:rPr>
          <w:rFonts w:ascii="Times New Roman" w:hAnsi="Times New Roman" w:cs="Times New Roman"/>
          <w:i/>
          <w:iCs/>
          <w:sz w:val="24"/>
          <w:szCs w:val="24"/>
        </w:rPr>
        <w:t>Heat and Cold Wave Index</w:t>
      </w:r>
      <w:r w:rsidRPr="00C12D8F">
        <w:rPr>
          <w:rFonts w:ascii="Times New Roman" w:hAnsi="Times New Roman" w:cs="Times New Roman"/>
          <w:sz w:val="24"/>
          <w:szCs w:val="24"/>
        </w:rPr>
        <w:t xml:space="preserve"> (Factsheet) (p. 5). European Comission. Retrieved from https://edo.jrc.ec.europa.eu/documents/factsheets/factsheet_heatColdWaveIndex.pdf</w:t>
      </w:r>
    </w:p>
    <w:p w14:paraId="2EE104A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European Space Agency. (2022). Soil Moisture [Overviews and Factsheets]. Retrieved April 15, 2024, from https://climate.esa.int/en/projects/soil-moisture/</w:t>
      </w:r>
    </w:p>
    <w:p w14:paraId="097BB79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Eyring, V., Bony, S., Meehl, G. A., Senior, C. A., Stevens, B., Stouffer, R. J., &amp; Taylor, K. E. (2016). Overview of the Coupled Model Intercomparison Project Phase 6 (CMIP6) experimental design and organization. </w:t>
      </w:r>
      <w:r w:rsidRPr="00C12D8F">
        <w:rPr>
          <w:rFonts w:ascii="Times New Roman" w:hAnsi="Times New Roman" w:cs="Times New Roman"/>
          <w:i/>
          <w:iCs/>
          <w:sz w:val="24"/>
          <w:szCs w:val="24"/>
        </w:rPr>
        <w:t>Geoscientific Model Development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(5), 1937–1958. https://doi.org/10.5194/gmd-9-1937-2016</w:t>
      </w:r>
    </w:p>
    <w:p w14:paraId="6A3F9FB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Feeney, C. J., Cosby, B. J., Robinson, D. A., Thomas, A., Emmett, B. A., &amp; Henrys, P. (2022). Multiple soil map comparison highlights challenges for predicting topsoil organic carbon concentration at national scale.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w:t>
      </w:r>
      <w:r w:rsidRPr="00C12D8F">
        <w:rPr>
          <w:rFonts w:ascii="Times New Roman" w:hAnsi="Times New Roman" w:cs="Times New Roman"/>
          <w:sz w:val="24"/>
          <w:szCs w:val="24"/>
        </w:rPr>
        <w:t>(1), 1379. https://doi.org/10.1038/s41598-022-05476-5</w:t>
      </w:r>
    </w:p>
    <w:p w14:paraId="25DEB9E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Fenn, M. E., Baron, J., Allen, E. B., Rueth, H. M., Nydick, K. R., Geiser, L., et al. (2003). Ecological effects of nitrogen deposition in the western United States. </w:t>
      </w:r>
      <w:r w:rsidRPr="00C12D8F">
        <w:rPr>
          <w:rFonts w:ascii="Times New Roman" w:hAnsi="Times New Roman" w:cs="Times New Roman"/>
          <w:i/>
          <w:iCs/>
          <w:sz w:val="24"/>
          <w:szCs w:val="24"/>
        </w:rPr>
        <w:t>BioScience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53</w:t>
      </w:r>
      <w:r w:rsidRPr="00C12D8F">
        <w:rPr>
          <w:rFonts w:ascii="Times New Roman" w:hAnsi="Times New Roman" w:cs="Times New Roman"/>
          <w:sz w:val="24"/>
          <w:szCs w:val="24"/>
        </w:rPr>
        <w:t>(4), 404–420. https://doi.org/10.1641/0006-3568(2003)053[</w:t>
      </w:r>
      <w:proofErr w:type="gramStart"/>
      <w:r w:rsidRPr="00C12D8F">
        <w:rPr>
          <w:rFonts w:ascii="Times New Roman" w:hAnsi="Times New Roman" w:cs="Times New Roman"/>
          <w:sz w:val="24"/>
          <w:szCs w:val="24"/>
        </w:rPr>
        <w:t>0404:EEONDI</w:t>
      </w:r>
      <w:proofErr w:type="gramEnd"/>
      <w:r w:rsidRPr="00C12D8F">
        <w:rPr>
          <w:rFonts w:ascii="Times New Roman" w:hAnsi="Times New Roman" w:cs="Times New Roman"/>
          <w:sz w:val="24"/>
          <w:szCs w:val="24"/>
        </w:rPr>
        <w:t>]2.0.CO;2</w:t>
      </w:r>
    </w:p>
    <w:p w14:paraId="6C8E698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Fioletov, V. E., McLinden, C. A., Krotkov, N., Li, C., Joiner, J., Theys, N., et al. (2016). A global catalogue of large SO</w:t>
      </w:r>
      <w:r w:rsidRPr="00C12D8F">
        <w:rPr>
          <w:rFonts w:ascii="Times New Roman" w:hAnsi="Times New Roman" w:cs="Times New Roman"/>
          <w:sz w:val="24"/>
          <w:szCs w:val="24"/>
          <w:vertAlign w:val="subscript"/>
        </w:rPr>
        <w:t>2</w:t>
      </w:r>
      <w:r w:rsidRPr="00C12D8F">
        <w:rPr>
          <w:rFonts w:ascii="Times New Roman" w:hAnsi="Times New Roman" w:cs="Times New Roman"/>
          <w:sz w:val="24"/>
          <w:szCs w:val="24"/>
        </w:rPr>
        <w:t xml:space="preserve"> sources and emissions derived from the Ozone Monitoring Instrument.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16</w:t>
      </w:r>
      <w:r w:rsidRPr="00C12D8F">
        <w:rPr>
          <w:rFonts w:ascii="Times New Roman" w:hAnsi="Times New Roman" w:cs="Times New Roman"/>
          <w:sz w:val="24"/>
          <w:szCs w:val="24"/>
        </w:rPr>
        <w:t>(18), 11497–11519. https://doi.org/10.5194/acp-16-11497-2016</w:t>
      </w:r>
    </w:p>
    <w:p w14:paraId="2E73F42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Fiorini, A. C. O., Angelkorte, G., Maia, P. L., Bergman-Fonte, C., Vicente, C., Morais, T., et al. (2023). Sustainable aviation fuels must control induced land use change: an integrated assessment modelling exercise for Brazil.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18</w:t>
      </w:r>
      <w:r w:rsidRPr="00C12D8F">
        <w:rPr>
          <w:rFonts w:ascii="Times New Roman" w:hAnsi="Times New Roman" w:cs="Times New Roman"/>
          <w:sz w:val="24"/>
          <w:szCs w:val="24"/>
        </w:rPr>
        <w:t>(1), 014036. https://doi.org/10.1088/1748-9326/acaee1</w:t>
      </w:r>
    </w:p>
    <w:p w14:paraId="316A635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Fischer, E. M., &amp; Schär, C. (2010). Consistent geographical patterns of changes in high-impact European heatwaves. </w:t>
      </w:r>
      <w:r w:rsidRPr="00C12D8F">
        <w:rPr>
          <w:rFonts w:ascii="Times New Roman" w:hAnsi="Times New Roman" w:cs="Times New Roman"/>
          <w:i/>
          <w:iCs/>
          <w:sz w:val="24"/>
          <w:szCs w:val="24"/>
        </w:rPr>
        <w:t>Nature Geoscience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w:t>
      </w:r>
      <w:r w:rsidRPr="00C12D8F">
        <w:rPr>
          <w:rFonts w:ascii="Times New Roman" w:hAnsi="Times New Roman" w:cs="Times New Roman"/>
          <w:sz w:val="24"/>
          <w:szCs w:val="24"/>
        </w:rPr>
        <w:t>(6), 398–403. https://doi.org/10.1038/ngeo866</w:t>
      </w:r>
    </w:p>
    <w:p w14:paraId="5972056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Fisher, B. E. A. (1975). The </w:t>
      </w:r>
      <w:proofErr w:type="gramStart"/>
      <w:r w:rsidRPr="00C12D8F">
        <w:rPr>
          <w:rFonts w:ascii="Times New Roman" w:hAnsi="Times New Roman" w:cs="Times New Roman"/>
          <w:sz w:val="24"/>
          <w:szCs w:val="24"/>
        </w:rPr>
        <w:t>long range</w:t>
      </w:r>
      <w:proofErr w:type="gramEnd"/>
      <w:r w:rsidRPr="00C12D8F">
        <w:rPr>
          <w:rFonts w:ascii="Times New Roman" w:hAnsi="Times New Roman" w:cs="Times New Roman"/>
          <w:sz w:val="24"/>
          <w:szCs w:val="24"/>
        </w:rPr>
        <w:t xml:space="preserve"> transport of sulphur dioxide. </w:t>
      </w:r>
      <w:r w:rsidRPr="00C12D8F">
        <w:rPr>
          <w:rFonts w:ascii="Times New Roman" w:hAnsi="Times New Roman" w:cs="Times New Roman"/>
          <w:i/>
          <w:iCs/>
          <w:sz w:val="24"/>
          <w:szCs w:val="24"/>
        </w:rPr>
        <w:t>Atmospheric Environment (1967)</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(12), 1063–1070. https://doi.org/10.1016/0004-6981(75)90180-8</w:t>
      </w:r>
    </w:p>
    <w:p w14:paraId="06452EF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Flanigan, N. P., Bandara, R., Wang, F., Jastrzębowski, S., Hidayati, S. N., &amp; Walck, J. L. (2020). Germination responses to winter warm spells and warming vary widely among woody plants in a temperate forest. </w:t>
      </w:r>
      <w:r w:rsidRPr="00C12D8F">
        <w:rPr>
          <w:rFonts w:ascii="Times New Roman" w:hAnsi="Times New Roman" w:cs="Times New Roman"/>
          <w:i/>
          <w:iCs/>
          <w:sz w:val="24"/>
          <w:szCs w:val="24"/>
        </w:rPr>
        <w:t>Plant Biology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22</w:t>
      </w:r>
      <w:r w:rsidRPr="00C12D8F">
        <w:rPr>
          <w:rFonts w:ascii="Times New Roman" w:hAnsi="Times New Roman" w:cs="Times New Roman"/>
          <w:sz w:val="24"/>
          <w:szCs w:val="24"/>
        </w:rPr>
        <w:t>(6), 1052–1061. https://doi.org/10.1111/plb.13152</w:t>
      </w:r>
    </w:p>
    <w:p w14:paraId="27283DB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Fowler, A. F., Basso, B., Millar, N., &amp; Brinton, W. F. (2023). A simple soil mass correction for a more accurate determination of soil carbon stock changes.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13</w:t>
      </w:r>
      <w:r w:rsidRPr="00C12D8F">
        <w:rPr>
          <w:rFonts w:ascii="Times New Roman" w:hAnsi="Times New Roman" w:cs="Times New Roman"/>
          <w:sz w:val="24"/>
          <w:szCs w:val="24"/>
        </w:rPr>
        <w:t>(1), 2242. https://doi.org/10.1038/s41598-023-29289-2</w:t>
      </w:r>
    </w:p>
    <w:p w14:paraId="4DD5140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Frank, D., Reichstein, M., Bahn, M., Thonicke, K., Frank, D., Mahecha, M. D., et al. (2015). Effects of climate extremes on the terrestrial carbon cycle: concepts, processes and potential future impacts. </w:t>
      </w:r>
      <w:r w:rsidRPr="00C12D8F">
        <w:rPr>
          <w:rFonts w:ascii="Times New Roman" w:hAnsi="Times New Roman" w:cs="Times New Roman"/>
          <w:i/>
          <w:iCs/>
          <w:sz w:val="24"/>
          <w:szCs w:val="24"/>
        </w:rPr>
        <w:t>Global Change Biology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21</w:t>
      </w:r>
      <w:r w:rsidRPr="00C12D8F">
        <w:rPr>
          <w:rFonts w:ascii="Times New Roman" w:hAnsi="Times New Roman" w:cs="Times New Roman"/>
          <w:sz w:val="24"/>
          <w:szCs w:val="24"/>
        </w:rPr>
        <w:t>(8), 2861–2880. https://doi.org/10.1111/gcb.12916</w:t>
      </w:r>
    </w:p>
    <w:p w14:paraId="026D923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Frich, P., Alexander, L. V., Della-Marta, P., Gleason, B., Haylock, M., Tank, A. M. G. K., &amp; Peterson, T. (2002). Observed coherent changes in climatic extremes during the second half of the twentieth century. </w:t>
      </w:r>
      <w:r w:rsidRPr="00C12D8F">
        <w:rPr>
          <w:rFonts w:ascii="Times New Roman" w:hAnsi="Times New Roman" w:cs="Times New Roman"/>
          <w:i/>
          <w:iCs/>
          <w:sz w:val="24"/>
          <w:szCs w:val="24"/>
        </w:rPr>
        <w:t>Climate Research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19</w:t>
      </w:r>
      <w:r w:rsidRPr="00C12D8F">
        <w:rPr>
          <w:rFonts w:ascii="Times New Roman" w:hAnsi="Times New Roman" w:cs="Times New Roman"/>
          <w:sz w:val="24"/>
          <w:szCs w:val="24"/>
        </w:rPr>
        <w:t>(3), 193–212. https://doi.org/10.3354/cr019193</w:t>
      </w:r>
    </w:p>
    <w:p w14:paraId="408EA9E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Friedlingstein, P., O’Sullivan, M., Jones, M. W., Andrew, R. M., Hauck, J., Olsen, A., et al. (2020). Global Carbon Budget 2020. </w:t>
      </w:r>
      <w:r w:rsidRPr="00C12D8F">
        <w:rPr>
          <w:rFonts w:ascii="Times New Roman" w:hAnsi="Times New Roman" w:cs="Times New Roman"/>
          <w:i/>
          <w:iCs/>
          <w:sz w:val="24"/>
          <w:szCs w:val="24"/>
        </w:rPr>
        <w:t>Earth System Science Data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w:t>
      </w:r>
      <w:r w:rsidRPr="00C12D8F">
        <w:rPr>
          <w:rFonts w:ascii="Times New Roman" w:hAnsi="Times New Roman" w:cs="Times New Roman"/>
          <w:sz w:val="24"/>
          <w:szCs w:val="24"/>
        </w:rPr>
        <w:t>(4), 3269–3340. https://doi.org/10.5194/essd-12-3269-2020</w:t>
      </w:r>
    </w:p>
    <w:p w14:paraId="3C1A15E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Fu, J. S., Carmichael, G. R., Dentener, F., Aas, W., Andersson, C., Barrie, L. A., et al. (2022). Improving Estimates of Sulfur, Nitrogen, and Ozone Total Deposition through Multi-Model and Measurement-Model Fusion Approaches. </w:t>
      </w:r>
      <w:r w:rsidRPr="00C12D8F">
        <w:rPr>
          <w:rFonts w:ascii="Times New Roman" w:hAnsi="Times New Roman" w:cs="Times New Roman"/>
          <w:i/>
          <w:iCs/>
          <w:sz w:val="24"/>
          <w:szCs w:val="24"/>
        </w:rPr>
        <w:t>Environmental Science &amp; Technology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56</w:t>
      </w:r>
      <w:r w:rsidRPr="00C12D8F">
        <w:rPr>
          <w:rFonts w:ascii="Times New Roman" w:hAnsi="Times New Roman" w:cs="Times New Roman"/>
          <w:sz w:val="24"/>
          <w:szCs w:val="24"/>
        </w:rPr>
        <w:t>(4), 2134–2142. https://doi.org/10.1021/acs.est.1c05929</w:t>
      </w:r>
    </w:p>
    <w:p w14:paraId="4FC66AB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Galloway, J. N. (1995). Acid deposition: Perspectives in time and space. </w:t>
      </w:r>
      <w:r w:rsidRPr="00C12D8F">
        <w:rPr>
          <w:rFonts w:ascii="Times New Roman" w:hAnsi="Times New Roman" w:cs="Times New Roman"/>
          <w:i/>
          <w:iCs/>
          <w:sz w:val="24"/>
          <w:szCs w:val="24"/>
        </w:rPr>
        <w:t>Water, Air, and Soil Pollution</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85</w:t>
      </w:r>
      <w:r w:rsidRPr="00C12D8F">
        <w:rPr>
          <w:rFonts w:ascii="Times New Roman" w:hAnsi="Times New Roman" w:cs="Times New Roman"/>
          <w:sz w:val="24"/>
          <w:szCs w:val="24"/>
        </w:rPr>
        <w:t>(1), 15–24. https://doi.org/10.1007/BF00483685</w:t>
      </w:r>
    </w:p>
    <w:p w14:paraId="09F8289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Galy-Lacaux, C., Delon, C., Solmon, F., Adon, M., Yoboué, V., Mphepya, J., et al. (2014). Dry and Wet Atmospheric Nitrogen Deposition in West Central Africa. In M. A. Sutton, K. E. Mason, L. J. Sheppard, H. Sverdrup, R. Haeuber, &amp; W. K. Hicks (Eds.), </w:t>
      </w:r>
      <w:r w:rsidRPr="00C12D8F">
        <w:rPr>
          <w:rFonts w:ascii="Times New Roman" w:hAnsi="Times New Roman" w:cs="Times New Roman"/>
          <w:i/>
          <w:iCs/>
          <w:sz w:val="24"/>
          <w:szCs w:val="24"/>
        </w:rPr>
        <w:t>Nitrogen Deposition, Critical Loads and Biodiversity</w:t>
      </w:r>
      <w:r w:rsidRPr="00C12D8F">
        <w:rPr>
          <w:rFonts w:ascii="Times New Roman" w:hAnsi="Times New Roman" w:cs="Times New Roman"/>
          <w:sz w:val="24"/>
          <w:szCs w:val="24"/>
        </w:rPr>
        <w:t xml:space="preserve"> (pp. 83–91). Dordrecht: Springer Netherlands. https://doi.org/10.1007/978-94-007-7939-6_10</w:t>
      </w:r>
    </w:p>
    <w:p w14:paraId="1039573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Gao, Y., Fu, J. S., Drake, J. B., Liu, Y., &amp; Lamarque, J.-F. (2012). Projected changes of extreme weather events in the eastern United States based on a </w:t>
      </w:r>
      <w:proofErr w:type="gramStart"/>
      <w:r w:rsidRPr="00C12D8F">
        <w:rPr>
          <w:rFonts w:ascii="Times New Roman" w:hAnsi="Times New Roman" w:cs="Times New Roman"/>
          <w:sz w:val="24"/>
          <w:szCs w:val="24"/>
        </w:rPr>
        <w:t>high resolution</w:t>
      </w:r>
      <w:proofErr w:type="gramEnd"/>
      <w:r w:rsidRPr="00C12D8F">
        <w:rPr>
          <w:rFonts w:ascii="Times New Roman" w:hAnsi="Times New Roman" w:cs="Times New Roman"/>
          <w:sz w:val="24"/>
          <w:szCs w:val="24"/>
        </w:rPr>
        <w:t xml:space="preserve"> climate modeling system.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w:t>
      </w:r>
      <w:r w:rsidRPr="00C12D8F">
        <w:rPr>
          <w:rFonts w:ascii="Times New Roman" w:hAnsi="Times New Roman" w:cs="Times New Roman"/>
          <w:sz w:val="24"/>
          <w:szCs w:val="24"/>
        </w:rPr>
        <w:t>(4), 044025. https://doi.org/10.1088/1748-9326/7/4/044025</w:t>
      </w:r>
    </w:p>
    <w:p w14:paraId="02D2805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Gautam, S., Mishra, U., Scown, C. D., Wills, S. A., Adhikari, K., &amp; Drewniak, B. A. (2022). Continental United States may lose 1.8 petagrams of soil organic carbon under climate change by 2100. </w:t>
      </w:r>
      <w:r w:rsidRPr="00C12D8F">
        <w:rPr>
          <w:rFonts w:ascii="Times New Roman" w:hAnsi="Times New Roman" w:cs="Times New Roman"/>
          <w:i/>
          <w:iCs/>
          <w:sz w:val="24"/>
          <w:szCs w:val="24"/>
        </w:rPr>
        <w:t>Global Ecology and Biogeography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31</w:t>
      </w:r>
      <w:r w:rsidRPr="00C12D8F">
        <w:rPr>
          <w:rFonts w:ascii="Times New Roman" w:hAnsi="Times New Roman" w:cs="Times New Roman"/>
          <w:sz w:val="24"/>
          <w:szCs w:val="24"/>
        </w:rPr>
        <w:t>(6), 1147–1160. https://doi.org/10.1111/geb.13489</w:t>
      </w:r>
    </w:p>
    <w:p w14:paraId="609344E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Ge, J., Xu, W., Liu, Q., Tang, Z., &amp; Xie, Z. (2020). Patterns and environmental controls of soil organic carbon density in Chinese shrublands. </w:t>
      </w:r>
      <w:r w:rsidRPr="00C12D8F">
        <w:rPr>
          <w:rFonts w:ascii="Times New Roman" w:hAnsi="Times New Roman" w:cs="Times New Roman"/>
          <w:i/>
          <w:iCs/>
          <w:sz w:val="24"/>
          <w:szCs w:val="24"/>
        </w:rPr>
        <w:t>Geoderma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363</w:t>
      </w:r>
      <w:r w:rsidRPr="00C12D8F">
        <w:rPr>
          <w:rFonts w:ascii="Times New Roman" w:hAnsi="Times New Roman" w:cs="Times New Roman"/>
          <w:sz w:val="24"/>
          <w:szCs w:val="24"/>
        </w:rPr>
        <w:t>, 114161. https://doi.org/10.1016/j.geoderma.2019.114161</w:t>
      </w:r>
    </w:p>
    <w:p w14:paraId="0CC738F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Ge, X., Yu, Q., Duan, L., Zhao, Y., Posch, M., &amp; Hao, J. (2023). High-resolution maps of critical loads for sulfur and nitrogen in China. </w:t>
      </w:r>
      <w:r w:rsidRPr="00C12D8F">
        <w:rPr>
          <w:rFonts w:ascii="Times New Roman" w:hAnsi="Times New Roman" w:cs="Times New Roman"/>
          <w:i/>
          <w:iCs/>
          <w:sz w:val="24"/>
          <w:szCs w:val="24"/>
        </w:rPr>
        <w:t>Scientific Data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w:t>
      </w:r>
      <w:r w:rsidRPr="00C12D8F">
        <w:rPr>
          <w:rFonts w:ascii="Times New Roman" w:hAnsi="Times New Roman" w:cs="Times New Roman"/>
          <w:sz w:val="24"/>
          <w:szCs w:val="24"/>
        </w:rPr>
        <w:t>(1), 339. https://doi.org/10.1038/s41597-023-02178-z</w:t>
      </w:r>
    </w:p>
    <w:p w14:paraId="51E0836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Geddes, J. A., &amp; Martin, R. V. (2017). Global deposition of total reactive nitrogen oxides from 1996 to 2014 constrained with satellite observations of NO</w:t>
      </w:r>
      <w:r w:rsidRPr="00C12D8F">
        <w:rPr>
          <w:rFonts w:ascii="Times New Roman" w:hAnsi="Times New Roman" w:cs="Times New Roman"/>
          <w:sz w:val="24"/>
          <w:szCs w:val="24"/>
          <w:vertAlign w:val="subscript"/>
        </w:rPr>
        <w:t>2</w:t>
      </w:r>
      <w:r w:rsidRPr="00C12D8F">
        <w:rPr>
          <w:rFonts w:ascii="Times New Roman" w:hAnsi="Times New Roman" w:cs="Times New Roman"/>
          <w:sz w:val="24"/>
          <w:szCs w:val="24"/>
        </w:rPr>
        <w:t xml:space="preserve"> columns.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17</w:t>
      </w:r>
      <w:r w:rsidRPr="00C12D8F">
        <w:rPr>
          <w:rFonts w:ascii="Times New Roman" w:hAnsi="Times New Roman" w:cs="Times New Roman"/>
          <w:sz w:val="24"/>
          <w:szCs w:val="24"/>
        </w:rPr>
        <w:t>(16), 10071–10091. https://doi.org/10.5194/acp-17-10071-2017</w:t>
      </w:r>
    </w:p>
    <w:p w14:paraId="2D1D674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Geddes, J. A., Murphy, J. G., O’Brien, J. M., &amp; Celarier, E. A. (2012). Biases in long-term NO2 averages inferred from satellite observations due to cloud selection criteria. </w:t>
      </w:r>
      <w:r w:rsidRPr="00C12D8F">
        <w:rPr>
          <w:rFonts w:ascii="Times New Roman" w:hAnsi="Times New Roman" w:cs="Times New Roman"/>
          <w:i/>
          <w:iCs/>
          <w:sz w:val="24"/>
          <w:szCs w:val="24"/>
        </w:rPr>
        <w:t>Remote Sensing of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124</w:t>
      </w:r>
      <w:r w:rsidRPr="00C12D8F">
        <w:rPr>
          <w:rFonts w:ascii="Times New Roman" w:hAnsi="Times New Roman" w:cs="Times New Roman"/>
          <w:sz w:val="24"/>
          <w:szCs w:val="24"/>
        </w:rPr>
        <w:t>, 210–216. https://doi.org/10.1016/j.rse.2012.05.008</w:t>
      </w:r>
    </w:p>
    <w:p w14:paraId="5C0EC682"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Gehlke, C. E., &amp; Biehl, K. (1934). Certain Effects of Grouping upon the Size of the Correlation Coefficient in Census Tract Material. </w:t>
      </w:r>
      <w:r w:rsidRPr="00C12D8F">
        <w:rPr>
          <w:rFonts w:ascii="Times New Roman" w:hAnsi="Times New Roman" w:cs="Times New Roman"/>
          <w:i/>
          <w:iCs/>
          <w:sz w:val="24"/>
          <w:szCs w:val="24"/>
        </w:rPr>
        <w:t>Journal of the American Statistical Association</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29</w:t>
      </w:r>
      <w:r w:rsidRPr="00C12D8F">
        <w:rPr>
          <w:rFonts w:ascii="Times New Roman" w:hAnsi="Times New Roman" w:cs="Times New Roman"/>
          <w:sz w:val="24"/>
          <w:szCs w:val="24"/>
        </w:rPr>
        <w:t>(185A), 169-170].</w:t>
      </w:r>
    </w:p>
    <w:p w14:paraId="3DE2554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Geiser, L. H., Root, H., Smith, R. J., Jovan, S. E., St Clair, L., &amp; Dillman, K. L. (2021). Lichen-based critical loads for deposition of nitrogen and sulfur in US forests. </w:t>
      </w:r>
      <w:r w:rsidRPr="00C12D8F">
        <w:rPr>
          <w:rFonts w:ascii="Times New Roman" w:hAnsi="Times New Roman" w:cs="Times New Roman"/>
          <w:i/>
          <w:iCs/>
          <w:sz w:val="24"/>
          <w:szCs w:val="24"/>
        </w:rPr>
        <w:t>Environmental Pollution</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291</w:t>
      </w:r>
      <w:r w:rsidRPr="00C12D8F">
        <w:rPr>
          <w:rFonts w:ascii="Times New Roman" w:hAnsi="Times New Roman" w:cs="Times New Roman"/>
          <w:sz w:val="24"/>
          <w:szCs w:val="24"/>
        </w:rPr>
        <w:t>, 118187. https://doi.org/10.1016/j.envpol.2021.118187</w:t>
      </w:r>
    </w:p>
    <w:p w14:paraId="2EEE356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Gholizadeh, A., Žižala, D., Saberioon, M., &amp; Borůvka, L. (2018). Soil organic carbon and texture retrieving and mapping using proximal, airborne and Sentinel-2 spectral imaging. </w:t>
      </w:r>
      <w:r w:rsidRPr="00C12D8F">
        <w:rPr>
          <w:rFonts w:ascii="Times New Roman" w:hAnsi="Times New Roman" w:cs="Times New Roman"/>
          <w:i/>
          <w:iCs/>
          <w:sz w:val="24"/>
          <w:szCs w:val="24"/>
        </w:rPr>
        <w:t>Remote Sensing of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218</w:t>
      </w:r>
      <w:r w:rsidRPr="00C12D8F">
        <w:rPr>
          <w:rFonts w:ascii="Times New Roman" w:hAnsi="Times New Roman" w:cs="Times New Roman"/>
          <w:sz w:val="24"/>
          <w:szCs w:val="24"/>
        </w:rPr>
        <w:t>, 89–103. https://doi.org/10.1016/j.rse.2018.09.015</w:t>
      </w:r>
    </w:p>
    <w:p w14:paraId="038445A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Grace, P. R., Colunga-Garcia, M., Gage, S. H., Robertson, G. P., &amp; Safir, G. R. (2006). The Potential Impact of Agricultural Management and Climate Change on Soil Organic Carbon of the North Central Region of the United States. </w:t>
      </w:r>
      <w:r w:rsidRPr="00C12D8F">
        <w:rPr>
          <w:rFonts w:ascii="Times New Roman" w:hAnsi="Times New Roman" w:cs="Times New Roman"/>
          <w:i/>
          <w:iCs/>
          <w:sz w:val="24"/>
          <w:szCs w:val="24"/>
        </w:rPr>
        <w:t>Ecosystems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(5), 816–827. https://doi.org/10.1007/s10021-004-0096-9</w:t>
      </w:r>
    </w:p>
    <w:p w14:paraId="0470F43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Gregorich, E. G., Janzen, H., Ellert, B. H., Helgason, B. L., Qian, B., Zebarth, B. J., et al. (2017). Litter decay controlled by temperature, not soil properties, affecting future soil carbon. </w:t>
      </w:r>
      <w:r w:rsidRPr="00C12D8F">
        <w:rPr>
          <w:rFonts w:ascii="Times New Roman" w:hAnsi="Times New Roman" w:cs="Times New Roman"/>
          <w:i/>
          <w:iCs/>
          <w:sz w:val="24"/>
          <w:szCs w:val="24"/>
        </w:rPr>
        <w:t>Global Change Biology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23</w:t>
      </w:r>
      <w:r w:rsidRPr="00C12D8F">
        <w:rPr>
          <w:rFonts w:ascii="Times New Roman" w:hAnsi="Times New Roman" w:cs="Times New Roman"/>
          <w:sz w:val="24"/>
          <w:szCs w:val="24"/>
        </w:rPr>
        <w:t>(4), 1725–1734. https://doi.org/10.1111/gcb.13502</w:t>
      </w:r>
    </w:p>
    <w:p w14:paraId="7C55553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Gu, L., Baldocchi, D. D., Wofsy, S. C., Munger, J. W., Michalsky, J. J., Urbanski, S. P., &amp; Boden, T. A. (2003). Response of a Deciduous Forest to the Mount Pinatubo Eruption: </w:t>
      </w:r>
      <w:r w:rsidRPr="00C12D8F">
        <w:rPr>
          <w:rFonts w:ascii="Times New Roman" w:hAnsi="Times New Roman" w:cs="Times New Roman"/>
          <w:sz w:val="24"/>
          <w:szCs w:val="24"/>
        </w:rPr>
        <w:lastRenderedPageBreak/>
        <w:t xml:space="preserve">Enhanced Photosynthesis. </w:t>
      </w:r>
      <w:r w:rsidRPr="00C12D8F">
        <w:rPr>
          <w:rFonts w:ascii="Times New Roman" w:hAnsi="Times New Roman" w:cs="Times New Roman"/>
          <w:i/>
          <w:iCs/>
          <w:sz w:val="24"/>
          <w:szCs w:val="24"/>
        </w:rPr>
        <w:t>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299</w:t>
      </w:r>
      <w:r w:rsidRPr="00C12D8F">
        <w:rPr>
          <w:rFonts w:ascii="Times New Roman" w:hAnsi="Times New Roman" w:cs="Times New Roman"/>
          <w:sz w:val="24"/>
          <w:szCs w:val="24"/>
        </w:rPr>
        <w:t>(5615), 2035–2038. https://doi.org/10.1126/science.1078366</w:t>
      </w:r>
    </w:p>
    <w:p w14:paraId="70B40A0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Guan, S., Zhang, X., Zhao, W., Duan, Y., Yang, S., Yao, Y., &amp; Jia, K. (2023). A similarity distance-based space-time random forest model for estimating PM2.5 concentrations over China. </w:t>
      </w:r>
      <w:r w:rsidRPr="00C12D8F">
        <w:rPr>
          <w:rFonts w:ascii="Times New Roman" w:hAnsi="Times New Roman" w:cs="Times New Roman"/>
          <w:i/>
          <w:iCs/>
          <w:sz w:val="24"/>
          <w:szCs w:val="24"/>
        </w:rPr>
        <w:t>Atmospheric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313</w:t>
      </w:r>
      <w:r w:rsidRPr="00C12D8F">
        <w:rPr>
          <w:rFonts w:ascii="Times New Roman" w:hAnsi="Times New Roman" w:cs="Times New Roman"/>
          <w:sz w:val="24"/>
          <w:szCs w:val="24"/>
        </w:rPr>
        <w:t>, 120043. https://doi.org/10.1016/j.atmosenv.2023.120043</w:t>
      </w:r>
    </w:p>
    <w:p w14:paraId="45F0CA8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Guevara, M., Arroyo-Cruz, C. E., Brunsell, N., Cruz-Gaistardo, C. O., Domke, G. M., Equihua, J., et al. (2020). Soil Organic Carbon Estimates for 30-cm Depth, Mexico and Conterminous USA, 1991-2011. </w:t>
      </w:r>
      <w:r w:rsidRPr="00C12D8F">
        <w:rPr>
          <w:rFonts w:ascii="Times New Roman" w:hAnsi="Times New Roman" w:cs="Times New Roman"/>
          <w:i/>
          <w:iCs/>
          <w:sz w:val="24"/>
          <w:szCs w:val="24"/>
        </w:rPr>
        <w:t>ORNL DAAC</w:t>
      </w:r>
      <w:r w:rsidRPr="00C12D8F">
        <w:rPr>
          <w:rFonts w:ascii="Times New Roman" w:hAnsi="Times New Roman" w:cs="Times New Roman"/>
          <w:sz w:val="24"/>
          <w:szCs w:val="24"/>
        </w:rPr>
        <w:t>. https://doi.org/10.3334/ORNLDAAC/1737</w:t>
      </w:r>
    </w:p>
    <w:p w14:paraId="4195F10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Guevara, Mario, Arroyo, C., Brunsell, N., Cruz, C. O., Domke, G., Equihua, J., et al. (2020). Soil Organic Carbon Across Mexico and the Conterminous United States (1991–2010). </w:t>
      </w:r>
      <w:r w:rsidRPr="00C12D8F">
        <w:rPr>
          <w:rFonts w:ascii="Times New Roman" w:hAnsi="Times New Roman" w:cs="Times New Roman"/>
          <w:i/>
          <w:iCs/>
          <w:sz w:val="24"/>
          <w:szCs w:val="24"/>
        </w:rPr>
        <w:t>Global Biogeochemical Cycles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34</w:t>
      </w:r>
      <w:r w:rsidRPr="00C12D8F">
        <w:rPr>
          <w:rFonts w:ascii="Times New Roman" w:hAnsi="Times New Roman" w:cs="Times New Roman"/>
          <w:sz w:val="24"/>
          <w:szCs w:val="24"/>
        </w:rPr>
        <w:t>(3), e2019GB006219. https://doi.org/10.1029/2019GB006219</w:t>
      </w:r>
    </w:p>
    <w:p w14:paraId="304DB4C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Guo, B., Zhang, D., Pei, L., Su, Y., Wang, X., Bian, Y., et al. (2021). Estimating PM2.5 concentrations via random forest method using satellite, auxiliary, and ground-level station dataset at multiple temporal scales across China in 2017. </w:t>
      </w:r>
      <w:r w:rsidRPr="00C12D8F">
        <w:rPr>
          <w:rFonts w:ascii="Times New Roman" w:hAnsi="Times New Roman" w:cs="Times New Roman"/>
          <w:i/>
          <w:iCs/>
          <w:sz w:val="24"/>
          <w:szCs w:val="24"/>
        </w:rPr>
        <w:t>Science of The Total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778</w:t>
      </w:r>
      <w:r w:rsidRPr="00C12D8F">
        <w:rPr>
          <w:rFonts w:ascii="Times New Roman" w:hAnsi="Times New Roman" w:cs="Times New Roman"/>
          <w:sz w:val="24"/>
          <w:szCs w:val="24"/>
        </w:rPr>
        <w:t>, 146288. https://doi.org/10.1016/j.scitotenv.2021.146288</w:t>
      </w:r>
    </w:p>
    <w:p w14:paraId="301BFD9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Guo, H., Du, E., Terrer, C., &amp; Jackson, R. B. (2024). Global distribution of surface soil organic carbon in urban </w:t>
      </w:r>
      <w:proofErr w:type="gramStart"/>
      <w:r w:rsidRPr="00C12D8F">
        <w:rPr>
          <w:rFonts w:ascii="Times New Roman" w:hAnsi="Times New Roman" w:cs="Times New Roman"/>
          <w:sz w:val="24"/>
          <w:szCs w:val="24"/>
        </w:rPr>
        <w:t>greenspaces</w:t>
      </w:r>
      <w:proofErr w:type="gramEnd"/>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Nature Communications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15</w:t>
      </w:r>
      <w:r w:rsidRPr="00C12D8F">
        <w:rPr>
          <w:rFonts w:ascii="Times New Roman" w:hAnsi="Times New Roman" w:cs="Times New Roman"/>
          <w:sz w:val="24"/>
          <w:szCs w:val="24"/>
        </w:rPr>
        <w:t>(1), 806. https://doi.org/10.1038/s41467-024-44887-y</w:t>
      </w:r>
    </w:p>
    <w:p w14:paraId="3CDC93E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Hargrove, W. W., &amp; Hoffman, F. M. (2004). Potential of Multivariate Quantitative Methods for Delineation and Visualization of Ecoregions. </w:t>
      </w:r>
      <w:r w:rsidRPr="00C12D8F">
        <w:rPr>
          <w:rFonts w:ascii="Times New Roman" w:hAnsi="Times New Roman" w:cs="Times New Roman"/>
          <w:i/>
          <w:iCs/>
          <w:sz w:val="24"/>
          <w:szCs w:val="24"/>
        </w:rPr>
        <w:t>Environmental Management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34</w:t>
      </w:r>
      <w:r w:rsidRPr="00C12D8F">
        <w:rPr>
          <w:rFonts w:ascii="Times New Roman" w:hAnsi="Times New Roman" w:cs="Times New Roman"/>
          <w:sz w:val="24"/>
          <w:szCs w:val="24"/>
        </w:rPr>
        <w:t>(1), S39–S60. https://doi.org/10.1007/s00267-003-1084-0</w:t>
      </w:r>
    </w:p>
    <w:p w14:paraId="7521C22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Hargrove, W. W., Hoffman, F. M., &amp; Hessburg, P. F. (2006). Mapcurves: a quantitative method for comparing categorical maps. </w:t>
      </w:r>
      <w:r w:rsidRPr="00C12D8F">
        <w:rPr>
          <w:rFonts w:ascii="Times New Roman" w:hAnsi="Times New Roman" w:cs="Times New Roman"/>
          <w:i/>
          <w:iCs/>
          <w:sz w:val="24"/>
          <w:szCs w:val="24"/>
        </w:rPr>
        <w:t>Journal of Geographical Systems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w:t>
      </w:r>
      <w:r w:rsidRPr="00C12D8F">
        <w:rPr>
          <w:rFonts w:ascii="Times New Roman" w:hAnsi="Times New Roman" w:cs="Times New Roman"/>
          <w:sz w:val="24"/>
          <w:szCs w:val="24"/>
        </w:rPr>
        <w:t>(2), 187. https://doi.org/10.1007/s10109-006-0025-x</w:t>
      </w:r>
    </w:p>
    <w:p w14:paraId="2B23355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He, C., Kim, H., Hashizume, M., Lee, W., Honda, Y., Kim, S. E., et al. (2022). The effects of night-time warming on mortality burden under future climate change scenarios: a modelling study. </w:t>
      </w:r>
      <w:r w:rsidRPr="00C12D8F">
        <w:rPr>
          <w:rFonts w:ascii="Times New Roman" w:hAnsi="Times New Roman" w:cs="Times New Roman"/>
          <w:i/>
          <w:iCs/>
          <w:sz w:val="24"/>
          <w:szCs w:val="24"/>
        </w:rPr>
        <w:t>The Lancet Planetary Health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w:t>
      </w:r>
      <w:r w:rsidRPr="00C12D8F">
        <w:rPr>
          <w:rFonts w:ascii="Times New Roman" w:hAnsi="Times New Roman" w:cs="Times New Roman"/>
          <w:sz w:val="24"/>
          <w:szCs w:val="24"/>
        </w:rPr>
        <w:t>(8), e648–e657. https://doi.org/10.1016/S2542-5196(22)00139-5</w:t>
      </w:r>
    </w:p>
    <w:p w14:paraId="00C1B07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Heisler, J., Glibert, P. M., Burkholder, J. M., Anderson, D. M., Cochlan, W., Dennison, W</w:t>
      </w:r>
      <w:proofErr w:type="gramStart"/>
      <w:r w:rsidRPr="00C12D8F">
        <w:rPr>
          <w:rFonts w:ascii="Times New Roman" w:hAnsi="Times New Roman" w:cs="Times New Roman"/>
          <w:sz w:val="24"/>
          <w:szCs w:val="24"/>
        </w:rPr>
        <w:t>. C.</w:t>
      </w:r>
      <w:proofErr w:type="gramEnd"/>
      <w:r w:rsidRPr="00C12D8F">
        <w:rPr>
          <w:rFonts w:ascii="Times New Roman" w:hAnsi="Times New Roman" w:cs="Times New Roman"/>
          <w:sz w:val="24"/>
          <w:szCs w:val="24"/>
        </w:rPr>
        <w:t xml:space="preserve">, et al. (2008). Eutrophication and harmful algal blooms: A scientific consensus. </w:t>
      </w:r>
      <w:r w:rsidRPr="00C12D8F">
        <w:rPr>
          <w:rFonts w:ascii="Times New Roman" w:hAnsi="Times New Roman" w:cs="Times New Roman"/>
          <w:i/>
          <w:iCs/>
          <w:sz w:val="24"/>
          <w:szCs w:val="24"/>
        </w:rPr>
        <w:t>Harmful Algae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w:t>
      </w:r>
      <w:r w:rsidRPr="00C12D8F">
        <w:rPr>
          <w:rFonts w:ascii="Times New Roman" w:hAnsi="Times New Roman" w:cs="Times New Roman"/>
          <w:sz w:val="24"/>
          <w:szCs w:val="24"/>
        </w:rPr>
        <w:t>(1), 3–13. https://doi.org/10.1016/j.hal.2008.08.006</w:t>
      </w:r>
    </w:p>
    <w:p w14:paraId="219B434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Hengl, T., Mendes De Jesus, J., Heuvelink, G. B. M., Ruiperez Gonzalez, M., Kilibarda, M., Blagotić, A., et al. (2017). SoilGrids250m: Global gridded soil information based on machine learning. </w:t>
      </w:r>
      <w:r w:rsidRPr="00C12D8F">
        <w:rPr>
          <w:rFonts w:ascii="Times New Roman" w:hAnsi="Times New Roman" w:cs="Times New Roman"/>
          <w:i/>
          <w:iCs/>
          <w:sz w:val="24"/>
          <w:szCs w:val="24"/>
        </w:rPr>
        <w:t>PLOS ONE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w:t>
      </w:r>
      <w:r w:rsidRPr="00C12D8F">
        <w:rPr>
          <w:rFonts w:ascii="Times New Roman" w:hAnsi="Times New Roman" w:cs="Times New Roman"/>
          <w:sz w:val="24"/>
          <w:szCs w:val="24"/>
        </w:rPr>
        <w:t>(2), e0169748. https://doi.org/10.1371/journal.pone.0169748</w:t>
      </w:r>
    </w:p>
    <w:p w14:paraId="5C7105A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Hepburn, C., Adlen, E., Beddington, J., Carter, E. A., Fuss, S., Mac Dowell, N., et al. (2019). The technological and economic prospects for CO2 utilization and removal. </w:t>
      </w:r>
      <w:r w:rsidRPr="00C12D8F">
        <w:rPr>
          <w:rFonts w:ascii="Times New Roman" w:hAnsi="Times New Roman" w:cs="Times New Roman"/>
          <w:i/>
          <w:iCs/>
          <w:sz w:val="24"/>
          <w:szCs w:val="24"/>
        </w:rPr>
        <w:t>Nature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575</w:t>
      </w:r>
      <w:r w:rsidRPr="00C12D8F">
        <w:rPr>
          <w:rFonts w:ascii="Times New Roman" w:hAnsi="Times New Roman" w:cs="Times New Roman"/>
          <w:sz w:val="24"/>
          <w:szCs w:val="24"/>
        </w:rPr>
        <w:t>(7781), 87–97. https://doi.org/10.1038/s41586-019-1681-6</w:t>
      </w:r>
    </w:p>
    <w:p w14:paraId="76F2137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Heuvelink, G. B. M., Angelini, M. E., Poggio, L., Bai, Z., Batjes, N. H., van den Bosch, R., et al. (2021). Machine learning in space and time for modelling soil organic carbon change. </w:t>
      </w:r>
      <w:r w:rsidRPr="00C12D8F">
        <w:rPr>
          <w:rFonts w:ascii="Times New Roman" w:hAnsi="Times New Roman" w:cs="Times New Roman"/>
          <w:i/>
          <w:iCs/>
          <w:sz w:val="24"/>
          <w:szCs w:val="24"/>
        </w:rPr>
        <w:t>European Journal of Soil 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72</w:t>
      </w:r>
      <w:r w:rsidRPr="00C12D8F">
        <w:rPr>
          <w:rFonts w:ascii="Times New Roman" w:hAnsi="Times New Roman" w:cs="Times New Roman"/>
          <w:sz w:val="24"/>
          <w:szCs w:val="24"/>
        </w:rPr>
        <w:t>(4), 1607–1623. https://doi.org/10.1111/ejss.12998</w:t>
      </w:r>
    </w:p>
    <w:p w14:paraId="3FE0DAA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Hewitson, B. C., &amp; Crane. (1996). Climate downscaling: techniques and application. </w:t>
      </w:r>
      <w:r w:rsidRPr="00C12D8F">
        <w:rPr>
          <w:rFonts w:ascii="Times New Roman" w:hAnsi="Times New Roman" w:cs="Times New Roman"/>
          <w:i/>
          <w:iCs/>
          <w:sz w:val="24"/>
          <w:szCs w:val="24"/>
        </w:rPr>
        <w:t>Climate Research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w:t>
      </w:r>
      <w:r w:rsidRPr="00C12D8F">
        <w:rPr>
          <w:rFonts w:ascii="Times New Roman" w:hAnsi="Times New Roman" w:cs="Times New Roman"/>
          <w:sz w:val="24"/>
          <w:szCs w:val="24"/>
        </w:rPr>
        <w:t>, 85–95.</w:t>
      </w:r>
    </w:p>
    <w:p w14:paraId="3031E5C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Huang, Y., Jiang, N., Shen, M., &amp; Guo, L. (2020). Effect of preseason diurnal temperature range on the start of vegetation growing season in the Northern Hemisphere. </w:t>
      </w:r>
      <w:r w:rsidRPr="00C12D8F">
        <w:rPr>
          <w:rFonts w:ascii="Times New Roman" w:hAnsi="Times New Roman" w:cs="Times New Roman"/>
          <w:i/>
          <w:iCs/>
          <w:sz w:val="24"/>
          <w:szCs w:val="24"/>
        </w:rPr>
        <w:t>Ecological Indicators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112</w:t>
      </w:r>
      <w:r w:rsidRPr="00C12D8F">
        <w:rPr>
          <w:rFonts w:ascii="Times New Roman" w:hAnsi="Times New Roman" w:cs="Times New Roman"/>
          <w:sz w:val="24"/>
          <w:szCs w:val="24"/>
        </w:rPr>
        <w:t>, 106161. https://doi.org/10.1016/j.ecolind.2020.106161</w:t>
      </w:r>
    </w:p>
    <w:p w14:paraId="0549EA3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Huntzinger, D. N., Michalak, A. M., </w:t>
      </w:r>
      <w:proofErr w:type="gramStart"/>
      <w:r w:rsidRPr="00C12D8F">
        <w:rPr>
          <w:rFonts w:ascii="Times New Roman" w:hAnsi="Times New Roman" w:cs="Times New Roman"/>
          <w:sz w:val="24"/>
          <w:szCs w:val="24"/>
        </w:rPr>
        <w:t>Schwalm</w:t>
      </w:r>
      <w:proofErr w:type="gramEnd"/>
      <w:r w:rsidRPr="00C12D8F">
        <w:rPr>
          <w:rFonts w:ascii="Times New Roman" w:hAnsi="Times New Roman" w:cs="Times New Roman"/>
          <w:sz w:val="24"/>
          <w:szCs w:val="24"/>
        </w:rPr>
        <w:t xml:space="preserve">, C., Ciais, P., King, A. W., Fang, Y., et al. (2017). Uncertainty in the response of terrestrial carbon sink to environmental drivers undermines carbon-climate feedback predictions.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w:t>
      </w:r>
      <w:r w:rsidRPr="00C12D8F">
        <w:rPr>
          <w:rFonts w:ascii="Times New Roman" w:hAnsi="Times New Roman" w:cs="Times New Roman"/>
          <w:sz w:val="24"/>
          <w:szCs w:val="24"/>
        </w:rPr>
        <w:t>(1), 4765. https://doi.org/10.1038/s41598-017-03818-2</w:t>
      </w:r>
    </w:p>
    <w:p w14:paraId="7FAA829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Institut National des Sciences de l’Univers. (2021). INDAAF – International Network to study Deposition and Atmospheric chemistry in AFrica. Retrieved November 18, 2021, from https://indaaf.obs-mip.fr/</w:t>
      </w:r>
    </w:p>
    <w:p w14:paraId="4B61A3F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Intergovernmental Panel on Climate Change. (2012). </w:t>
      </w:r>
      <w:r w:rsidRPr="00C12D8F">
        <w:rPr>
          <w:rFonts w:ascii="Times New Roman" w:hAnsi="Times New Roman" w:cs="Times New Roman"/>
          <w:i/>
          <w:iCs/>
          <w:sz w:val="24"/>
          <w:szCs w:val="24"/>
        </w:rPr>
        <w:t>Managing the Risks of Extreme Events and Disasters to Advance Climate Change Adaptation.</w:t>
      </w:r>
      <w:r w:rsidRPr="00C12D8F">
        <w:rPr>
          <w:rFonts w:ascii="Times New Roman" w:hAnsi="Times New Roman" w:cs="Times New Roman"/>
          <w:sz w:val="24"/>
          <w:szCs w:val="24"/>
        </w:rPr>
        <w:t xml:space="preserve"> (Special Report of Working Groups I and II of the Intergovernmental Panel on Climate Change) (p. 582). Cambridge, UK and New York, NY, USA: Cambridge University Press.</w:t>
      </w:r>
    </w:p>
    <w:p w14:paraId="7BDB256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IPCC. (2019). 2019 Refinement to the 2006 IPCC Guidelines for National Greenhouse Gas Inventories. IPCC. Retrieved from https://www.ipcc-nggip.iges.or.jp/</w:t>
      </w:r>
    </w:p>
    <w:p w14:paraId="2136938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IPCC. (2022). </w:t>
      </w:r>
      <w:r w:rsidRPr="00C12D8F">
        <w:rPr>
          <w:rFonts w:ascii="Times New Roman" w:hAnsi="Times New Roman" w:cs="Times New Roman"/>
          <w:i/>
          <w:iCs/>
          <w:sz w:val="24"/>
          <w:szCs w:val="24"/>
        </w:rPr>
        <w:t>Climate Change 2022: Impacts, Adaptation and Vulnerability</w:t>
      </w:r>
      <w:r w:rsidRPr="00C12D8F">
        <w:rPr>
          <w:rFonts w:ascii="Times New Roman" w:hAnsi="Times New Roman" w:cs="Times New Roman"/>
          <w:sz w:val="24"/>
          <w:szCs w:val="24"/>
        </w:rPr>
        <w:t xml:space="preserve"> (Scientific Investigations Report). Cambridge University Press: IPCC.</w:t>
      </w:r>
    </w:p>
    <w:p w14:paraId="45C62AA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Irvine, P., Emanuel, K., He, J., Horowitz, L. W., Vecchi, G., &amp; Keith, D. (2019). Halving warming with idealized solar geoengineering </w:t>
      </w:r>
      <w:proofErr w:type="gramStart"/>
      <w:r w:rsidRPr="00C12D8F">
        <w:rPr>
          <w:rFonts w:ascii="Times New Roman" w:hAnsi="Times New Roman" w:cs="Times New Roman"/>
          <w:sz w:val="24"/>
          <w:szCs w:val="24"/>
        </w:rPr>
        <w:t>moderates</w:t>
      </w:r>
      <w:proofErr w:type="gramEnd"/>
      <w:r w:rsidRPr="00C12D8F">
        <w:rPr>
          <w:rFonts w:ascii="Times New Roman" w:hAnsi="Times New Roman" w:cs="Times New Roman"/>
          <w:sz w:val="24"/>
          <w:szCs w:val="24"/>
        </w:rPr>
        <w:t xml:space="preserve"> key climate hazards. </w:t>
      </w:r>
      <w:r w:rsidRPr="00C12D8F">
        <w:rPr>
          <w:rFonts w:ascii="Times New Roman" w:hAnsi="Times New Roman" w:cs="Times New Roman"/>
          <w:i/>
          <w:iCs/>
          <w:sz w:val="24"/>
          <w:szCs w:val="24"/>
        </w:rPr>
        <w:t>Nature Climate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(4), 295–299. https://doi.org/10.1038/s41558-019-0398-8</w:t>
      </w:r>
    </w:p>
    <w:p w14:paraId="5E5F6AF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Irvine, P. J., &amp; Keith, D. W. (2020). Halving warming with stratospheric aerosol geoengineering </w:t>
      </w:r>
      <w:proofErr w:type="gramStart"/>
      <w:r w:rsidRPr="00C12D8F">
        <w:rPr>
          <w:rFonts w:ascii="Times New Roman" w:hAnsi="Times New Roman" w:cs="Times New Roman"/>
          <w:sz w:val="24"/>
          <w:szCs w:val="24"/>
        </w:rPr>
        <w:t>moderates</w:t>
      </w:r>
      <w:proofErr w:type="gramEnd"/>
      <w:r w:rsidRPr="00C12D8F">
        <w:rPr>
          <w:rFonts w:ascii="Times New Roman" w:hAnsi="Times New Roman" w:cs="Times New Roman"/>
          <w:sz w:val="24"/>
          <w:szCs w:val="24"/>
        </w:rPr>
        <w:t xml:space="preserve"> policy-relevant climate hazards.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15</w:t>
      </w:r>
      <w:r w:rsidRPr="00C12D8F">
        <w:rPr>
          <w:rFonts w:ascii="Times New Roman" w:hAnsi="Times New Roman" w:cs="Times New Roman"/>
          <w:sz w:val="24"/>
          <w:szCs w:val="24"/>
        </w:rPr>
        <w:t>(4), 044011. https://doi.org/10.1088/1748-9326/ab76de</w:t>
      </w:r>
    </w:p>
    <w:p w14:paraId="0D9749D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Jang, S., &amp; Kavvas, M. L. (2015). Downscaling Global Climate Simulations to Regional Scales: Statistical Downscaling versus Dynamical Downscaling. </w:t>
      </w:r>
      <w:r w:rsidRPr="00C12D8F">
        <w:rPr>
          <w:rFonts w:ascii="Times New Roman" w:hAnsi="Times New Roman" w:cs="Times New Roman"/>
          <w:i/>
          <w:iCs/>
          <w:sz w:val="24"/>
          <w:szCs w:val="24"/>
        </w:rPr>
        <w:t>Journal of Hydrologic Engineering</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20</w:t>
      </w:r>
      <w:r w:rsidRPr="00C12D8F">
        <w:rPr>
          <w:rFonts w:ascii="Times New Roman" w:hAnsi="Times New Roman" w:cs="Times New Roman"/>
          <w:sz w:val="24"/>
          <w:szCs w:val="24"/>
        </w:rPr>
        <w:t>(1), A4014006. https://doi.org/10.1061/(ASCE)HE.1943-5584.0000939</w:t>
      </w:r>
    </w:p>
    <w:p w14:paraId="7FF89B3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Jia, Y., Yu, G., He, N., Zhan, X., Fang, H., Sheng, W., et al. (2014). Spatial and decadal variations in inorganic nitrogen wet deposition in China induced by human activity.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w:t>
      </w:r>
      <w:r w:rsidRPr="00C12D8F">
        <w:rPr>
          <w:rFonts w:ascii="Times New Roman" w:hAnsi="Times New Roman" w:cs="Times New Roman"/>
          <w:sz w:val="24"/>
          <w:szCs w:val="24"/>
        </w:rPr>
        <w:t>(1), 3763. https://doi.org/10.1038/srep03763</w:t>
      </w:r>
    </w:p>
    <w:p w14:paraId="7F676C3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Kanamitsu, M., Ebisuzaki, W., Woollen, J., Yang, S.-K., Hnilo, J. J., Fiorino, M., &amp; Potter, G. L. (2002). NCEP–DOE AMIP-II Reanalysis (R-2). </w:t>
      </w:r>
      <w:r w:rsidRPr="00C12D8F">
        <w:rPr>
          <w:rFonts w:ascii="Times New Roman" w:hAnsi="Times New Roman" w:cs="Times New Roman"/>
          <w:i/>
          <w:iCs/>
          <w:sz w:val="24"/>
          <w:szCs w:val="24"/>
        </w:rPr>
        <w:t>Bulletin of the American Meteorological Society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83</w:t>
      </w:r>
      <w:r w:rsidRPr="00C12D8F">
        <w:rPr>
          <w:rFonts w:ascii="Times New Roman" w:hAnsi="Times New Roman" w:cs="Times New Roman"/>
          <w:sz w:val="24"/>
          <w:szCs w:val="24"/>
        </w:rPr>
        <w:t>(11), 1631–1644. https://doi.org/10.1175/BAMS-83-11-1631</w:t>
      </w:r>
    </w:p>
    <w:p w14:paraId="3DAF4EB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Kicklighter, D. W., Melillo, J. M., Monier, E., Sokolov, A. P., &amp; Zhuang, Q. (2019). Future nitrogen availability and its effect on carbon sequestration in Northern Eurasia. </w:t>
      </w:r>
      <w:r w:rsidRPr="00C12D8F">
        <w:rPr>
          <w:rFonts w:ascii="Times New Roman" w:hAnsi="Times New Roman" w:cs="Times New Roman"/>
          <w:i/>
          <w:iCs/>
          <w:sz w:val="24"/>
          <w:szCs w:val="24"/>
        </w:rPr>
        <w:t>Nature Communications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w:t>
      </w:r>
      <w:r w:rsidRPr="00C12D8F">
        <w:rPr>
          <w:rFonts w:ascii="Times New Roman" w:hAnsi="Times New Roman" w:cs="Times New Roman"/>
          <w:sz w:val="24"/>
          <w:szCs w:val="24"/>
        </w:rPr>
        <w:t>(1), 3024. https://doi.org/10.1038/s41467-019-10944-0</w:t>
      </w:r>
    </w:p>
    <w:p w14:paraId="096BF9D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Kiktev, D., Sexton, D. M. H., Alexander, L., &amp; Folland, C. K. (2003). Comparison of Modeled and Observed Trends in Indices of Daily Climate Extremes. </w:t>
      </w:r>
      <w:r w:rsidRPr="00C12D8F">
        <w:rPr>
          <w:rFonts w:ascii="Times New Roman" w:hAnsi="Times New Roman" w:cs="Times New Roman"/>
          <w:i/>
          <w:iCs/>
          <w:sz w:val="24"/>
          <w:szCs w:val="24"/>
        </w:rPr>
        <w:t>Journal of Climate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16</w:t>
      </w:r>
      <w:r w:rsidRPr="00C12D8F">
        <w:rPr>
          <w:rFonts w:ascii="Times New Roman" w:hAnsi="Times New Roman" w:cs="Times New Roman"/>
          <w:sz w:val="24"/>
          <w:szCs w:val="24"/>
        </w:rPr>
        <w:t>(22), 3560–3571. https://doi.org/10.1175/1520-0442(2003)016&lt;</w:t>
      </w:r>
      <w:proofErr w:type="gramStart"/>
      <w:r w:rsidRPr="00C12D8F">
        <w:rPr>
          <w:rFonts w:ascii="Times New Roman" w:hAnsi="Times New Roman" w:cs="Times New Roman"/>
          <w:sz w:val="24"/>
          <w:szCs w:val="24"/>
        </w:rPr>
        <w:t>3560:COMAOT</w:t>
      </w:r>
      <w:proofErr w:type="gramEnd"/>
      <w:r w:rsidRPr="00C12D8F">
        <w:rPr>
          <w:rFonts w:ascii="Times New Roman" w:hAnsi="Times New Roman" w:cs="Times New Roman"/>
          <w:sz w:val="24"/>
          <w:szCs w:val="24"/>
        </w:rPr>
        <w:t>&gt;2.0.CO;2</w:t>
      </w:r>
    </w:p>
    <w:p w14:paraId="0E5C261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Klöwer, M., Allen, M. R., Lee, D. S., Proud, S. R., Gallagher, L., &amp; Skowron, A. (2021). Quantifying aviation’s contribution to global warming.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16</w:t>
      </w:r>
      <w:r w:rsidRPr="00C12D8F">
        <w:rPr>
          <w:rFonts w:ascii="Times New Roman" w:hAnsi="Times New Roman" w:cs="Times New Roman"/>
          <w:sz w:val="24"/>
          <w:szCs w:val="24"/>
        </w:rPr>
        <w:t>(10), 104027. https://doi.org/10.1088/1748-9326/ac286e</w:t>
      </w:r>
    </w:p>
    <w:p w14:paraId="002D0AC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Kortetmäki, T., &amp; Oksanen, M. (2023). Right to Food and Geoengineering. </w:t>
      </w:r>
      <w:r w:rsidRPr="00C12D8F">
        <w:rPr>
          <w:rFonts w:ascii="Times New Roman" w:hAnsi="Times New Roman" w:cs="Times New Roman"/>
          <w:i/>
          <w:iCs/>
          <w:sz w:val="24"/>
          <w:szCs w:val="24"/>
        </w:rPr>
        <w:t>Journal of Agricultural and Environmental Ethics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36</w:t>
      </w:r>
      <w:r w:rsidRPr="00C12D8F">
        <w:rPr>
          <w:rFonts w:ascii="Times New Roman" w:hAnsi="Times New Roman" w:cs="Times New Roman"/>
          <w:sz w:val="24"/>
          <w:szCs w:val="24"/>
        </w:rPr>
        <w:t>(1), 5. https://doi.org/10.1007/s10806-023-09898-7</w:t>
      </w:r>
    </w:p>
    <w:p w14:paraId="5B04564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Kravitz, B., Robock, A., Tilmes, S., Boucher, O., English, J. M., Irvine, P. J., et al. (2015). The Geoengineering Model Intercomparison Project Phase 6 (GeoMIP6): simulation design </w:t>
      </w:r>
      <w:r w:rsidRPr="00C12D8F">
        <w:rPr>
          <w:rFonts w:ascii="Times New Roman" w:hAnsi="Times New Roman" w:cs="Times New Roman"/>
          <w:sz w:val="24"/>
          <w:szCs w:val="24"/>
        </w:rPr>
        <w:lastRenderedPageBreak/>
        <w:t xml:space="preserve">and preliminary results. </w:t>
      </w:r>
      <w:r w:rsidRPr="00C12D8F">
        <w:rPr>
          <w:rFonts w:ascii="Times New Roman" w:hAnsi="Times New Roman" w:cs="Times New Roman"/>
          <w:i/>
          <w:iCs/>
          <w:sz w:val="24"/>
          <w:szCs w:val="24"/>
        </w:rPr>
        <w:t>Geoscientific Model Development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w:t>
      </w:r>
      <w:r w:rsidRPr="00C12D8F">
        <w:rPr>
          <w:rFonts w:ascii="Times New Roman" w:hAnsi="Times New Roman" w:cs="Times New Roman"/>
          <w:sz w:val="24"/>
          <w:szCs w:val="24"/>
        </w:rPr>
        <w:t>(10), 3379–3392. https://doi.org/10.5194/gmd-8-3379-2015</w:t>
      </w:r>
    </w:p>
    <w:p w14:paraId="506DD82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Kravitz, Ben, Robock, A., Boucher, O., Schmidt, H., Taylor, K. E., Stenchikov, G., &amp; Schulz, M. (2011). The Geoengineering Model Intercomparison Project (GeoMIP). </w:t>
      </w:r>
      <w:r w:rsidRPr="00C12D8F">
        <w:rPr>
          <w:rFonts w:ascii="Times New Roman" w:hAnsi="Times New Roman" w:cs="Times New Roman"/>
          <w:i/>
          <w:iCs/>
          <w:sz w:val="24"/>
          <w:szCs w:val="24"/>
        </w:rPr>
        <w:t>Atmospheric Science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w:t>
      </w:r>
      <w:r w:rsidRPr="00C12D8F">
        <w:rPr>
          <w:rFonts w:ascii="Times New Roman" w:hAnsi="Times New Roman" w:cs="Times New Roman"/>
          <w:sz w:val="24"/>
          <w:szCs w:val="24"/>
        </w:rPr>
        <w:t>(2), 162–167. https://doi.org/10.1002/asl.316</w:t>
      </w:r>
    </w:p>
    <w:p w14:paraId="210A1E8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Kreyling, J., Schuerings, J., Malyshev, A. V., Vogt, L., Werner, C., &amp; Jentsch, A. (2015). Nitrogen leaching is enhanced after </w:t>
      </w:r>
      <w:proofErr w:type="gramStart"/>
      <w:r w:rsidRPr="00C12D8F">
        <w:rPr>
          <w:rFonts w:ascii="Times New Roman" w:hAnsi="Times New Roman" w:cs="Times New Roman"/>
          <w:sz w:val="24"/>
          <w:szCs w:val="24"/>
        </w:rPr>
        <w:t>a winter</w:t>
      </w:r>
      <w:proofErr w:type="gramEnd"/>
      <w:r w:rsidRPr="00C12D8F">
        <w:rPr>
          <w:rFonts w:ascii="Times New Roman" w:hAnsi="Times New Roman" w:cs="Times New Roman"/>
          <w:sz w:val="24"/>
          <w:szCs w:val="24"/>
        </w:rPr>
        <w:t xml:space="preserve"> warm spell but mainly controlled by vegetation composition in temperate zone mesocosms. </w:t>
      </w:r>
      <w:r w:rsidRPr="00C12D8F">
        <w:rPr>
          <w:rFonts w:ascii="Times New Roman" w:hAnsi="Times New Roman" w:cs="Times New Roman"/>
          <w:i/>
          <w:iCs/>
          <w:sz w:val="24"/>
          <w:szCs w:val="24"/>
        </w:rPr>
        <w:t>Plant and Soil</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396</w:t>
      </w:r>
      <w:r w:rsidRPr="00C12D8F">
        <w:rPr>
          <w:rFonts w:ascii="Times New Roman" w:hAnsi="Times New Roman" w:cs="Times New Roman"/>
          <w:sz w:val="24"/>
          <w:szCs w:val="24"/>
        </w:rPr>
        <w:t>(1), 85–96. https://doi.org/10.1007/s11104-015-2587-1</w:t>
      </w:r>
    </w:p>
    <w:p w14:paraId="1C42943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Krotkov, N. A., McLinden, C. A., Li, C., Lamsal, L. N., Celarier, E. A., Marchenko, S. V., et al. (2016). Aura OMI observations of regional SO&amp;</w:t>
      </w:r>
      <w:proofErr w:type="gramStart"/>
      <w:r w:rsidRPr="00C12D8F">
        <w:rPr>
          <w:rFonts w:ascii="Times New Roman" w:hAnsi="Times New Roman" w:cs="Times New Roman"/>
          <w:sz w:val="24"/>
          <w:szCs w:val="24"/>
        </w:rPr>
        <w:t>lt;sub</w:t>
      </w:r>
      <w:proofErr w:type="gramEnd"/>
      <w:r w:rsidRPr="00C12D8F">
        <w:rPr>
          <w:rFonts w:ascii="Times New Roman" w:hAnsi="Times New Roman" w:cs="Times New Roman"/>
          <w:sz w:val="24"/>
          <w:szCs w:val="24"/>
        </w:rPr>
        <w:t xml:space="preserve">&amp;gt;2&amp;lt;/sub&amp;gt; and NO&amp;lt;sub&amp;gt;2&amp;lt;/sub&amp;gt; pollution changes from 2005 to 2015.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16</w:t>
      </w:r>
      <w:r w:rsidRPr="00C12D8F">
        <w:rPr>
          <w:rFonts w:ascii="Times New Roman" w:hAnsi="Times New Roman" w:cs="Times New Roman"/>
          <w:sz w:val="24"/>
          <w:szCs w:val="24"/>
        </w:rPr>
        <w:t>(7), 4605–4629. https://doi.org/10.5194/acp-16-4605-2016</w:t>
      </w:r>
    </w:p>
    <w:p w14:paraId="413BB92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Labrador, L., Volosciuk, C., &amp; Cole, A. (2020). </w:t>
      </w:r>
      <w:r w:rsidRPr="00C12D8F">
        <w:rPr>
          <w:rFonts w:ascii="Times New Roman" w:hAnsi="Times New Roman" w:cs="Times New Roman"/>
          <w:i/>
          <w:iCs/>
          <w:sz w:val="24"/>
          <w:szCs w:val="24"/>
        </w:rPr>
        <w:t>Measurement-Model Fusion for Global Total Atmospheric Deposition, a WMO initiative</w:t>
      </w:r>
      <w:r w:rsidRPr="00C12D8F">
        <w:rPr>
          <w:rFonts w:ascii="Times New Roman" w:hAnsi="Times New Roman" w:cs="Times New Roman"/>
          <w:sz w:val="24"/>
          <w:szCs w:val="24"/>
        </w:rPr>
        <w:t xml:space="preserve"> (Factsheet No. 69). World Meteorological Organization. Retrieved from https://public.wmo.int/en/resources/bulletin/measurement-model-fusion-global-total-atmospheric-deposition-wmo-initiative</w:t>
      </w:r>
    </w:p>
    <w:p w14:paraId="2B3BAE9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Lafferty, D. C., &amp; Sriver, R. L. (2023). Downscaling and bias-correction contribute considerable uncertainty to local climate projections in CMIP6. </w:t>
      </w:r>
      <w:r w:rsidRPr="00C12D8F">
        <w:rPr>
          <w:rFonts w:ascii="Times New Roman" w:hAnsi="Times New Roman" w:cs="Times New Roman"/>
          <w:i/>
          <w:iCs/>
          <w:sz w:val="24"/>
          <w:szCs w:val="24"/>
        </w:rPr>
        <w:t>Npj Climate and Atmospheric 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w:t>
      </w:r>
      <w:r w:rsidRPr="00C12D8F">
        <w:rPr>
          <w:rFonts w:ascii="Times New Roman" w:hAnsi="Times New Roman" w:cs="Times New Roman"/>
          <w:sz w:val="24"/>
          <w:szCs w:val="24"/>
        </w:rPr>
        <w:t>(1), 1–13. https://doi.org/10.1038/s41612-023-00486-0</w:t>
      </w:r>
    </w:p>
    <w:p w14:paraId="2BA6B0E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Lamarque, J.-F., Dentener, F., McConnell, J., Ro, C.-U., Shaw, M., Vet, R., et al. (2013). Multi-</w:t>
      </w:r>
      <w:proofErr w:type="gramStart"/>
      <w:r w:rsidRPr="00C12D8F">
        <w:rPr>
          <w:rFonts w:ascii="Times New Roman" w:hAnsi="Times New Roman" w:cs="Times New Roman"/>
          <w:sz w:val="24"/>
          <w:szCs w:val="24"/>
        </w:rPr>
        <w:t>model</w:t>
      </w:r>
      <w:proofErr w:type="gramEnd"/>
      <w:r w:rsidRPr="00C12D8F">
        <w:rPr>
          <w:rFonts w:ascii="Times New Roman" w:hAnsi="Times New Roman" w:cs="Times New Roman"/>
          <w:sz w:val="24"/>
          <w:szCs w:val="24"/>
        </w:rPr>
        <w:t xml:space="preserve"> mean nitrogen and sulfur deposition from the Atmospheric Chemistry and Climate Model Intercomparison Project (ACCMIP): evaluation of historical and projected future changes.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13</w:t>
      </w:r>
      <w:r w:rsidRPr="00C12D8F">
        <w:rPr>
          <w:rFonts w:ascii="Times New Roman" w:hAnsi="Times New Roman" w:cs="Times New Roman"/>
          <w:sz w:val="24"/>
          <w:szCs w:val="24"/>
        </w:rPr>
        <w:t>(16), 7997–8018. https://doi.org/10.5194/acp-13-7997-2013</w:t>
      </w:r>
    </w:p>
    <w:p w14:paraId="34DC542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Langlois, N., Herbst, J., Mason, K., Nairn, J., &amp; Byard, R. W. (2013). Using </w:t>
      </w:r>
      <w:proofErr w:type="gramStart"/>
      <w:r w:rsidRPr="00C12D8F">
        <w:rPr>
          <w:rFonts w:ascii="Times New Roman" w:hAnsi="Times New Roman" w:cs="Times New Roman"/>
          <w:sz w:val="24"/>
          <w:szCs w:val="24"/>
        </w:rPr>
        <w:t>the Excess</w:t>
      </w:r>
      <w:proofErr w:type="gramEnd"/>
      <w:r w:rsidRPr="00C12D8F">
        <w:rPr>
          <w:rFonts w:ascii="Times New Roman" w:hAnsi="Times New Roman" w:cs="Times New Roman"/>
          <w:sz w:val="24"/>
          <w:szCs w:val="24"/>
        </w:rPr>
        <w:t xml:space="preserve"> Heat Factor (EHF) to predict the risk of heat related deaths. </w:t>
      </w:r>
      <w:r w:rsidRPr="00C12D8F">
        <w:rPr>
          <w:rFonts w:ascii="Times New Roman" w:hAnsi="Times New Roman" w:cs="Times New Roman"/>
          <w:i/>
          <w:iCs/>
          <w:sz w:val="24"/>
          <w:szCs w:val="24"/>
        </w:rPr>
        <w:t>Journal of Forensic and Legal Medicine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20</w:t>
      </w:r>
      <w:r w:rsidRPr="00C12D8F">
        <w:rPr>
          <w:rFonts w:ascii="Times New Roman" w:hAnsi="Times New Roman" w:cs="Times New Roman"/>
          <w:sz w:val="24"/>
          <w:szCs w:val="24"/>
        </w:rPr>
        <w:t>(5), 408–411. https://doi.org/10.1016/j.jflm.2012.12.005</w:t>
      </w:r>
    </w:p>
    <w:p w14:paraId="0395EAD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Lanning, M., Wang, L., Scanlon, T. M., Vadeboncoeur, M. A., Adams, M. B., Epstein, H. E., &amp; Druckenbrod, D. (2019). </w:t>
      </w:r>
      <w:proofErr w:type="gramStart"/>
      <w:r w:rsidRPr="00C12D8F">
        <w:rPr>
          <w:rFonts w:ascii="Times New Roman" w:hAnsi="Times New Roman" w:cs="Times New Roman"/>
          <w:sz w:val="24"/>
          <w:szCs w:val="24"/>
        </w:rPr>
        <w:t>Intensified</w:t>
      </w:r>
      <w:proofErr w:type="gramEnd"/>
      <w:r w:rsidRPr="00C12D8F">
        <w:rPr>
          <w:rFonts w:ascii="Times New Roman" w:hAnsi="Times New Roman" w:cs="Times New Roman"/>
          <w:sz w:val="24"/>
          <w:szCs w:val="24"/>
        </w:rPr>
        <w:t xml:space="preserve"> vegetation water </w:t>
      </w:r>
      <w:proofErr w:type="gramStart"/>
      <w:r w:rsidRPr="00C12D8F">
        <w:rPr>
          <w:rFonts w:ascii="Times New Roman" w:hAnsi="Times New Roman" w:cs="Times New Roman"/>
          <w:sz w:val="24"/>
          <w:szCs w:val="24"/>
        </w:rPr>
        <w:t>use</w:t>
      </w:r>
      <w:proofErr w:type="gramEnd"/>
      <w:r w:rsidRPr="00C12D8F">
        <w:rPr>
          <w:rFonts w:ascii="Times New Roman" w:hAnsi="Times New Roman" w:cs="Times New Roman"/>
          <w:sz w:val="24"/>
          <w:szCs w:val="24"/>
        </w:rPr>
        <w:t xml:space="preserve"> under acid deposition. </w:t>
      </w:r>
      <w:r w:rsidRPr="00C12D8F">
        <w:rPr>
          <w:rFonts w:ascii="Times New Roman" w:hAnsi="Times New Roman" w:cs="Times New Roman"/>
          <w:i/>
          <w:iCs/>
          <w:sz w:val="24"/>
          <w:szCs w:val="24"/>
        </w:rPr>
        <w:t>Science Advances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w:t>
      </w:r>
      <w:r w:rsidRPr="00C12D8F">
        <w:rPr>
          <w:rFonts w:ascii="Times New Roman" w:hAnsi="Times New Roman" w:cs="Times New Roman"/>
          <w:sz w:val="24"/>
          <w:szCs w:val="24"/>
        </w:rPr>
        <w:t>(7), eaav5168. https://doi.org/10.1126/sciadv.aav5168</w:t>
      </w:r>
    </w:p>
    <w:p w14:paraId="295DE45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Larssen, T., &amp; Carmichael, G. R. (2000). Acid rain and acidification in China: the importance of base cation deposition. </w:t>
      </w:r>
      <w:r w:rsidRPr="00C12D8F">
        <w:rPr>
          <w:rFonts w:ascii="Times New Roman" w:hAnsi="Times New Roman" w:cs="Times New Roman"/>
          <w:i/>
          <w:iCs/>
          <w:sz w:val="24"/>
          <w:szCs w:val="24"/>
        </w:rPr>
        <w:t>Environmental Pollution</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110</w:t>
      </w:r>
      <w:r w:rsidRPr="00C12D8F">
        <w:rPr>
          <w:rFonts w:ascii="Times New Roman" w:hAnsi="Times New Roman" w:cs="Times New Roman"/>
          <w:sz w:val="24"/>
          <w:szCs w:val="24"/>
        </w:rPr>
        <w:t>(1), 89–102. https://doi.org/10.1016/S0269-7491(99)00279-1</w:t>
      </w:r>
    </w:p>
    <w:p w14:paraId="120D889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Latysh, N. E., &amp; Wetherbee, G. A. (2012). Improved mapping of National Atmospheric Deposition Program wet-deposition in complex terrain using PRISM-gridded data sets. </w:t>
      </w:r>
      <w:r w:rsidRPr="00C12D8F">
        <w:rPr>
          <w:rFonts w:ascii="Times New Roman" w:hAnsi="Times New Roman" w:cs="Times New Roman"/>
          <w:i/>
          <w:iCs/>
          <w:sz w:val="24"/>
          <w:szCs w:val="24"/>
        </w:rPr>
        <w:t>Environmental Monitoring and Assessment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184</w:t>
      </w:r>
      <w:r w:rsidRPr="00C12D8F">
        <w:rPr>
          <w:rFonts w:ascii="Times New Roman" w:hAnsi="Times New Roman" w:cs="Times New Roman"/>
          <w:sz w:val="24"/>
          <w:szCs w:val="24"/>
        </w:rPr>
        <w:t>(2), 913–928. https://doi.org/10.1007/s10661-011-2009-7</w:t>
      </w:r>
    </w:p>
    <w:p w14:paraId="2C3ED2E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Lavaysse, C., Cammalleri, C., Dosio, A., van der Schrier, G., Toreti, A., &amp; Vogt, J. (2018). Towards a monitoring system of temperature extremes in Europe. </w:t>
      </w:r>
      <w:r w:rsidRPr="00C12D8F">
        <w:rPr>
          <w:rFonts w:ascii="Times New Roman" w:hAnsi="Times New Roman" w:cs="Times New Roman"/>
          <w:i/>
          <w:iCs/>
          <w:sz w:val="24"/>
          <w:szCs w:val="24"/>
        </w:rPr>
        <w:t>Natural Hazards and Earth System 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18</w:t>
      </w:r>
      <w:r w:rsidRPr="00C12D8F">
        <w:rPr>
          <w:rFonts w:ascii="Times New Roman" w:hAnsi="Times New Roman" w:cs="Times New Roman"/>
          <w:sz w:val="24"/>
          <w:szCs w:val="24"/>
        </w:rPr>
        <w:t>(1), 91–104. https://doi.org/10.5194/nhess-18-91-2018</w:t>
      </w:r>
    </w:p>
    <w:p w14:paraId="012E39B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Lawrence, M. G., Schäfer, S., Muri, H., Scott, V., Oschlies, A., Vaughan, N. E., et al. (2018). Evaluating climate geoengineering proposals in the context of the Paris Agreement temperature goals. </w:t>
      </w:r>
      <w:r w:rsidRPr="00C12D8F">
        <w:rPr>
          <w:rFonts w:ascii="Times New Roman" w:hAnsi="Times New Roman" w:cs="Times New Roman"/>
          <w:i/>
          <w:iCs/>
          <w:sz w:val="24"/>
          <w:szCs w:val="24"/>
        </w:rPr>
        <w:t>Nature Communications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(1), 3734. https://doi.org/10.1038/s41467-018-05938-3</w:t>
      </w:r>
    </w:p>
    <w:p w14:paraId="6569121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Lee, D. S., Fahey, D. W., Skowron, A., Allen, M. R., Burkhardt, U., Chen, Q., et al. (2021). The contribution of global aviation to anthropogenic climate forcing for 2000 to 2018. </w:t>
      </w:r>
      <w:r w:rsidRPr="00C12D8F">
        <w:rPr>
          <w:rFonts w:ascii="Times New Roman" w:hAnsi="Times New Roman" w:cs="Times New Roman"/>
          <w:i/>
          <w:iCs/>
          <w:sz w:val="24"/>
          <w:szCs w:val="24"/>
        </w:rPr>
        <w:t>Atmospheric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244</w:t>
      </w:r>
      <w:r w:rsidRPr="00C12D8F">
        <w:rPr>
          <w:rFonts w:ascii="Times New Roman" w:hAnsi="Times New Roman" w:cs="Times New Roman"/>
          <w:sz w:val="24"/>
          <w:szCs w:val="24"/>
        </w:rPr>
        <w:t>, 117834. https://doi.org/10.1016/j.atmosenv.2020.117834</w:t>
      </w:r>
    </w:p>
    <w:p w14:paraId="0AE8232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Lee, Walker, MacMartin, D., Visioni, D., &amp; Kravitz, B. (2020). </w:t>
      </w:r>
      <w:r w:rsidRPr="00C12D8F">
        <w:rPr>
          <w:rFonts w:ascii="Times New Roman" w:hAnsi="Times New Roman" w:cs="Times New Roman"/>
          <w:i/>
          <w:iCs/>
          <w:sz w:val="24"/>
          <w:szCs w:val="24"/>
        </w:rPr>
        <w:t>Expanding the Design Space of Stratospheric Aerosol Geoengineering to Include Precipitation-Based Objectives and Explore Trade-offs</w:t>
      </w:r>
      <w:r w:rsidRPr="00C12D8F">
        <w:rPr>
          <w:rFonts w:ascii="Times New Roman" w:hAnsi="Times New Roman" w:cs="Times New Roman"/>
          <w:sz w:val="24"/>
          <w:szCs w:val="24"/>
        </w:rPr>
        <w:t xml:space="preserve"> (preprint). Management of the Earth system: engineering responses to climate change. https://doi.org/10.5194/esd-2020-58</w:t>
      </w:r>
    </w:p>
    <w:p w14:paraId="0699347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Lee, Whanhee, Kim, Y., Sera, F., Gasparrini, A., Park, R., Michelle Choi, H., et al. (2020). Projections of excess mortality related to diurnal temperature range under climate change scenarios: a multi-country modelling study. </w:t>
      </w:r>
      <w:r w:rsidRPr="00C12D8F">
        <w:rPr>
          <w:rFonts w:ascii="Times New Roman" w:hAnsi="Times New Roman" w:cs="Times New Roman"/>
          <w:i/>
          <w:iCs/>
          <w:sz w:val="24"/>
          <w:szCs w:val="24"/>
        </w:rPr>
        <w:t>The Lancet Planetary Health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w:t>
      </w:r>
      <w:r w:rsidRPr="00C12D8F">
        <w:rPr>
          <w:rFonts w:ascii="Times New Roman" w:hAnsi="Times New Roman" w:cs="Times New Roman"/>
          <w:sz w:val="24"/>
          <w:szCs w:val="24"/>
        </w:rPr>
        <w:t>(11), e512–e521. https://doi.org/10.1016/S2542-5196(20)30222-9</w:t>
      </w:r>
    </w:p>
    <w:p w14:paraId="3E7F3E0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Levelt, P. F., van den Oord, G. H. J., Dobber, M. R., Malkki, A., Visser, H., Vries, J. de, et al. (2006). The ozone monitoring instrument. </w:t>
      </w:r>
      <w:r w:rsidRPr="00C12D8F">
        <w:rPr>
          <w:rFonts w:ascii="Times New Roman" w:hAnsi="Times New Roman" w:cs="Times New Roman"/>
          <w:i/>
          <w:iCs/>
          <w:sz w:val="24"/>
          <w:szCs w:val="24"/>
        </w:rPr>
        <w:t>IEEE Transactions on Geoscience and Remote Sensing</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44</w:t>
      </w:r>
      <w:r w:rsidRPr="00C12D8F">
        <w:rPr>
          <w:rFonts w:ascii="Times New Roman" w:hAnsi="Times New Roman" w:cs="Times New Roman"/>
          <w:sz w:val="24"/>
          <w:szCs w:val="24"/>
        </w:rPr>
        <w:t>(5), 1093–1101. https://doi.org/10.1109/TGRS.2006.872333</w:t>
      </w:r>
    </w:p>
    <w:p w14:paraId="327C841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 C., Joiner, J., Krotkov, N. A., &amp; Bhartia, P. K. (2013). A fast and sensitive new satellite SO2 retrieval algorithm based on principal component analysis: Application to the ozone </w:t>
      </w:r>
      <w:r w:rsidRPr="00C12D8F">
        <w:rPr>
          <w:rFonts w:ascii="Times New Roman" w:hAnsi="Times New Roman" w:cs="Times New Roman"/>
          <w:sz w:val="24"/>
          <w:szCs w:val="24"/>
        </w:rPr>
        <w:lastRenderedPageBreak/>
        <w:t xml:space="preserve">monitoring instrument. </w:t>
      </w:r>
      <w:r w:rsidRPr="00C12D8F">
        <w:rPr>
          <w:rFonts w:ascii="Times New Roman" w:hAnsi="Times New Roman" w:cs="Times New Roman"/>
          <w:i/>
          <w:iCs/>
          <w:sz w:val="24"/>
          <w:szCs w:val="24"/>
        </w:rPr>
        <w:t>Geophysical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40</w:t>
      </w:r>
      <w:r w:rsidRPr="00C12D8F">
        <w:rPr>
          <w:rFonts w:ascii="Times New Roman" w:hAnsi="Times New Roman" w:cs="Times New Roman"/>
          <w:sz w:val="24"/>
          <w:szCs w:val="24"/>
        </w:rPr>
        <w:t>(23), 6314–6318. https://doi.org/10.1002/2013GL058134</w:t>
      </w:r>
    </w:p>
    <w:p w14:paraId="6DE43A7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 H., Shen, H., Chen, L., Liu, T., Hu, H., Zhao, X., et al. (2016). Effects of shrub encroachment on soil organic carbon in global grasslands.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w:t>
      </w:r>
      <w:r w:rsidRPr="00C12D8F">
        <w:rPr>
          <w:rFonts w:ascii="Times New Roman" w:hAnsi="Times New Roman" w:cs="Times New Roman"/>
          <w:sz w:val="24"/>
          <w:szCs w:val="24"/>
        </w:rPr>
        <w:t>, 28974. https://doi.org/10.1038/srep28974</w:t>
      </w:r>
    </w:p>
    <w:p w14:paraId="67A519A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 R., Cui, L., Zhao, Y., Zhang, Z., Sun, T., Li, J., et al. (2019). Wet deposition of inorganic ions in 320 cities across China: spatio-temporal variation, source apportionment, and dominant factors.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19</w:t>
      </w:r>
      <w:r w:rsidRPr="00C12D8F">
        <w:rPr>
          <w:rFonts w:ascii="Times New Roman" w:hAnsi="Times New Roman" w:cs="Times New Roman"/>
          <w:sz w:val="24"/>
          <w:szCs w:val="24"/>
        </w:rPr>
        <w:t>(17), 11043–11070. https://doi.org/10.5194/acp-19-11043-2019</w:t>
      </w:r>
    </w:p>
    <w:p w14:paraId="43D66E9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Lin, Z., Dai, Y., Mishra, U., Wang, G., Shangguan, W., Zhang, W., &amp; Qin, Z. (2023). Global and regional soil organic carbon estimates: Magnitude and uncertainties. </w:t>
      </w:r>
      <w:r w:rsidRPr="00C12D8F">
        <w:rPr>
          <w:rFonts w:ascii="Times New Roman" w:hAnsi="Times New Roman" w:cs="Times New Roman"/>
          <w:i/>
          <w:iCs/>
          <w:sz w:val="24"/>
          <w:szCs w:val="24"/>
        </w:rPr>
        <w:t>Pedosphere</w:t>
      </w:r>
      <w:r w:rsidRPr="00C12D8F">
        <w:rPr>
          <w:rFonts w:ascii="Times New Roman" w:hAnsi="Times New Roman" w:cs="Times New Roman"/>
          <w:sz w:val="24"/>
          <w:szCs w:val="24"/>
        </w:rPr>
        <w:t>. https://doi.org/10.1016/j.pedsph.2023.06.005</w:t>
      </w:r>
    </w:p>
    <w:p w14:paraId="145D7CE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Lindvall, J., &amp; Svensson, G. (2015). The diurnal temperature range in the CMIP5 models. </w:t>
      </w:r>
      <w:r w:rsidRPr="00C12D8F">
        <w:rPr>
          <w:rFonts w:ascii="Times New Roman" w:hAnsi="Times New Roman" w:cs="Times New Roman"/>
          <w:i/>
          <w:iCs/>
          <w:sz w:val="24"/>
          <w:szCs w:val="24"/>
        </w:rPr>
        <w:t>Climate Dynamics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44</w:t>
      </w:r>
      <w:r w:rsidRPr="00C12D8F">
        <w:rPr>
          <w:rFonts w:ascii="Times New Roman" w:hAnsi="Times New Roman" w:cs="Times New Roman"/>
          <w:sz w:val="24"/>
          <w:szCs w:val="24"/>
        </w:rPr>
        <w:t>(1), 405–421. https://doi.org/10.1007/s00382-014-2144-2</w:t>
      </w:r>
    </w:p>
    <w:p w14:paraId="618DB94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Liu, J., Yuan, F., Zuo, Y., Zhou, R., Zhu, X., Li, K., et al. (2022). Warming-induced vegetation growth cancels out soil carbon-climate feedback in the northern Asian permafrost region in the 21st century.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17</w:t>
      </w:r>
      <w:r w:rsidRPr="00C12D8F">
        <w:rPr>
          <w:rFonts w:ascii="Times New Roman" w:hAnsi="Times New Roman" w:cs="Times New Roman"/>
          <w:sz w:val="24"/>
          <w:szCs w:val="24"/>
        </w:rPr>
        <w:t>(8), 084009. https://doi.org/10.1088/1748-9326/ac7eda</w:t>
      </w:r>
    </w:p>
    <w:p w14:paraId="1508DED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Liu, L., Zhang, X., Xu, W., Liu, X., Zhang, Y., Li, Y., et al. (2020). Fall of oxidized while rise of reduced reactive nitrogen deposition in China. </w:t>
      </w:r>
      <w:r w:rsidRPr="00C12D8F">
        <w:rPr>
          <w:rFonts w:ascii="Times New Roman" w:hAnsi="Times New Roman" w:cs="Times New Roman"/>
          <w:i/>
          <w:iCs/>
          <w:sz w:val="24"/>
          <w:szCs w:val="24"/>
        </w:rPr>
        <w:t>Journal of Cleaner Production</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272</w:t>
      </w:r>
      <w:r w:rsidRPr="00C12D8F">
        <w:rPr>
          <w:rFonts w:ascii="Times New Roman" w:hAnsi="Times New Roman" w:cs="Times New Roman"/>
          <w:sz w:val="24"/>
          <w:szCs w:val="24"/>
        </w:rPr>
        <w:t>, 122875. https://doi.org/10.1016/j.jclepro.2020.122875</w:t>
      </w:r>
    </w:p>
    <w:p w14:paraId="10589022"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Liu, L., Yang, Y., Xi, R., Zhang, X., Xu, W., Liu, X., et al. (2021). Global Wet-Reduced Nitrogen Deposition Derived </w:t>
      </w:r>
      <w:proofErr w:type="gramStart"/>
      <w:r w:rsidRPr="00C12D8F">
        <w:rPr>
          <w:rFonts w:ascii="Times New Roman" w:hAnsi="Times New Roman" w:cs="Times New Roman"/>
          <w:sz w:val="24"/>
          <w:szCs w:val="24"/>
        </w:rPr>
        <w:t>From</w:t>
      </w:r>
      <w:proofErr w:type="gramEnd"/>
      <w:r w:rsidRPr="00C12D8F">
        <w:rPr>
          <w:rFonts w:ascii="Times New Roman" w:hAnsi="Times New Roman" w:cs="Times New Roman"/>
          <w:sz w:val="24"/>
          <w:szCs w:val="24"/>
        </w:rPr>
        <w:t xml:space="preserve"> Combining Satellite Measurements With Output From a Chemistry Transport Model.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126</w:t>
      </w:r>
      <w:r w:rsidRPr="00C12D8F">
        <w:rPr>
          <w:rFonts w:ascii="Times New Roman" w:hAnsi="Times New Roman" w:cs="Times New Roman"/>
          <w:sz w:val="24"/>
          <w:szCs w:val="24"/>
        </w:rPr>
        <w:t>(4), e2020JD033977. https://doi.org/10.1029/2020JD033977</w:t>
      </w:r>
    </w:p>
    <w:p w14:paraId="309E0F2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Liu, S., Wei, Y., Post, W. M., Cook, R. B., Schaefer, K., &amp; Thornton, M. M. (2014). NACP MsTMIP: Unified North American Soil Map. </w:t>
      </w:r>
      <w:r w:rsidRPr="00C12D8F">
        <w:rPr>
          <w:rFonts w:ascii="Times New Roman" w:hAnsi="Times New Roman" w:cs="Times New Roman"/>
          <w:i/>
          <w:iCs/>
          <w:sz w:val="24"/>
          <w:szCs w:val="24"/>
        </w:rPr>
        <w:t>ORNL DAAC</w:t>
      </w:r>
      <w:r w:rsidRPr="00C12D8F">
        <w:rPr>
          <w:rFonts w:ascii="Times New Roman" w:hAnsi="Times New Roman" w:cs="Times New Roman"/>
          <w:sz w:val="24"/>
          <w:szCs w:val="24"/>
        </w:rPr>
        <w:t>. https://doi.org/10.3334/ORNLDAAC/1242</w:t>
      </w:r>
    </w:p>
    <w:p w14:paraId="3AB89B8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Liu, Z., Kimball, J. S., Parazoo, N. C., Ballantyne, A. P., Wang, W. J., Madani, N., et al. (2020). Increased high-latitude photosynthetic carbon gain offset by respiration carbon loss </w:t>
      </w:r>
      <w:r w:rsidRPr="00C12D8F">
        <w:rPr>
          <w:rFonts w:ascii="Times New Roman" w:hAnsi="Times New Roman" w:cs="Times New Roman"/>
          <w:sz w:val="24"/>
          <w:szCs w:val="24"/>
        </w:rPr>
        <w:lastRenderedPageBreak/>
        <w:t xml:space="preserve">during an anomalous warm winter to spring transition. </w:t>
      </w:r>
      <w:r w:rsidRPr="00C12D8F">
        <w:rPr>
          <w:rFonts w:ascii="Times New Roman" w:hAnsi="Times New Roman" w:cs="Times New Roman"/>
          <w:i/>
          <w:iCs/>
          <w:sz w:val="24"/>
          <w:szCs w:val="24"/>
        </w:rPr>
        <w:t>Global Change Biology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26</w:t>
      </w:r>
      <w:r w:rsidRPr="00C12D8F">
        <w:rPr>
          <w:rFonts w:ascii="Times New Roman" w:hAnsi="Times New Roman" w:cs="Times New Roman"/>
          <w:sz w:val="24"/>
          <w:szCs w:val="24"/>
        </w:rPr>
        <w:t>(2), 682–696. https://doi.org/10.1111/gcb.14863</w:t>
      </w:r>
    </w:p>
    <w:p w14:paraId="573402C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Lohmann, J., Castellana, D., Ditlevsen, P. D., &amp; Dijkstra, H. A. (2021). Abrupt climate change as a rate-dependent cascading tipping point. </w:t>
      </w:r>
      <w:r w:rsidRPr="00C12D8F">
        <w:rPr>
          <w:rFonts w:ascii="Times New Roman" w:hAnsi="Times New Roman" w:cs="Times New Roman"/>
          <w:i/>
          <w:iCs/>
          <w:sz w:val="24"/>
          <w:szCs w:val="24"/>
        </w:rPr>
        <w:t>Earth System Dynamics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w:t>
      </w:r>
      <w:r w:rsidRPr="00C12D8F">
        <w:rPr>
          <w:rFonts w:ascii="Times New Roman" w:hAnsi="Times New Roman" w:cs="Times New Roman"/>
          <w:sz w:val="24"/>
          <w:szCs w:val="24"/>
        </w:rPr>
        <w:t>(3), 819–835. https://doi.org/10.5194/esd-12-819-2021</w:t>
      </w:r>
    </w:p>
    <w:p w14:paraId="015C747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Long, J. C. S., &amp; Shepherd, J. G. (2014). The Strategic Value of Geoengineering Research. In B. Freedman (Ed.), </w:t>
      </w:r>
      <w:r w:rsidRPr="00C12D8F">
        <w:rPr>
          <w:rFonts w:ascii="Times New Roman" w:hAnsi="Times New Roman" w:cs="Times New Roman"/>
          <w:i/>
          <w:iCs/>
          <w:sz w:val="24"/>
          <w:szCs w:val="24"/>
        </w:rPr>
        <w:t>Global Environmental Change</w:t>
      </w:r>
      <w:r w:rsidRPr="00C12D8F">
        <w:rPr>
          <w:rFonts w:ascii="Times New Roman" w:hAnsi="Times New Roman" w:cs="Times New Roman"/>
          <w:sz w:val="24"/>
          <w:szCs w:val="24"/>
        </w:rPr>
        <w:t xml:space="preserve"> (pp. 757–770). Dordrecht: Springer Netherlands. https://doi.org/10.1007/978-94-007-5784-4_24</w:t>
      </w:r>
    </w:p>
    <w:p w14:paraId="52ED256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Lu, Z., Streets, D. G., Zhang, Q., Wang, S., Carmichael, G. R., Cheng, Y. F., et al. (2010). Sulfur dioxide emissions in China and sulfur trends in East Asia since 2000.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w:t>
      </w:r>
      <w:r w:rsidRPr="00C12D8F">
        <w:rPr>
          <w:rFonts w:ascii="Times New Roman" w:hAnsi="Times New Roman" w:cs="Times New Roman"/>
          <w:sz w:val="24"/>
          <w:szCs w:val="24"/>
        </w:rPr>
        <w:t>(13), 6311–6331. https://doi.org/10.5194/acp-10-6311-2010</w:t>
      </w:r>
    </w:p>
    <w:p w14:paraId="6EC13D1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Luo, M., &amp; Lau, N.-C. (2020). Summer heat extremes in northern continents linked to developing ENSO events.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15</w:t>
      </w:r>
      <w:r w:rsidRPr="00C12D8F">
        <w:rPr>
          <w:rFonts w:ascii="Times New Roman" w:hAnsi="Times New Roman" w:cs="Times New Roman"/>
          <w:sz w:val="24"/>
          <w:szCs w:val="24"/>
        </w:rPr>
        <w:t>(7), 074042. https://doi.org/10.1088/1748-9326/ab7d07</w:t>
      </w:r>
    </w:p>
    <w:p w14:paraId="0651315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Luo, X. S., Tang, A. H., Shi, K., Wu, L. H., Li, W. Q., Shi, W. Q., et al. (2014). Chinese coastal seas are facing heavy atmospheric nitrogen deposition.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(9), 095007. https://doi.org/10.1088/1748-9326/9/9/095007</w:t>
      </w:r>
    </w:p>
    <w:p w14:paraId="73DD861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Luo, Y., Ahlström, A., Allison, S. D., Batjes, N. H., Brovkin, V., Carvalhais, N., et al. (2016). Toward more realistic projections of soil carbon dynamics by Earth system models. </w:t>
      </w:r>
      <w:r w:rsidRPr="00C12D8F">
        <w:rPr>
          <w:rFonts w:ascii="Times New Roman" w:hAnsi="Times New Roman" w:cs="Times New Roman"/>
          <w:i/>
          <w:iCs/>
          <w:sz w:val="24"/>
          <w:szCs w:val="24"/>
        </w:rPr>
        <w:t>Global Biogeochemical Cycles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30</w:t>
      </w:r>
      <w:r w:rsidRPr="00C12D8F">
        <w:rPr>
          <w:rFonts w:ascii="Times New Roman" w:hAnsi="Times New Roman" w:cs="Times New Roman"/>
          <w:sz w:val="24"/>
          <w:szCs w:val="24"/>
        </w:rPr>
        <w:t>(1), 40–56. https://doi.org/10.1002/2015GB005239</w:t>
      </w:r>
    </w:p>
    <w:p w14:paraId="146D9A1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Matthew Ballew, Marlon, J., Rosenthal, S., Carman, J., Kotcher, J., Maibach, E., &amp; Leiserowitz, A. (2023). Americans are growing more worried about extreme heat. </w:t>
      </w:r>
      <w:r w:rsidRPr="00C12D8F">
        <w:rPr>
          <w:rFonts w:ascii="Times New Roman" w:hAnsi="Times New Roman" w:cs="Times New Roman"/>
          <w:i/>
          <w:iCs/>
          <w:sz w:val="24"/>
          <w:szCs w:val="24"/>
        </w:rPr>
        <w:t>Yale Program on Climate Change Communication</w:t>
      </w:r>
      <w:r w:rsidRPr="00C12D8F">
        <w:rPr>
          <w:rFonts w:ascii="Times New Roman" w:hAnsi="Times New Roman" w:cs="Times New Roman"/>
          <w:sz w:val="24"/>
          <w:szCs w:val="24"/>
        </w:rPr>
        <w:t>. Retrieved from https://climatecommunication.yale.edu/publications/worry-about-extreme-heat/</w:t>
      </w:r>
    </w:p>
    <w:p w14:paraId="4BBC27C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Maurer, E. P., &amp; Pierce, D. W. (2014). Bias correction can modify climate model simulated precipitation changes without adverse effect on the ensemble mean. </w:t>
      </w:r>
      <w:r w:rsidRPr="00C12D8F">
        <w:rPr>
          <w:rFonts w:ascii="Times New Roman" w:hAnsi="Times New Roman" w:cs="Times New Roman"/>
          <w:i/>
          <w:iCs/>
          <w:sz w:val="24"/>
          <w:szCs w:val="24"/>
        </w:rPr>
        <w:t>Hydrology and Earth System 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18</w:t>
      </w:r>
      <w:r w:rsidRPr="00C12D8F">
        <w:rPr>
          <w:rFonts w:ascii="Times New Roman" w:hAnsi="Times New Roman" w:cs="Times New Roman"/>
          <w:sz w:val="24"/>
          <w:szCs w:val="24"/>
        </w:rPr>
        <w:t>(3), 915–925. https://doi.org/10.5194/hess-18-915-2014</w:t>
      </w:r>
    </w:p>
    <w:p w14:paraId="0C4E366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Mazdiyasni, O., AghaKouchak, A., Davis, S. J., Madadgar, S., Mehran, A., Ragno, E., et al. (2017). Increasing probability of mortality during Indian heat waves. </w:t>
      </w:r>
      <w:r w:rsidRPr="00C12D8F">
        <w:rPr>
          <w:rFonts w:ascii="Times New Roman" w:hAnsi="Times New Roman" w:cs="Times New Roman"/>
          <w:i/>
          <w:iCs/>
          <w:sz w:val="24"/>
          <w:szCs w:val="24"/>
        </w:rPr>
        <w:t>Science Advances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w:t>
      </w:r>
      <w:r w:rsidRPr="00C12D8F">
        <w:rPr>
          <w:rFonts w:ascii="Times New Roman" w:hAnsi="Times New Roman" w:cs="Times New Roman"/>
          <w:sz w:val="24"/>
          <w:szCs w:val="24"/>
        </w:rPr>
        <w:t>(6), e1700066. https://doi.org/10.1126/sciadv.1700066</w:t>
      </w:r>
    </w:p>
    <w:p w14:paraId="2F8A3A6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Mazdiyasni, O., Sadegh, M., Chiang, F., &amp; AghaKouchak, A. (2019). Heat wave Intensity Duration Frequency Curve: A Multivariate Approach for Hazard and Attribution Analysis.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(1), 14117. https://doi.org/10.1038/s41598-019-50643-w</w:t>
      </w:r>
    </w:p>
    <w:p w14:paraId="64F0511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McLinden, C. A., Fioletov, V., Boersma, K. F., Kharol, S. K., Krotkov, N., Lamsal, L., et al. (2014). Improved satellite retrievals of NO&amp;</w:t>
      </w:r>
      <w:proofErr w:type="gramStart"/>
      <w:r w:rsidRPr="00C12D8F">
        <w:rPr>
          <w:rFonts w:ascii="Times New Roman" w:hAnsi="Times New Roman" w:cs="Times New Roman"/>
          <w:sz w:val="24"/>
          <w:szCs w:val="24"/>
        </w:rPr>
        <w:t>lt;sub</w:t>
      </w:r>
      <w:proofErr w:type="gramEnd"/>
      <w:r w:rsidRPr="00C12D8F">
        <w:rPr>
          <w:rFonts w:ascii="Times New Roman" w:hAnsi="Times New Roman" w:cs="Times New Roman"/>
          <w:sz w:val="24"/>
          <w:szCs w:val="24"/>
        </w:rPr>
        <w:t xml:space="preserve">&amp;gt;2&amp;lt;/sub&amp;gt; and SO&amp;lt;sub&amp;gt;2&amp;lt;/sub&amp;gt; over the Canadian oil sands and comparisons with surface measurements.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14</w:t>
      </w:r>
      <w:r w:rsidRPr="00C12D8F">
        <w:rPr>
          <w:rFonts w:ascii="Times New Roman" w:hAnsi="Times New Roman" w:cs="Times New Roman"/>
          <w:sz w:val="24"/>
          <w:szCs w:val="24"/>
        </w:rPr>
        <w:t>(7), 3637–3656. https://doi.org/10.5194/acp-14-3637-2014</w:t>
      </w:r>
    </w:p>
    <w:p w14:paraId="7263FC5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McMurray, J. A., McDonnell, T. C., Mebane, A., &amp; Pardo, L. (2021). </w:t>
      </w:r>
      <w:r w:rsidRPr="00C12D8F">
        <w:rPr>
          <w:rFonts w:ascii="Times New Roman" w:hAnsi="Times New Roman" w:cs="Times New Roman"/>
          <w:i/>
          <w:iCs/>
          <w:sz w:val="24"/>
          <w:szCs w:val="24"/>
        </w:rPr>
        <w:t>Assessment of Atmospheric Nitrogen and Sulfur Deposition Critical Loads for Aquatic and Terrestrial Resources on National Forest System Lands in the Intermountain Region</w:t>
      </w:r>
      <w:r w:rsidRPr="00C12D8F">
        <w:rPr>
          <w:rFonts w:ascii="Times New Roman" w:hAnsi="Times New Roman" w:cs="Times New Roman"/>
          <w:sz w:val="24"/>
          <w:szCs w:val="24"/>
        </w:rPr>
        <w:t xml:space="preserve"> (Technical Report No. NRS-204) (p. 308). Madison, WI: U.S. Department of Agriculture, Forest Service, Northern Research Station. Retrieved from https://doi. org/10.2737/NRS-GTR-204</w:t>
      </w:r>
    </w:p>
    <w:p w14:paraId="00D410F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Melnikova, I., Boucher, O., Cadule, P., Ciais, P., Gasser, T., Quilcaille, Y., et al. (2021). Carbon Cycle Response to Temperature Overshoot Beyond 2°C: An Analysis of CMIP6 Models - Melnikova - 2021 - Earth’s Future - Wiley Online Library. </w:t>
      </w:r>
      <w:r w:rsidRPr="00C12D8F">
        <w:rPr>
          <w:rFonts w:ascii="Times New Roman" w:hAnsi="Times New Roman" w:cs="Times New Roman"/>
          <w:i/>
          <w:iCs/>
          <w:sz w:val="24"/>
          <w:szCs w:val="24"/>
        </w:rPr>
        <w:t>Earth’s Future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(5). https://doi.org/10.1029/2020EF001967</w:t>
      </w:r>
    </w:p>
    <w:p w14:paraId="629B7D5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Mendoza Paz, S., &amp; Willems, P. (2023). The skill of statistical downscaling in future climate with high-resolution climate models as pseudo-reality. </w:t>
      </w:r>
      <w:r w:rsidRPr="00C12D8F">
        <w:rPr>
          <w:rFonts w:ascii="Times New Roman" w:hAnsi="Times New Roman" w:cs="Times New Roman"/>
          <w:i/>
          <w:iCs/>
          <w:sz w:val="24"/>
          <w:szCs w:val="24"/>
        </w:rPr>
        <w:t>Journal of Hydrology: Regional Studies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48</w:t>
      </w:r>
      <w:r w:rsidRPr="00C12D8F">
        <w:rPr>
          <w:rFonts w:ascii="Times New Roman" w:hAnsi="Times New Roman" w:cs="Times New Roman"/>
          <w:sz w:val="24"/>
          <w:szCs w:val="24"/>
        </w:rPr>
        <w:t>, 101477. https://doi.org/10.1016/j.ejrh.2023.101477</w:t>
      </w:r>
    </w:p>
    <w:p w14:paraId="02235F0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Mondal, A., Khare, D., Kundu, S., Mondal, S., Mukherjee, S., &amp; Mukhopadhyay, A. (2017). Spatial soil organic carbon (SOC) prediction by regression kriging using remote sensing data. </w:t>
      </w:r>
      <w:r w:rsidRPr="00C12D8F">
        <w:rPr>
          <w:rFonts w:ascii="Times New Roman" w:hAnsi="Times New Roman" w:cs="Times New Roman"/>
          <w:i/>
          <w:iCs/>
          <w:sz w:val="24"/>
          <w:szCs w:val="24"/>
        </w:rPr>
        <w:t>The Egyptian Journal of Remote Sensing and Space 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20</w:t>
      </w:r>
      <w:r w:rsidRPr="00C12D8F">
        <w:rPr>
          <w:rFonts w:ascii="Times New Roman" w:hAnsi="Times New Roman" w:cs="Times New Roman"/>
          <w:sz w:val="24"/>
          <w:szCs w:val="24"/>
        </w:rPr>
        <w:t>(1), 61–70. https://doi.org/10.1016/j.ejrs.2016.06.004</w:t>
      </w:r>
    </w:p>
    <w:p w14:paraId="2200486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NADP. (2021). National Atmospheric Deposition Program. Retrieved November 18, 2021, from https://nadp.slh.wisc.edu/</w:t>
      </w:r>
    </w:p>
    <w:p w14:paraId="7FE5B91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Nahlik, A. M., &amp; Fennessy, M. S. (2016). Carbon storage in US wetlands. </w:t>
      </w:r>
      <w:r w:rsidRPr="00C12D8F">
        <w:rPr>
          <w:rFonts w:ascii="Times New Roman" w:hAnsi="Times New Roman" w:cs="Times New Roman"/>
          <w:i/>
          <w:iCs/>
          <w:sz w:val="24"/>
          <w:szCs w:val="24"/>
        </w:rPr>
        <w:t>Nature Communications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w:t>
      </w:r>
      <w:r w:rsidRPr="00C12D8F">
        <w:rPr>
          <w:rFonts w:ascii="Times New Roman" w:hAnsi="Times New Roman" w:cs="Times New Roman"/>
          <w:sz w:val="24"/>
          <w:szCs w:val="24"/>
        </w:rPr>
        <w:t>(1), 13835. https://doi.org/10.1038/ncomms13835</w:t>
      </w:r>
    </w:p>
    <w:p w14:paraId="2AFA578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Nairn, J., Fawcett, R., &amp; Ray, D. (2009). Australian Bureau of Meteorology. Australian Bureau of Meteorology.</w:t>
      </w:r>
    </w:p>
    <w:p w14:paraId="60FCF4D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Nairn, J. R., &amp; Fawcett, R. J. B. (2015). The Excess Heat Factor: A Metric for Heatwave Intesity and its Use in Classifying Heatwave Severity. </w:t>
      </w:r>
      <w:r w:rsidRPr="00C12D8F">
        <w:rPr>
          <w:rFonts w:ascii="Times New Roman" w:hAnsi="Times New Roman" w:cs="Times New Roman"/>
          <w:i/>
          <w:iCs/>
          <w:sz w:val="24"/>
          <w:szCs w:val="24"/>
        </w:rPr>
        <w:t>Internation Journal of Environmental Research and Public Health</w:t>
      </w:r>
      <w:r w:rsidRPr="00C12D8F">
        <w:rPr>
          <w:rFonts w:ascii="Times New Roman" w:hAnsi="Times New Roman" w:cs="Times New Roman"/>
          <w:sz w:val="24"/>
          <w:szCs w:val="24"/>
        </w:rPr>
        <w:t>, (12), 227–253.</w:t>
      </w:r>
    </w:p>
    <w:p w14:paraId="6348CBC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NASA. (2011). Tropical Rainfall Measuring Mission (TRMM). Goddard Earth Sciences Data and Information Services Center (GES DISC). Retrieved from https://disc.gsfc.nasa.gov/datasets/TRMM_3B43_7/summary</w:t>
      </w:r>
    </w:p>
    <w:p w14:paraId="7ABF0AB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National Research Council. (2015). </w:t>
      </w:r>
      <w:r w:rsidRPr="00C12D8F">
        <w:rPr>
          <w:rFonts w:ascii="Times New Roman" w:hAnsi="Times New Roman" w:cs="Times New Roman"/>
          <w:i/>
          <w:iCs/>
          <w:sz w:val="24"/>
          <w:szCs w:val="24"/>
        </w:rPr>
        <w:t>Climate Intervention: Reflecting Sunlight to Cool Earth</w:t>
      </w:r>
      <w:r w:rsidRPr="00C12D8F">
        <w:rPr>
          <w:rFonts w:ascii="Times New Roman" w:hAnsi="Times New Roman" w:cs="Times New Roman"/>
          <w:sz w:val="24"/>
          <w:szCs w:val="24"/>
        </w:rPr>
        <w:t>. https://doi.org/10.17226/18988</w:t>
      </w:r>
    </w:p>
    <w:p w14:paraId="0E0B759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Nave, L., Johnson, K., van Ingen, C., Agarwal, D., Humphrey, M., &amp; Beekwilder, N. (2016). </w:t>
      </w:r>
      <w:r w:rsidRPr="00C12D8F">
        <w:rPr>
          <w:rFonts w:ascii="Times New Roman" w:hAnsi="Times New Roman" w:cs="Times New Roman"/>
          <w:i/>
          <w:iCs/>
          <w:sz w:val="24"/>
          <w:szCs w:val="24"/>
        </w:rPr>
        <w:t>International Soil Carbon Network (ISCN) Database v3-1</w:t>
      </w:r>
      <w:r w:rsidRPr="00C12D8F">
        <w:rPr>
          <w:rFonts w:ascii="Times New Roman" w:hAnsi="Times New Roman" w:cs="Times New Roman"/>
          <w:sz w:val="24"/>
          <w:szCs w:val="24"/>
        </w:rPr>
        <w:t>. International Soil Carbon Network (ISCN). https://doi.org/10.17040/ISCN/1305039</w:t>
      </w:r>
    </w:p>
    <w:p w14:paraId="68A9CFA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Nave, L. E., DeLyser, K., Domke, G. M., Holub, S. M., Janowiak, M. K., Ontl, T. A., et al. (2022). Soil carbon in the South Atlantic United States: Land use change, forest management, and physiographic context. </w:t>
      </w:r>
      <w:r w:rsidRPr="00C12D8F">
        <w:rPr>
          <w:rFonts w:ascii="Times New Roman" w:hAnsi="Times New Roman" w:cs="Times New Roman"/>
          <w:i/>
          <w:iCs/>
          <w:sz w:val="24"/>
          <w:szCs w:val="24"/>
        </w:rPr>
        <w:t>Forest Ecology and Management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520</w:t>
      </w:r>
      <w:r w:rsidRPr="00C12D8F">
        <w:rPr>
          <w:rFonts w:ascii="Times New Roman" w:hAnsi="Times New Roman" w:cs="Times New Roman"/>
          <w:sz w:val="24"/>
          <w:szCs w:val="24"/>
        </w:rPr>
        <w:t>, 120410. https://doi.org/10.1016/j.foreco.2022.120410</w:t>
      </w:r>
    </w:p>
    <w:p w14:paraId="5591332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NCAR, &amp; UCAR. (2022, March). Community Earth System Model - CESM®. Retrieved March 10, 2022, from http://www.cesm.ucar.edu</w:t>
      </w:r>
    </w:p>
    <w:p w14:paraId="3E64636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Niemeier, U., &amp; Timmreck, C. (2015). What is the limit of climate engineering by stratospheric injection of SO</w:t>
      </w:r>
      <w:r w:rsidRPr="00C12D8F">
        <w:rPr>
          <w:rFonts w:ascii="Times New Roman" w:hAnsi="Times New Roman" w:cs="Times New Roman"/>
          <w:sz w:val="24"/>
          <w:szCs w:val="24"/>
          <w:vertAlign w:val="subscript"/>
        </w:rPr>
        <w:t>2</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15</w:t>
      </w:r>
      <w:r w:rsidRPr="00C12D8F">
        <w:rPr>
          <w:rFonts w:ascii="Times New Roman" w:hAnsi="Times New Roman" w:cs="Times New Roman"/>
          <w:sz w:val="24"/>
          <w:szCs w:val="24"/>
        </w:rPr>
        <w:t>(16), 9129–9141. https://doi.org/10.5194/acp-15-9129-2015</w:t>
      </w:r>
    </w:p>
    <w:p w14:paraId="2C46CA3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NIH. (2022). Effects of Heat - Climate and Human Health [Overviews and Factsheets]. Retrieved March 10, 2022, from https://www.niehs.nih.gov/research/programs/climatechange/health_impacts/heat/index.cfm</w:t>
      </w:r>
    </w:p>
    <w:p w14:paraId="32C7E79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Nilsson, J. (1988). Critical Loads for Sulphur and Nitrogen. In P. Mathy (Ed.), </w:t>
      </w:r>
      <w:r w:rsidRPr="00C12D8F">
        <w:rPr>
          <w:rFonts w:ascii="Times New Roman" w:hAnsi="Times New Roman" w:cs="Times New Roman"/>
          <w:i/>
          <w:iCs/>
          <w:sz w:val="24"/>
          <w:szCs w:val="24"/>
        </w:rPr>
        <w:t>Air Pollution and Ecosystems</w:t>
      </w:r>
      <w:r w:rsidRPr="00C12D8F">
        <w:rPr>
          <w:rFonts w:ascii="Times New Roman" w:hAnsi="Times New Roman" w:cs="Times New Roman"/>
          <w:sz w:val="24"/>
          <w:szCs w:val="24"/>
        </w:rPr>
        <w:t xml:space="preserve"> (pp. 85–91). Dordrecht: Springer Netherlands. https://doi.org/10.1007/978-94-009-4003-1_11</w:t>
      </w:r>
    </w:p>
    <w:p w14:paraId="3A0B3B6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O’Byrne, G., Martin, R. V., van Donkelaar, A., Joiner, J., &amp; Celarier, E. A. (2010). Surface reflectivity from the Ozone Monitoring Instrument using the Moderate Resolution Imaging Spectroradiometer to eliminate clouds: Effects of snow on ultraviolet and visible </w:t>
      </w:r>
      <w:r w:rsidRPr="00C12D8F">
        <w:rPr>
          <w:rFonts w:ascii="Times New Roman" w:hAnsi="Times New Roman" w:cs="Times New Roman"/>
          <w:sz w:val="24"/>
          <w:szCs w:val="24"/>
        </w:rPr>
        <w:lastRenderedPageBreak/>
        <w:t xml:space="preserve">trace gas retrievals.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115</w:t>
      </w:r>
      <w:r w:rsidRPr="00C12D8F">
        <w:rPr>
          <w:rFonts w:ascii="Times New Roman" w:hAnsi="Times New Roman" w:cs="Times New Roman"/>
          <w:sz w:val="24"/>
          <w:szCs w:val="24"/>
        </w:rPr>
        <w:t>(D17). https://doi.org/10.1029/2009JD013079</w:t>
      </w:r>
    </w:p>
    <w:p w14:paraId="5BF2D22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O’Neill, B. C., Tebaldi, C., van Vuuren, D. P., Eyring, V., Friedlingstein, P., Hurtt, G., et al. (2016). The Scenario Model Intercomparison Project (ScenarioMIP) for CMIP6. </w:t>
      </w:r>
      <w:r w:rsidRPr="00C12D8F">
        <w:rPr>
          <w:rFonts w:ascii="Times New Roman" w:hAnsi="Times New Roman" w:cs="Times New Roman"/>
          <w:i/>
          <w:iCs/>
          <w:sz w:val="24"/>
          <w:szCs w:val="24"/>
        </w:rPr>
        <w:t>Geoscientific Model Development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(9), 3461–3482. https://doi.org/10.5194/gmd-9-3461-2016</w:t>
      </w:r>
    </w:p>
    <w:p w14:paraId="0D7620E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Padilha, M. C. de C., Vicente, L. E., Demattê, J. A. M., dos Santos Wendriner Loebmann, D. G., Vicente, A. K., Salazar, D. F. U., &amp; Guimarães, C. C. B. (2020). Using Landsat and soil clay content to map soil organic carbon of oxisols and Ultisols near São Paulo, Brazil. </w:t>
      </w:r>
      <w:r w:rsidRPr="00C12D8F">
        <w:rPr>
          <w:rFonts w:ascii="Times New Roman" w:hAnsi="Times New Roman" w:cs="Times New Roman"/>
          <w:i/>
          <w:iCs/>
          <w:sz w:val="24"/>
          <w:szCs w:val="24"/>
        </w:rPr>
        <w:t>Geoderma Regional</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21</w:t>
      </w:r>
      <w:r w:rsidRPr="00C12D8F">
        <w:rPr>
          <w:rFonts w:ascii="Times New Roman" w:hAnsi="Times New Roman" w:cs="Times New Roman"/>
          <w:sz w:val="24"/>
          <w:szCs w:val="24"/>
        </w:rPr>
        <w:t>, e00253. https://doi.org/10.1016/j.geodrs.2020.e00253</w:t>
      </w:r>
    </w:p>
    <w:p w14:paraId="07D910D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Park, J.-E., Son, W.-S., Ryu, Y., Choi, S. B., Kwon, O., &amp; Ahn, I. (2020). Effects of temperature, humidity, and diurnal temperature range on influenza incidence in a temperate region. </w:t>
      </w:r>
      <w:r w:rsidRPr="00C12D8F">
        <w:rPr>
          <w:rFonts w:ascii="Times New Roman" w:hAnsi="Times New Roman" w:cs="Times New Roman"/>
          <w:i/>
          <w:iCs/>
          <w:sz w:val="24"/>
          <w:szCs w:val="24"/>
        </w:rPr>
        <w:t>Influenza and Other Respiratory Viruses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14</w:t>
      </w:r>
      <w:r w:rsidRPr="00C12D8F">
        <w:rPr>
          <w:rFonts w:ascii="Times New Roman" w:hAnsi="Times New Roman" w:cs="Times New Roman"/>
          <w:sz w:val="24"/>
          <w:szCs w:val="24"/>
        </w:rPr>
        <w:t>(1), 11–18. https://doi.org/10.1111/irv.12682</w:t>
      </w:r>
    </w:p>
    <w:p w14:paraId="2D68CB0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Patton, N. R., Lohse, K. A., Seyfried, M. S., Godsey, S. E., &amp; Parsons, S. B. (2019). Topographic controls of soil organic carbon on soil-mantled landscapes.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(1), 6390. https://doi.org/10.1038/s41598-019-42556-5</w:t>
      </w:r>
    </w:p>
    <w:p w14:paraId="2842604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Paustian, K., Larson, E., Kent, J., Marx, E., &amp; Swan, A. (2019). Soil C Sequestration as a Biological Negative Emission Strategy. </w:t>
      </w:r>
      <w:r w:rsidRPr="00C12D8F">
        <w:rPr>
          <w:rFonts w:ascii="Times New Roman" w:hAnsi="Times New Roman" w:cs="Times New Roman"/>
          <w:i/>
          <w:iCs/>
          <w:sz w:val="24"/>
          <w:szCs w:val="24"/>
        </w:rPr>
        <w:t>Frontiers in Climate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w:t>
      </w:r>
      <w:r w:rsidRPr="00C12D8F">
        <w:rPr>
          <w:rFonts w:ascii="Times New Roman" w:hAnsi="Times New Roman" w:cs="Times New Roman"/>
          <w:sz w:val="24"/>
          <w:szCs w:val="24"/>
        </w:rPr>
        <w:t>. Retrieved from https://www.frontiersin.org/article/10.3389/fclim.2019.00008</w:t>
      </w:r>
    </w:p>
    <w:p w14:paraId="15736FB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Pavlovic, N. R., Chang, S. Y., Huang, J., Craig, K., Clark, C., Horn, K., &amp; Driscoll, C. T. (2023). Empirical nitrogen and sulfur critical loads of U.S. tree species and their uncertainties with machine learning. </w:t>
      </w:r>
      <w:r w:rsidRPr="00C12D8F">
        <w:rPr>
          <w:rFonts w:ascii="Times New Roman" w:hAnsi="Times New Roman" w:cs="Times New Roman"/>
          <w:i/>
          <w:iCs/>
          <w:sz w:val="24"/>
          <w:szCs w:val="24"/>
        </w:rPr>
        <w:t>Science of The Total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857</w:t>
      </w:r>
      <w:r w:rsidRPr="00C12D8F">
        <w:rPr>
          <w:rFonts w:ascii="Times New Roman" w:hAnsi="Times New Roman" w:cs="Times New Roman"/>
          <w:sz w:val="24"/>
          <w:szCs w:val="24"/>
        </w:rPr>
        <w:t>, 159252. https://doi.org/10.1016/j.scitotenv.2022.159252</w:t>
      </w:r>
    </w:p>
    <w:p w14:paraId="08925C2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Peng, R. D., Bobb, J. F., Tebaldi, C., McDaniel, L., Bell, M. L., &amp; Dominici, F. (2011). Toward a Quantitative Estimate of Future Heat Wave Mortality under Global Climate Change. </w:t>
      </w:r>
      <w:r w:rsidRPr="00C12D8F">
        <w:rPr>
          <w:rFonts w:ascii="Times New Roman" w:hAnsi="Times New Roman" w:cs="Times New Roman"/>
          <w:i/>
          <w:iCs/>
          <w:sz w:val="24"/>
          <w:szCs w:val="24"/>
        </w:rPr>
        <w:t>Environmental Health Perspectives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119</w:t>
      </w:r>
      <w:r w:rsidRPr="00C12D8F">
        <w:rPr>
          <w:rFonts w:ascii="Times New Roman" w:hAnsi="Times New Roman" w:cs="Times New Roman"/>
          <w:sz w:val="24"/>
          <w:szCs w:val="24"/>
        </w:rPr>
        <w:t>(5), 701–706. https://doi.org/10.1289/ehp.1002430</w:t>
      </w:r>
    </w:p>
    <w:p w14:paraId="71E5603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Perkins, S. E., &amp; Alexander, L. V. (2013). On the Measurement of Heat Waves. </w:t>
      </w:r>
      <w:r w:rsidRPr="00C12D8F">
        <w:rPr>
          <w:rFonts w:ascii="Times New Roman" w:hAnsi="Times New Roman" w:cs="Times New Roman"/>
          <w:i/>
          <w:iCs/>
          <w:sz w:val="24"/>
          <w:szCs w:val="24"/>
        </w:rPr>
        <w:t>Journal of Climate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26</w:t>
      </w:r>
      <w:r w:rsidRPr="00C12D8F">
        <w:rPr>
          <w:rFonts w:ascii="Times New Roman" w:hAnsi="Times New Roman" w:cs="Times New Roman"/>
          <w:sz w:val="24"/>
          <w:szCs w:val="24"/>
        </w:rPr>
        <w:t>(13), 4500–4517. https://doi.org/10.1175/JCLI-D-12-00383.1</w:t>
      </w:r>
    </w:p>
    <w:p w14:paraId="07A8EBF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Pfleiderer, P., Schleussner, C.-F., Kornhuber, K., &amp; Coumou, D. (2019). Summer weather becomes more persistent in a 2 °C world. </w:t>
      </w:r>
      <w:r w:rsidRPr="00C12D8F">
        <w:rPr>
          <w:rFonts w:ascii="Times New Roman" w:hAnsi="Times New Roman" w:cs="Times New Roman"/>
          <w:i/>
          <w:iCs/>
          <w:sz w:val="24"/>
          <w:szCs w:val="24"/>
        </w:rPr>
        <w:t>Nature Climate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(9), 666–671. https://doi.org/10.1038/s41558-019-0555-0</w:t>
      </w:r>
    </w:p>
    <w:p w14:paraId="7671D97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Philip, S. Y., Kew, S. F., van Oldenborgh, G. J., Anslow, F. S., Seneviratne, S. I., Vautard, R., et al. (2021). Rapid attribution analysis of the extraordinary heatwave on the Pacific Coast of the US and Canada June 2021. </w:t>
      </w:r>
      <w:r w:rsidRPr="00C12D8F">
        <w:rPr>
          <w:rFonts w:ascii="Times New Roman" w:hAnsi="Times New Roman" w:cs="Times New Roman"/>
          <w:i/>
          <w:iCs/>
          <w:sz w:val="24"/>
          <w:szCs w:val="24"/>
        </w:rPr>
        <w:t>Earth System Dynamics Discussions</w:t>
      </w:r>
      <w:r w:rsidRPr="00C12D8F">
        <w:rPr>
          <w:rFonts w:ascii="Times New Roman" w:hAnsi="Times New Roman" w:cs="Times New Roman"/>
          <w:sz w:val="24"/>
          <w:szCs w:val="24"/>
        </w:rPr>
        <w:t>, 1–34. https://doi.org/10.5194/esd-2021-90</w:t>
      </w:r>
    </w:p>
    <w:p w14:paraId="08B0AFE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Poggio, L., de Sousa, L. M., Batjes, N. H., Heuvelink, G. B. M., Kempen, B., Ribeiro, E., &amp; Rossiter, D. (2021). SoilGrids 2.0: producing soil information for the globe with quantified spatial uncertainty. </w:t>
      </w:r>
      <w:r w:rsidRPr="00C12D8F">
        <w:rPr>
          <w:rFonts w:ascii="Times New Roman" w:hAnsi="Times New Roman" w:cs="Times New Roman"/>
          <w:i/>
          <w:iCs/>
          <w:sz w:val="24"/>
          <w:szCs w:val="24"/>
        </w:rPr>
        <w:t>SOIL</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w:t>
      </w:r>
      <w:r w:rsidRPr="00C12D8F">
        <w:rPr>
          <w:rFonts w:ascii="Times New Roman" w:hAnsi="Times New Roman" w:cs="Times New Roman"/>
          <w:sz w:val="24"/>
          <w:szCs w:val="24"/>
        </w:rPr>
        <w:t>(1), 217–240. https://doi.org/10.5194/soil-7-217-2021</w:t>
      </w:r>
    </w:p>
    <w:p w14:paraId="7D590C8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Provencher, L., Byer, S., Frid, L., Senthivasan, S., Badik, K. J., &amp; Szabo, K. (2023). Carbon Sequestration in Degraded Intermountain West Rangelands, United States. </w:t>
      </w:r>
      <w:r w:rsidRPr="00C12D8F">
        <w:rPr>
          <w:rFonts w:ascii="Times New Roman" w:hAnsi="Times New Roman" w:cs="Times New Roman"/>
          <w:i/>
          <w:iCs/>
          <w:sz w:val="24"/>
          <w:szCs w:val="24"/>
        </w:rPr>
        <w:t>Rangeland Ecology &amp; Management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90</w:t>
      </w:r>
      <w:r w:rsidRPr="00C12D8F">
        <w:rPr>
          <w:rFonts w:ascii="Times New Roman" w:hAnsi="Times New Roman" w:cs="Times New Roman"/>
          <w:sz w:val="24"/>
          <w:szCs w:val="24"/>
        </w:rPr>
        <w:t>, 22–34. https://doi.org/10.1016/j.rama.2023.05.004</w:t>
      </w:r>
    </w:p>
    <w:p w14:paraId="5C43830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Pye, H. O. T., Nenes, A., Alexander, B., Ault, A. P., Barth, M. C., Clegg, S. L., et al. (2020). The acidity of atmospheric particles and clouds.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20</w:t>
      </w:r>
      <w:r w:rsidRPr="00C12D8F">
        <w:rPr>
          <w:rFonts w:ascii="Times New Roman" w:hAnsi="Times New Roman" w:cs="Times New Roman"/>
          <w:sz w:val="24"/>
          <w:szCs w:val="24"/>
        </w:rPr>
        <w:t>(8), 4809–4888. https://doi.org/10.5194/acp-20-4809-2020</w:t>
      </w:r>
    </w:p>
    <w:p w14:paraId="250726B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Qu, L., Xiao, H., Zheng, N., Zhang, Z., &amp; Xu, Y. (2017). Comparison of four methods for spatial interpolation of estimated atmospheric nitrogen deposition in South China. </w:t>
      </w:r>
      <w:r w:rsidRPr="00C12D8F">
        <w:rPr>
          <w:rFonts w:ascii="Times New Roman" w:hAnsi="Times New Roman" w:cs="Times New Roman"/>
          <w:i/>
          <w:iCs/>
          <w:sz w:val="24"/>
          <w:szCs w:val="24"/>
        </w:rPr>
        <w:t>Environmental Science and Pollution Research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24</w:t>
      </w:r>
      <w:r w:rsidRPr="00C12D8F">
        <w:rPr>
          <w:rFonts w:ascii="Times New Roman" w:hAnsi="Times New Roman" w:cs="Times New Roman"/>
          <w:sz w:val="24"/>
          <w:szCs w:val="24"/>
        </w:rPr>
        <w:t>(3), 2578–2588. https://doi.org/10.1007/s11356-016-7995-0</w:t>
      </w:r>
    </w:p>
    <w:p w14:paraId="1E65460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R Core Team. (2022). R: A Language and Environment for Statistical Computing (Version 3.6.0). R Foundation for Statistical Computing. Retrieved from http://R-project.org/</w:t>
      </w:r>
    </w:p>
    <w:p w14:paraId="2E3B29B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Raei, E., Nikoo, M. R., AghaKouchak, A., Mazdiyasni, O., &amp; Sadegh, M. (2018). GHWR, a multi-method global heatwave and </w:t>
      </w:r>
      <w:proofErr w:type="gramStart"/>
      <w:r w:rsidRPr="00C12D8F">
        <w:rPr>
          <w:rFonts w:ascii="Times New Roman" w:hAnsi="Times New Roman" w:cs="Times New Roman"/>
          <w:sz w:val="24"/>
          <w:szCs w:val="24"/>
        </w:rPr>
        <w:t>warm-spell</w:t>
      </w:r>
      <w:proofErr w:type="gramEnd"/>
      <w:r w:rsidRPr="00C12D8F">
        <w:rPr>
          <w:rFonts w:ascii="Times New Roman" w:hAnsi="Times New Roman" w:cs="Times New Roman"/>
          <w:sz w:val="24"/>
          <w:szCs w:val="24"/>
        </w:rPr>
        <w:t xml:space="preserve"> record and toolbox. </w:t>
      </w:r>
      <w:r w:rsidRPr="00C12D8F">
        <w:rPr>
          <w:rFonts w:ascii="Times New Roman" w:hAnsi="Times New Roman" w:cs="Times New Roman"/>
          <w:i/>
          <w:iCs/>
          <w:sz w:val="24"/>
          <w:szCs w:val="24"/>
        </w:rPr>
        <w:t>Scientific Data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w:t>
      </w:r>
      <w:r w:rsidRPr="00C12D8F">
        <w:rPr>
          <w:rFonts w:ascii="Times New Roman" w:hAnsi="Times New Roman" w:cs="Times New Roman"/>
          <w:sz w:val="24"/>
          <w:szCs w:val="24"/>
        </w:rPr>
        <w:t>(1), 180206. https://doi.org/10.1038/sdata.2018.206</w:t>
      </w:r>
    </w:p>
    <w:p w14:paraId="2EBC48C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Ramcharan, A., Hengl, T., Nauman, T., Brungard, C., Waltman, S., Wills, S., &amp; Thompson, J. (2018). Soil Property and Class Maps of the Conterminous United States at 100-Meter Spatial Resolution. </w:t>
      </w:r>
      <w:r w:rsidRPr="00C12D8F">
        <w:rPr>
          <w:rFonts w:ascii="Times New Roman" w:hAnsi="Times New Roman" w:cs="Times New Roman"/>
          <w:i/>
          <w:iCs/>
          <w:sz w:val="24"/>
          <w:szCs w:val="24"/>
        </w:rPr>
        <w:t>Soil Science Society of America Journal</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82</w:t>
      </w:r>
      <w:r w:rsidRPr="00C12D8F">
        <w:rPr>
          <w:rFonts w:ascii="Times New Roman" w:hAnsi="Times New Roman" w:cs="Times New Roman"/>
          <w:sz w:val="24"/>
          <w:szCs w:val="24"/>
        </w:rPr>
        <w:t>(1), 186–201. https://doi.org/10.2136/sssaj2017.04.0122</w:t>
      </w:r>
    </w:p>
    <w:p w14:paraId="084067A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Rastogi, D., Kao, S.-C., &amp; Ashfaq, M. (2022). How May the Choice of Downscaling Techniques and Meteorological Reference Observations Affect Future Hydroclimate Projections? </w:t>
      </w:r>
      <w:r w:rsidRPr="00C12D8F">
        <w:rPr>
          <w:rFonts w:ascii="Times New Roman" w:hAnsi="Times New Roman" w:cs="Times New Roman"/>
          <w:i/>
          <w:iCs/>
          <w:sz w:val="24"/>
          <w:szCs w:val="24"/>
        </w:rPr>
        <w:t>Earth’s Future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w:t>
      </w:r>
      <w:r w:rsidRPr="00C12D8F">
        <w:rPr>
          <w:rFonts w:ascii="Times New Roman" w:hAnsi="Times New Roman" w:cs="Times New Roman"/>
          <w:sz w:val="24"/>
          <w:szCs w:val="24"/>
        </w:rPr>
        <w:t>(8), e2022EF002734. https://doi.org/10.1029/2022EF002734</w:t>
      </w:r>
    </w:p>
    <w:p w14:paraId="29D4A94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Reichstein, M., Bahn, M., Ciais, P., Frank, D., Mahecha, M. D., Seneviratne, S. I., et al. (2013). Climate extremes and the carbon cycle. </w:t>
      </w:r>
      <w:r w:rsidRPr="00C12D8F">
        <w:rPr>
          <w:rFonts w:ascii="Times New Roman" w:hAnsi="Times New Roman" w:cs="Times New Roman"/>
          <w:i/>
          <w:iCs/>
          <w:sz w:val="24"/>
          <w:szCs w:val="24"/>
        </w:rPr>
        <w:t>Nature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500</w:t>
      </w:r>
      <w:r w:rsidRPr="00C12D8F">
        <w:rPr>
          <w:rFonts w:ascii="Times New Roman" w:hAnsi="Times New Roman" w:cs="Times New Roman"/>
          <w:sz w:val="24"/>
          <w:szCs w:val="24"/>
        </w:rPr>
        <w:t>(7462), 287–295. https://doi.org/10.1038/nature12350</w:t>
      </w:r>
    </w:p>
    <w:p w14:paraId="5E6F43E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Ren, W., Banger, K., Tao, B., Yang, J., Huang, Y., &amp; Tian, H. (2020). Global pattern and change of cropland soil organic carbon during 1901-2010: Roles of climate, atmospheric chemistry, land use and management. </w:t>
      </w:r>
      <w:r w:rsidRPr="00C12D8F">
        <w:rPr>
          <w:rFonts w:ascii="Times New Roman" w:hAnsi="Times New Roman" w:cs="Times New Roman"/>
          <w:i/>
          <w:iCs/>
          <w:sz w:val="24"/>
          <w:szCs w:val="24"/>
        </w:rPr>
        <w:t>Geography and Sustainability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w:t>
      </w:r>
      <w:r w:rsidRPr="00C12D8F">
        <w:rPr>
          <w:rFonts w:ascii="Times New Roman" w:hAnsi="Times New Roman" w:cs="Times New Roman"/>
          <w:sz w:val="24"/>
          <w:szCs w:val="24"/>
        </w:rPr>
        <w:t>(1), 59–69. https://doi.org/10.1016/j.geosus.2020.03.001</w:t>
      </w:r>
    </w:p>
    <w:p w14:paraId="6D8C4AA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Riahi, K., Rao, S., Krey, V., Cho, C., Chirkov, V., Fischer, G., et al. (2011). RCP 8.5—A scenario of comparatively high greenhouse gas emissions. </w:t>
      </w:r>
      <w:r w:rsidRPr="00C12D8F">
        <w:rPr>
          <w:rFonts w:ascii="Times New Roman" w:hAnsi="Times New Roman" w:cs="Times New Roman"/>
          <w:i/>
          <w:iCs/>
          <w:sz w:val="24"/>
          <w:szCs w:val="24"/>
        </w:rPr>
        <w:t>Climatic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109</w:t>
      </w:r>
      <w:r w:rsidRPr="00C12D8F">
        <w:rPr>
          <w:rFonts w:ascii="Times New Roman" w:hAnsi="Times New Roman" w:cs="Times New Roman"/>
          <w:sz w:val="24"/>
          <w:szCs w:val="24"/>
        </w:rPr>
        <w:t>(1), 33. https://doi.org/10.1007/s10584-011-0149-y</w:t>
      </w:r>
    </w:p>
    <w:p w14:paraId="3A18FE2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Riahi, K., van Vuuren, D. P., Kriegler, E., Edmonds, J., O’Neill, B. C., Fujimori, S., et al. (2017). The Shared Socioeconomic Pathways and their energy, land use, and greenhouse gas emissions implications: An overview. </w:t>
      </w:r>
      <w:r w:rsidRPr="00C12D8F">
        <w:rPr>
          <w:rFonts w:ascii="Times New Roman" w:hAnsi="Times New Roman" w:cs="Times New Roman"/>
          <w:i/>
          <w:iCs/>
          <w:sz w:val="24"/>
          <w:szCs w:val="24"/>
        </w:rPr>
        <w:t>Global Environmental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42</w:t>
      </w:r>
      <w:r w:rsidRPr="00C12D8F">
        <w:rPr>
          <w:rFonts w:ascii="Times New Roman" w:hAnsi="Times New Roman" w:cs="Times New Roman"/>
          <w:sz w:val="24"/>
          <w:szCs w:val="24"/>
        </w:rPr>
        <w:t>, 153–168. https://doi.org/10.1016/j.gloenvcha.2016.05.009</w:t>
      </w:r>
    </w:p>
    <w:p w14:paraId="6BDAE00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Robinson, S. I., O’Gorman, E. J., Frey, B., Hagner, M., &amp; Mikola, J. (2022). Soil organic matter, rather than temperature, determines the structure and functioning of subarctic decomposer communities. </w:t>
      </w:r>
      <w:r w:rsidRPr="00C12D8F">
        <w:rPr>
          <w:rFonts w:ascii="Times New Roman" w:hAnsi="Times New Roman" w:cs="Times New Roman"/>
          <w:i/>
          <w:iCs/>
          <w:sz w:val="24"/>
          <w:szCs w:val="24"/>
        </w:rPr>
        <w:t>Global Change Biology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28</w:t>
      </w:r>
      <w:r w:rsidRPr="00C12D8F">
        <w:rPr>
          <w:rFonts w:ascii="Times New Roman" w:hAnsi="Times New Roman" w:cs="Times New Roman"/>
          <w:sz w:val="24"/>
          <w:szCs w:val="24"/>
        </w:rPr>
        <w:t>(12), 3929–3943. https://doi.org/10.1111/gcb.16158</w:t>
      </w:r>
    </w:p>
    <w:p w14:paraId="46D15FC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Robiou du Pont, Y., &amp; Meinshausen, M. (2018). Warming assessment of the bottom-up Paris Agreement emissions pledges. </w:t>
      </w:r>
      <w:r w:rsidRPr="00C12D8F">
        <w:rPr>
          <w:rFonts w:ascii="Times New Roman" w:hAnsi="Times New Roman" w:cs="Times New Roman"/>
          <w:i/>
          <w:iCs/>
          <w:sz w:val="24"/>
          <w:szCs w:val="24"/>
        </w:rPr>
        <w:t>Nature Communications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(1), 4810. https://doi.org/10.1038/s41467-018-07223-9</w:t>
      </w:r>
    </w:p>
    <w:p w14:paraId="6954639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Rubin, H. J., Lutz, D. A., Steele, B. G., Cottingham, K. L., Weathers, K. C., Ducey, M. J., et al. (2021). Remote Sensing of Lake Water Clarity: Performance and Transferability of Both Historical Algorithms and Machine Learning. </w:t>
      </w:r>
      <w:r w:rsidRPr="00C12D8F">
        <w:rPr>
          <w:rFonts w:ascii="Times New Roman" w:hAnsi="Times New Roman" w:cs="Times New Roman"/>
          <w:i/>
          <w:iCs/>
          <w:sz w:val="24"/>
          <w:szCs w:val="24"/>
        </w:rPr>
        <w:t>Remote Sensing</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13</w:t>
      </w:r>
      <w:r w:rsidRPr="00C12D8F">
        <w:rPr>
          <w:rFonts w:ascii="Times New Roman" w:hAnsi="Times New Roman" w:cs="Times New Roman"/>
          <w:sz w:val="24"/>
          <w:szCs w:val="24"/>
        </w:rPr>
        <w:t>(8), 1434. https://doi.org/10.3390/rs13081434</w:t>
      </w:r>
    </w:p>
    <w:p w14:paraId="657D227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Rubin, H. J., Fu, J. S., Dentener, F., Li, R., Huang, K., &amp; Fu, H. (2023). Global nitrogen and sulfur deposition mapping using a measurement–model fusion approach.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23</w:t>
      </w:r>
      <w:r w:rsidRPr="00C12D8F">
        <w:rPr>
          <w:rFonts w:ascii="Times New Roman" w:hAnsi="Times New Roman" w:cs="Times New Roman"/>
          <w:sz w:val="24"/>
          <w:szCs w:val="24"/>
        </w:rPr>
        <w:t>(12), 7091–7102. https://doi.org/10.5194/acp-23-7091-2023</w:t>
      </w:r>
    </w:p>
    <w:p w14:paraId="0CA1340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Russo, S., Dosio, A., Graversen, R. G., Sillmann, J., Carrao, H., Dunbar, M. B., et al. (2014). Magnitude of extreme heat waves in present climate and their projection in a warming world.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119</w:t>
      </w:r>
      <w:r w:rsidRPr="00C12D8F">
        <w:rPr>
          <w:rFonts w:ascii="Times New Roman" w:hAnsi="Times New Roman" w:cs="Times New Roman"/>
          <w:sz w:val="24"/>
          <w:szCs w:val="24"/>
        </w:rPr>
        <w:t>(22), 12,500-12,512. https://doi.org/10.1002/2014JD022098</w:t>
      </w:r>
    </w:p>
    <w:p w14:paraId="1F56053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Sahu, S. K., Gelfand, A. E., &amp; Holland, D. M. (2010). Fusing point and areal level space–time data with application to wet deposition. </w:t>
      </w:r>
      <w:r w:rsidRPr="00C12D8F">
        <w:rPr>
          <w:rFonts w:ascii="Times New Roman" w:hAnsi="Times New Roman" w:cs="Times New Roman"/>
          <w:i/>
          <w:iCs/>
          <w:sz w:val="24"/>
          <w:szCs w:val="24"/>
        </w:rPr>
        <w:t>Journal of the Royal Statistical Society: Series C (Applied Statistics)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59</w:t>
      </w:r>
      <w:r w:rsidRPr="00C12D8F">
        <w:rPr>
          <w:rFonts w:ascii="Times New Roman" w:hAnsi="Times New Roman" w:cs="Times New Roman"/>
          <w:sz w:val="24"/>
          <w:szCs w:val="24"/>
        </w:rPr>
        <w:t>(1), 77–103. https://doi.org/10.1111/j.1467-9876.2009.00685.x</w:t>
      </w:r>
    </w:p>
    <w:p w14:paraId="42125DC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Sanderman, J., Hengl, T., &amp; Fiske, G. J. (2017). Soil carbon debt of 12,000 years of human land use. </w:t>
      </w:r>
      <w:r w:rsidRPr="00C12D8F">
        <w:rPr>
          <w:rFonts w:ascii="Times New Roman" w:hAnsi="Times New Roman" w:cs="Times New Roman"/>
          <w:i/>
          <w:iCs/>
          <w:sz w:val="24"/>
          <w:szCs w:val="24"/>
        </w:rPr>
        <w:t>Proceedings of the National Academy of 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114</w:t>
      </w:r>
      <w:r w:rsidRPr="00C12D8F">
        <w:rPr>
          <w:rFonts w:ascii="Times New Roman" w:hAnsi="Times New Roman" w:cs="Times New Roman"/>
          <w:sz w:val="24"/>
          <w:szCs w:val="24"/>
        </w:rPr>
        <w:t>(36), 9575–9580. https://doi.org/10.1073/pnas.1706103114</w:t>
      </w:r>
    </w:p>
    <w:p w14:paraId="55A381F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Scheffers, B. R., De Meester, L., Bridge, T. C. L., Hoffmann, A. A., Pandolfi, J. M., Corlett, R. T., et al. (2016). The broad footprint of climate change from genes to biomes to people. </w:t>
      </w:r>
      <w:r w:rsidRPr="00C12D8F">
        <w:rPr>
          <w:rFonts w:ascii="Times New Roman" w:hAnsi="Times New Roman" w:cs="Times New Roman"/>
          <w:i/>
          <w:iCs/>
          <w:sz w:val="24"/>
          <w:szCs w:val="24"/>
        </w:rPr>
        <w:t>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354</w:t>
      </w:r>
      <w:r w:rsidRPr="00C12D8F">
        <w:rPr>
          <w:rFonts w:ascii="Times New Roman" w:hAnsi="Times New Roman" w:cs="Times New Roman"/>
          <w:sz w:val="24"/>
          <w:szCs w:val="24"/>
        </w:rPr>
        <w:t>(6313), aaf7671. https://doi.org/10.1126/science.aaf7671</w:t>
      </w:r>
    </w:p>
    <w:p w14:paraId="7CBEAEA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Schillaci, C., Lombardo, L., Saia, S., Fantappiè, M., Märker, M., &amp; Acutis, M. (2017). Modelling the </w:t>
      </w:r>
      <w:proofErr w:type="gramStart"/>
      <w:r w:rsidRPr="00C12D8F">
        <w:rPr>
          <w:rFonts w:ascii="Times New Roman" w:hAnsi="Times New Roman" w:cs="Times New Roman"/>
          <w:sz w:val="24"/>
          <w:szCs w:val="24"/>
        </w:rPr>
        <w:t>topsoil</w:t>
      </w:r>
      <w:proofErr w:type="gramEnd"/>
      <w:r w:rsidRPr="00C12D8F">
        <w:rPr>
          <w:rFonts w:ascii="Times New Roman" w:hAnsi="Times New Roman" w:cs="Times New Roman"/>
          <w:sz w:val="24"/>
          <w:szCs w:val="24"/>
        </w:rPr>
        <w:t xml:space="preserve"> carbon stock of agricultural lands with the Stochastic Gradient Treeboost in a semi-arid Mediterranean region. </w:t>
      </w:r>
      <w:r w:rsidRPr="00C12D8F">
        <w:rPr>
          <w:rFonts w:ascii="Times New Roman" w:hAnsi="Times New Roman" w:cs="Times New Roman"/>
          <w:i/>
          <w:iCs/>
          <w:sz w:val="24"/>
          <w:szCs w:val="24"/>
        </w:rPr>
        <w:t>Geoderma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286</w:t>
      </w:r>
      <w:r w:rsidRPr="00C12D8F">
        <w:rPr>
          <w:rFonts w:ascii="Times New Roman" w:hAnsi="Times New Roman" w:cs="Times New Roman"/>
          <w:sz w:val="24"/>
          <w:szCs w:val="24"/>
        </w:rPr>
        <w:t>, 35–45. https://doi.org/10.1016/j.geoderma.2016.10.019</w:t>
      </w:r>
    </w:p>
    <w:p w14:paraId="3A405F5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Schultz, P. A., &amp; Kasting, J. F. (1997). Optimal reductions in CO2 emissions. </w:t>
      </w:r>
      <w:r w:rsidRPr="00C12D8F">
        <w:rPr>
          <w:rFonts w:ascii="Times New Roman" w:hAnsi="Times New Roman" w:cs="Times New Roman"/>
          <w:i/>
          <w:iCs/>
          <w:sz w:val="24"/>
          <w:szCs w:val="24"/>
        </w:rPr>
        <w:t>Energy Policy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25</w:t>
      </w:r>
      <w:r w:rsidRPr="00C12D8F">
        <w:rPr>
          <w:rFonts w:ascii="Times New Roman" w:hAnsi="Times New Roman" w:cs="Times New Roman"/>
          <w:sz w:val="24"/>
          <w:szCs w:val="24"/>
        </w:rPr>
        <w:t>(5), 491–500. https://doi.org/10.1016/S0301-4215(97)00027-X</w:t>
      </w:r>
    </w:p>
    <w:p w14:paraId="5297734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Schulzweida, U. (2021). CDO User Guide. https://doi.org/10.5281/zenodo.5614769</w:t>
      </w:r>
    </w:p>
    <w:p w14:paraId="172EA51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Schwede, D., Zhang, L., Vet, R., &amp; Lear, G. (2011). An intercomparison of the deposition models used in the CASTNET and CAPMoN networks. </w:t>
      </w:r>
      <w:r w:rsidRPr="00C12D8F">
        <w:rPr>
          <w:rFonts w:ascii="Times New Roman" w:hAnsi="Times New Roman" w:cs="Times New Roman"/>
          <w:i/>
          <w:iCs/>
          <w:sz w:val="24"/>
          <w:szCs w:val="24"/>
        </w:rPr>
        <w:t>Atmospheric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45</w:t>
      </w:r>
      <w:r w:rsidRPr="00C12D8F">
        <w:rPr>
          <w:rFonts w:ascii="Times New Roman" w:hAnsi="Times New Roman" w:cs="Times New Roman"/>
          <w:sz w:val="24"/>
          <w:szCs w:val="24"/>
        </w:rPr>
        <w:t>(6), 1337–1346. https://doi.org/10.1016/j.atmosenv.2010.11.050</w:t>
      </w:r>
    </w:p>
    <w:p w14:paraId="737F461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Schwede, D., Cole, A., Vet, R., &amp; Lear, G. (2019). Ongoing U.S. - Canada Collaboration on Nitrogen and Sulfur Deposition, 5.</w:t>
      </w:r>
    </w:p>
    <w:p w14:paraId="74B0635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Schwede, D. B., &amp; Lear, G. G. (2014). A novel hybrid approach for estimating total deposition in the United States. </w:t>
      </w:r>
      <w:r w:rsidRPr="00C12D8F">
        <w:rPr>
          <w:rFonts w:ascii="Times New Roman" w:hAnsi="Times New Roman" w:cs="Times New Roman"/>
          <w:i/>
          <w:iCs/>
          <w:sz w:val="24"/>
          <w:szCs w:val="24"/>
        </w:rPr>
        <w:t>Atmospheric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92</w:t>
      </w:r>
      <w:r w:rsidRPr="00C12D8F">
        <w:rPr>
          <w:rFonts w:ascii="Times New Roman" w:hAnsi="Times New Roman" w:cs="Times New Roman"/>
          <w:sz w:val="24"/>
          <w:szCs w:val="24"/>
        </w:rPr>
        <w:t>, 207–220. https://doi.org/10.1016/j.atmosenv.2014.04.008</w:t>
      </w:r>
    </w:p>
    <w:p w14:paraId="2DE057B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Séférian, R., Nabat, P., Michou, M., Saint-Martin, D., Voldoire, A., Colin, J., et al. (2019). Evaluation of CNRM Earth System Model, CNRM-ESM2-1: Role of Earth System </w:t>
      </w:r>
      <w:r w:rsidRPr="00C12D8F">
        <w:rPr>
          <w:rFonts w:ascii="Times New Roman" w:hAnsi="Times New Roman" w:cs="Times New Roman"/>
          <w:sz w:val="24"/>
          <w:szCs w:val="24"/>
        </w:rPr>
        <w:lastRenderedPageBreak/>
        <w:t xml:space="preserve">Processes in Present-Day and Future Climate. </w:t>
      </w:r>
      <w:r w:rsidRPr="00C12D8F">
        <w:rPr>
          <w:rFonts w:ascii="Times New Roman" w:hAnsi="Times New Roman" w:cs="Times New Roman"/>
          <w:i/>
          <w:iCs/>
          <w:sz w:val="24"/>
          <w:szCs w:val="24"/>
        </w:rPr>
        <w:t>Journal of Advances in Modeling Earth Systems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w:t>
      </w:r>
      <w:r w:rsidRPr="00C12D8F">
        <w:rPr>
          <w:rFonts w:ascii="Times New Roman" w:hAnsi="Times New Roman" w:cs="Times New Roman"/>
          <w:sz w:val="24"/>
          <w:szCs w:val="24"/>
        </w:rPr>
        <w:t>(12), 4182–4227. https://doi.org/10.1029/2019MS001791</w:t>
      </w:r>
    </w:p>
    <w:p w14:paraId="129240E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Seneviratne, S. I., Zhang, X., Adnan, M., Badi, W., Dereczynski, C., Di Luca, A., et al. (2021). Chapter 11: Weather and Climate Extreme Events in a Changing Climate. In J. Chan, A. Sorteberrg, &amp; C. Vera (Eds.), </w:t>
      </w:r>
      <w:r w:rsidRPr="00C12D8F">
        <w:rPr>
          <w:rFonts w:ascii="Times New Roman" w:hAnsi="Times New Roman" w:cs="Times New Roman"/>
          <w:i/>
          <w:iCs/>
          <w:sz w:val="24"/>
          <w:szCs w:val="24"/>
        </w:rPr>
        <w:t>Climate Change 2021: The Physical Science Basis. Contributions of Working Group I to th Sixth Assessment Report of the Intergovernmental Panel on Climate Change</w:t>
      </w:r>
      <w:r w:rsidRPr="00C12D8F">
        <w:rPr>
          <w:rFonts w:ascii="Times New Roman" w:hAnsi="Times New Roman" w:cs="Times New Roman"/>
          <w:sz w:val="24"/>
          <w:szCs w:val="24"/>
        </w:rPr>
        <w:t xml:space="preserve"> (pp. 1513–1766). Cambridge, UK and New York, NY, USA: Cambridge University Press.</w:t>
      </w:r>
    </w:p>
    <w:p w14:paraId="0FD1B372"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Shepherd, J. G. (2012). Geoengineering the climate: an overview and update. </w:t>
      </w:r>
      <w:r w:rsidRPr="00C12D8F">
        <w:rPr>
          <w:rFonts w:ascii="Times New Roman" w:hAnsi="Times New Roman" w:cs="Times New Roman"/>
          <w:i/>
          <w:iCs/>
          <w:sz w:val="24"/>
          <w:szCs w:val="24"/>
        </w:rPr>
        <w:t>Philosophical Transactions of the Royal Society A: Mathematical, Physical and Engineering 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370</w:t>
      </w:r>
      <w:r w:rsidRPr="00C12D8F">
        <w:rPr>
          <w:rFonts w:ascii="Times New Roman" w:hAnsi="Times New Roman" w:cs="Times New Roman"/>
          <w:sz w:val="24"/>
          <w:szCs w:val="24"/>
        </w:rPr>
        <w:t>(1974), 4166–4175. https://doi.org/10.1098/rsta.2012.0186</w:t>
      </w:r>
    </w:p>
    <w:p w14:paraId="7ADDCCB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Simpson, I. R., Tilmes, S., Richter, J. </w:t>
      </w:r>
      <w:proofErr w:type="gramStart"/>
      <w:r w:rsidRPr="00C12D8F">
        <w:rPr>
          <w:rFonts w:ascii="Times New Roman" w:hAnsi="Times New Roman" w:cs="Times New Roman"/>
          <w:sz w:val="24"/>
          <w:szCs w:val="24"/>
        </w:rPr>
        <w:t>H.,</w:t>
      </w:r>
      <w:proofErr w:type="gramEnd"/>
      <w:r w:rsidRPr="00C12D8F">
        <w:rPr>
          <w:rFonts w:ascii="Times New Roman" w:hAnsi="Times New Roman" w:cs="Times New Roman"/>
          <w:sz w:val="24"/>
          <w:szCs w:val="24"/>
        </w:rPr>
        <w:t xml:space="preserve"> Kravitz, B., MacMartin, D. G., Mills, M. J., et al. (2019). The Regional Hydroclimate Response to Stratospheric Sulfate Geoengineering and the Role of Stratospheric Heating.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124</w:t>
      </w:r>
      <w:r w:rsidRPr="00C12D8F">
        <w:rPr>
          <w:rFonts w:ascii="Times New Roman" w:hAnsi="Times New Roman" w:cs="Times New Roman"/>
          <w:sz w:val="24"/>
          <w:szCs w:val="24"/>
        </w:rPr>
        <w:t>(23), 12587–12616. https://doi.org/10.1029/2019JD031093</w:t>
      </w:r>
    </w:p>
    <w:p w14:paraId="2A0474E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Sirois, A. (1990). The effects of missing data on the calculation of precipitation-</w:t>
      </w:r>
      <w:proofErr w:type="gramStart"/>
      <w:r w:rsidRPr="00C12D8F">
        <w:rPr>
          <w:rFonts w:ascii="Times New Roman" w:hAnsi="Times New Roman" w:cs="Times New Roman"/>
          <w:sz w:val="24"/>
          <w:szCs w:val="24"/>
        </w:rPr>
        <w:t>weighted-mean</w:t>
      </w:r>
      <w:proofErr w:type="gramEnd"/>
      <w:r w:rsidRPr="00C12D8F">
        <w:rPr>
          <w:rFonts w:ascii="Times New Roman" w:hAnsi="Times New Roman" w:cs="Times New Roman"/>
          <w:sz w:val="24"/>
          <w:szCs w:val="24"/>
        </w:rPr>
        <w:t xml:space="preserve"> concentrations in wet deposition. </w:t>
      </w:r>
      <w:r w:rsidRPr="00C12D8F">
        <w:rPr>
          <w:rFonts w:ascii="Times New Roman" w:hAnsi="Times New Roman" w:cs="Times New Roman"/>
          <w:i/>
          <w:iCs/>
          <w:sz w:val="24"/>
          <w:szCs w:val="24"/>
        </w:rPr>
        <w:t>Atmospheric Environment. Part A. General Topics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24</w:t>
      </w:r>
      <w:r w:rsidRPr="00C12D8F">
        <w:rPr>
          <w:rFonts w:ascii="Times New Roman" w:hAnsi="Times New Roman" w:cs="Times New Roman"/>
          <w:sz w:val="24"/>
          <w:szCs w:val="24"/>
        </w:rPr>
        <w:t>(9), 2277–2288. https://doi.org/10.1016/0960-1686(90)90321-D</w:t>
      </w:r>
    </w:p>
    <w:p w14:paraId="0806BB7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Smith, S. J., Andres, R., Conception, E., &amp; Lurz, J. (2004). </w:t>
      </w:r>
      <w:r w:rsidRPr="00C12D8F">
        <w:rPr>
          <w:rFonts w:ascii="Times New Roman" w:hAnsi="Times New Roman" w:cs="Times New Roman"/>
          <w:i/>
          <w:iCs/>
          <w:sz w:val="24"/>
          <w:szCs w:val="24"/>
        </w:rPr>
        <w:t>Historical Sulfur Dioxide Emissions 1850-2000: Methods and Results</w:t>
      </w:r>
      <w:r w:rsidRPr="00C12D8F">
        <w:rPr>
          <w:rFonts w:ascii="Times New Roman" w:hAnsi="Times New Roman" w:cs="Times New Roman"/>
          <w:sz w:val="24"/>
          <w:szCs w:val="24"/>
        </w:rPr>
        <w:t xml:space="preserve"> (No. PNNL-14537, 15020102) (p. PNNL-14537, 15020102). https://doi.org/10.2172/15020102</w:t>
      </w:r>
    </w:p>
    <w:p w14:paraId="0553428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Smith, W., &amp; Henly, C. (2021). Updated and outdated reservations about research into stratospheric aerosol </w:t>
      </w:r>
      <w:proofErr w:type="gramStart"/>
      <w:r w:rsidRPr="00C12D8F">
        <w:rPr>
          <w:rFonts w:ascii="Times New Roman" w:hAnsi="Times New Roman" w:cs="Times New Roman"/>
          <w:sz w:val="24"/>
          <w:szCs w:val="24"/>
        </w:rPr>
        <w:t>injection</w:t>
      </w:r>
      <w:proofErr w:type="gramEnd"/>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Climatic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164</w:t>
      </w:r>
      <w:r w:rsidRPr="00C12D8F">
        <w:rPr>
          <w:rFonts w:ascii="Times New Roman" w:hAnsi="Times New Roman" w:cs="Times New Roman"/>
          <w:sz w:val="24"/>
          <w:szCs w:val="24"/>
        </w:rPr>
        <w:t>(3), 39. https://doi.org/10.1007/s10584-021-03017-z</w:t>
      </w:r>
    </w:p>
    <w:p w14:paraId="662C6E5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Smith, W., &amp; Wagner, G. (2018). Stratospheric aerosol injection tactics and costs in the first 15 years of deployment.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13</w:t>
      </w:r>
      <w:r w:rsidRPr="00C12D8F">
        <w:rPr>
          <w:rFonts w:ascii="Times New Roman" w:hAnsi="Times New Roman" w:cs="Times New Roman"/>
          <w:sz w:val="24"/>
          <w:szCs w:val="24"/>
        </w:rPr>
        <w:t>(12), 124001. https://doi.org/10.1088/1748-9326/aae98d</w:t>
      </w:r>
    </w:p>
    <w:p w14:paraId="5191E10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Sohl, T., Reker, R., Bouchard, M., Sayler, K., Dornbierer, J., Wika, S., et al. (2016). Modeled historical land use and land cover for the conterminous United States. </w:t>
      </w:r>
      <w:r w:rsidRPr="00C12D8F">
        <w:rPr>
          <w:rFonts w:ascii="Times New Roman" w:hAnsi="Times New Roman" w:cs="Times New Roman"/>
          <w:i/>
          <w:iCs/>
          <w:sz w:val="24"/>
          <w:szCs w:val="24"/>
        </w:rPr>
        <w:t>Journal of Land Use 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w:t>
      </w:r>
      <w:r w:rsidRPr="00C12D8F">
        <w:rPr>
          <w:rFonts w:ascii="Times New Roman" w:hAnsi="Times New Roman" w:cs="Times New Roman"/>
          <w:sz w:val="24"/>
          <w:szCs w:val="24"/>
        </w:rPr>
        <w:t>(4), 476–499. https://doi.org/10.1080/1747423X.2016.1147619</w:t>
      </w:r>
    </w:p>
    <w:p w14:paraId="64720F0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Sohl, T. L., Sayler, K. L., Bouchard, M. A., Reker, R. R., Friesz, A. M., Bennett, S. L., et al. (2014). Spatially explicit modeling of 1992–2100 land cover and forest stand age for the conterminous United States. </w:t>
      </w:r>
      <w:r w:rsidRPr="00C12D8F">
        <w:rPr>
          <w:rFonts w:ascii="Times New Roman" w:hAnsi="Times New Roman" w:cs="Times New Roman"/>
          <w:i/>
          <w:iCs/>
          <w:sz w:val="24"/>
          <w:szCs w:val="24"/>
        </w:rPr>
        <w:t>Ecological Applications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24</w:t>
      </w:r>
      <w:r w:rsidRPr="00C12D8F">
        <w:rPr>
          <w:rFonts w:ascii="Times New Roman" w:hAnsi="Times New Roman" w:cs="Times New Roman"/>
          <w:sz w:val="24"/>
          <w:szCs w:val="24"/>
        </w:rPr>
        <w:t>(5), 1015–1036. https://doi.org/10.1890/13-1245.1</w:t>
      </w:r>
    </w:p>
    <w:p w14:paraId="06B7385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Sothe, C., Gonsamo, A., Arabian, J., &amp; Snider, J. (2022). Large scale mapping of soil organic carbon concentration with 3D machine learning and satellite observations. </w:t>
      </w:r>
      <w:r w:rsidRPr="00C12D8F">
        <w:rPr>
          <w:rFonts w:ascii="Times New Roman" w:hAnsi="Times New Roman" w:cs="Times New Roman"/>
          <w:i/>
          <w:iCs/>
          <w:sz w:val="24"/>
          <w:szCs w:val="24"/>
        </w:rPr>
        <w:t>Geoderma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405</w:t>
      </w:r>
      <w:r w:rsidRPr="00C12D8F">
        <w:rPr>
          <w:rFonts w:ascii="Times New Roman" w:hAnsi="Times New Roman" w:cs="Times New Roman"/>
          <w:sz w:val="24"/>
          <w:szCs w:val="24"/>
        </w:rPr>
        <w:t>, 115402. https://doi.org/10.1016/j.geoderma.2021.115402</w:t>
      </w:r>
    </w:p>
    <w:p w14:paraId="3DF92F4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Staddon, P. L., Montgomery, H. E., &amp; Depledge, M. H. (2014). Climate warming will not decrease winter mortality. </w:t>
      </w:r>
      <w:r w:rsidRPr="00C12D8F">
        <w:rPr>
          <w:rFonts w:ascii="Times New Roman" w:hAnsi="Times New Roman" w:cs="Times New Roman"/>
          <w:i/>
          <w:iCs/>
          <w:sz w:val="24"/>
          <w:szCs w:val="24"/>
        </w:rPr>
        <w:t>Nature Climate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w:t>
      </w:r>
      <w:r w:rsidRPr="00C12D8F">
        <w:rPr>
          <w:rFonts w:ascii="Times New Roman" w:hAnsi="Times New Roman" w:cs="Times New Roman"/>
          <w:sz w:val="24"/>
          <w:szCs w:val="24"/>
        </w:rPr>
        <w:t>(3), 190–194. https://doi.org/10.1038/nclimate2121</w:t>
      </w:r>
    </w:p>
    <w:p w14:paraId="1B98AB0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Stewart, A. J., Halabisky, M., Babcock, C., Butman, D. E., D’Amore, D. V., &amp; Moskal, L. M. (2024). Revealing the hidden carbon in forested wetland soils. </w:t>
      </w:r>
      <w:r w:rsidRPr="00C12D8F">
        <w:rPr>
          <w:rFonts w:ascii="Times New Roman" w:hAnsi="Times New Roman" w:cs="Times New Roman"/>
          <w:i/>
          <w:iCs/>
          <w:sz w:val="24"/>
          <w:szCs w:val="24"/>
        </w:rPr>
        <w:t>Nature Communications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15</w:t>
      </w:r>
      <w:r w:rsidRPr="00C12D8F">
        <w:rPr>
          <w:rFonts w:ascii="Times New Roman" w:hAnsi="Times New Roman" w:cs="Times New Roman"/>
          <w:sz w:val="24"/>
          <w:szCs w:val="24"/>
        </w:rPr>
        <w:t>(1), 726. https://doi.org/10.1038/s41467-024-44888-x</w:t>
      </w:r>
    </w:p>
    <w:p w14:paraId="4AE6611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Sun, K., Gao, Y., Guo, X., Zhang, J., Zeng, X., Ma, M., et al. (2022). The enhanced role of atmospheric reduced nitrogen deposition in future over East Asia–Northwest Pacific. </w:t>
      </w:r>
      <w:r w:rsidRPr="00C12D8F">
        <w:rPr>
          <w:rFonts w:ascii="Times New Roman" w:hAnsi="Times New Roman" w:cs="Times New Roman"/>
          <w:i/>
          <w:iCs/>
          <w:sz w:val="24"/>
          <w:szCs w:val="24"/>
        </w:rPr>
        <w:t>Science of The Total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833</w:t>
      </w:r>
      <w:r w:rsidRPr="00C12D8F">
        <w:rPr>
          <w:rFonts w:ascii="Times New Roman" w:hAnsi="Times New Roman" w:cs="Times New Roman"/>
          <w:sz w:val="24"/>
          <w:szCs w:val="24"/>
        </w:rPr>
        <w:t>, 155146. https://doi.org/10.1016/j.scitotenv.2022.155146</w:t>
      </w:r>
    </w:p>
    <w:p w14:paraId="0327B3F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Sundquist, E. T., Ackerman, K. V., Bliss, N. B., Kellndorfer, J. M., Reeves, M. C., &amp; Rollins, M. G. (2009). </w:t>
      </w:r>
      <w:r w:rsidRPr="00C12D8F">
        <w:rPr>
          <w:rFonts w:ascii="Times New Roman" w:hAnsi="Times New Roman" w:cs="Times New Roman"/>
          <w:i/>
          <w:iCs/>
          <w:sz w:val="24"/>
          <w:szCs w:val="24"/>
        </w:rPr>
        <w:t>Rapid Assessment of U.S. Forest and Soil Organic Carbon Storage and Forest Biomass Carbon Sequestration Capacity</w:t>
      </w:r>
      <w:r w:rsidRPr="00C12D8F">
        <w:rPr>
          <w:rFonts w:ascii="Times New Roman" w:hAnsi="Times New Roman" w:cs="Times New Roman"/>
          <w:sz w:val="24"/>
          <w:szCs w:val="24"/>
        </w:rPr>
        <w:t xml:space="preserve"> (Open-File Report No. 1283) (p. 23). US Geological Survey, US Department of the Interior.</w:t>
      </w:r>
    </w:p>
    <w:p w14:paraId="25306AF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Tadiello, T., Perego, A., Valkama, E., Schillaci, C., &amp; Acutis, M. (2022). Computation of total soil organic carbon stock and its standard deviation from layered soils. </w:t>
      </w:r>
      <w:r w:rsidRPr="00C12D8F">
        <w:rPr>
          <w:rFonts w:ascii="Times New Roman" w:hAnsi="Times New Roman" w:cs="Times New Roman"/>
          <w:i/>
          <w:iCs/>
          <w:sz w:val="24"/>
          <w:szCs w:val="24"/>
        </w:rPr>
        <w:t>MethodsX</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w:t>
      </w:r>
      <w:r w:rsidRPr="00C12D8F">
        <w:rPr>
          <w:rFonts w:ascii="Times New Roman" w:hAnsi="Times New Roman" w:cs="Times New Roman"/>
          <w:sz w:val="24"/>
          <w:szCs w:val="24"/>
        </w:rPr>
        <w:t>, 101662. https://doi.org/10.1016/j.mex.2022.101662</w:t>
      </w:r>
    </w:p>
    <w:p w14:paraId="4D855EB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Tan, J., Fu, J. S., Dentener, F., Sun, J., Emmons, L., Tilmes, S., et al. (2018). Multi-model study of HTAP II on sulfur and nitrogen deposition.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18</w:t>
      </w:r>
      <w:r w:rsidRPr="00C12D8F">
        <w:rPr>
          <w:rFonts w:ascii="Times New Roman" w:hAnsi="Times New Roman" w:cs="Times New Roman"/>
          <w:sz w:val="24"/>
          <w:szCs w:val="24"/>
        </w:rPr>
        <w:t>(9), 6847–6866. https://doi.org/10.5194/acp-18-6847-2018</w:t>
      </w:r>
    </w:p>
    <w:p w14:paraId="108EF45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Tan, Z., Liu, S., Sohl, T. L., Wu, Y., &amp; Young, C. J. (2015). Ecosystem carbon stocks and sequestration potential of federal lands across the conterminous United States. </w:t>
      </w:r>
      <w:r w:rsidRPr="00C12D8F">
        <w:rPr>
          <w:rFonts w:ascii="Times New Roman" w:hAnsi="Times New Roman" w:cs="Times New Roman"/>
          <w:i/>
          <w:iCs/>
          <w:sz w:val="24"/>
          <w:szCs w:val="24"/>
        </w:rPr>
        <w:t>Proceedings of the National Academy of 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112</w:t>
      </w:r>
      <w:r w:rsidRPr="00C12D8F">
        <w:rPr>
          <w:rFonts w:ascii="Times New Roman" w:hAnsi="Times New Roman" w:cs="Times New Roman"/>
          <w:sz w:val="24"/>
          <w:szCs w:val="24"/>
        </w:rPr>
        <w:t>(41), 12723–12728. https://doi.org/10.1073/pnas.1512542112</w:t>
      </w:r>
    </w:p>
    <w:p w14:paraId="5741468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Tao, F., Zhou, Z., Huang, Y., Li, Q., Lu, X., Ma, S., et al. (2020). Deep Learning Optimizes Data-Driven Representation of Soil Organic Carbon in Earth System Model Over the Conterminous United States. </w:t>
      </w:r>
      <w:r w:rsidRPr="00C12D8F">
        <w:rPr>
          <w:rFonts w:ascii="Times New Roman" w:hAnsi="Times New Roman" w:cs="Times New Roman"/>
          <w:i/>
          <w:iCs/>
          <w:sz w:val="24"/>
          <w:szCs w:val="24"/>
        </w:rPr>
        <w:t>Frontiers in Big Data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w:t>
      </w:r>
      <w:r w:rsidRPr="00C12D8F">
        <w:rPr>
          <w:rFonts w:ascii="Times New Roman" w:hAnsi="Times New Roman" w:cs="Times New Roman"/>
          <w:sz w:val="24"/>
          <w:szCs w:val="24"/>
        </w:rPr>
        <w:t>. Retrieved from https://www.frontiersin.org/article/10.3389/fdata.2020.00017</w:t>
      </w:r>
    </w:p>
    <w:p w14:paraId="7E3AE84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Teng, H., Branstator, G., Wang, H., Meehl, G. A., &amp; Washington, W. M. (2013). Probability of US heat waves affected by a subseasonal planetary wave pattern. </w:t>
      </w:r>
      <w:r w:rsidRPr="00C12D8F">
        <w:rPr>
          <w:rFonts w:ascii="Times New Roman" w:hAnsi="Times New Roman" w:cs="Times New Roman"/>
          <w:i/>
          <w:iCs/>
          <w:sz w:val="24"/>
          <w:szCs w:val="24"/>
        </w:rPr>
        <w:t>Nature Geoscience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w:t>
      </w:r>
      <w:r w:rsidRPr="00C12D8F">
        <w:rPr>
          <w:rFonts w:ascii="Times New Roman" w:hAnsi="Times New Roman" w:cs="Times New Roman"/>
          <w:sz w:val="24"/>
          <w:szCs w:val="24"/>
        </w:rPr>
        <w:t>(12), 1056–1061. https://doi.org/10.1038/ngeo1988</w:t>
      </w:r>
    </w:p>
    <w:p w14:paraId="34EED49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Thornton, M. M., Shrestha, R., Wei, Y., Thornton, P. E., Kao, S., &amp; Wilson, B. E. (2020). Daymet: Daily Surface Weather Data on a 1-km Grid for North America, Version 4. ORNL Distributed Active Archive Center. https://doi.org/10.3334/ORNLDAAC/1840</w:t>
      </w:r>
    </w:p>
    <w:p w14:paraId="495DD5F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Thornton, P. E., Shrestha, R., Thornton, M., Kao, S.-C., Wei, Y., &amp; Wilson, B. E. (2021). Gridded daily weather data for North America with comprehensive uncertainty quantification. </w:t>
      </w:r>
      <w:r w:rsidRPr="00C12D8F">
        <w:rPr>
          <w:rFonts w:ascii="Times New Roman" w:hAnsi="Times New Roman" w:cs="Times New Roman"/>
          <w:i/>
          <w:iCs/>
          <w:sz w:val="24"/>
          <w:szCs w:val="24"/>
        </w:rPr>
        <w:t>Scientific Data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w:t>
      </w:r>
      <w:r w:rsidRPr="00C12D8F">
        <w:rPr>
          <w:rFonts w:ascii="Times New Roman" w:hAnsi="Times New Roman" w:cs="Times New Roman"/>
          <w:sz w:val="24"/>
          <w:szCs w:val="24"/>
        </w:rPr>
        <w:t>(1), 190. https://doi.org/10.1038/s41597-021-00973-0</w:t>
      </w:r>
    </w:p>
    <w:p w14:paraId="2FE5E79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Tian, Z., Liu, F., Liang, Y., &amp; Zhu, X. (2022). Mapping soil erodibility in southeast China at 250 m resolution: Using environmental variables and random forest regression with limited samples. </w:t>
      </w:r>
      <w:r w:rsidRPr="00C12D8F">
        <w:rPr>
          <w:rFonts w:ascii="Times New Roman" w:hAnsi="Times New Roman" w:cs="Times New Roman"/>
          <w:i/>
          <w:iCs/>
          <w:sz w:val="24"/>
          <w:szCs w:val="24"/>
        </w:rPr>
        <w:t>International Soil and Water Conservation Research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w:t>
      </w:r>
      <w:r w:rsidRPr="00C12D8F">
        <w:rPr>
          <w:rFonts w:ascii="Times New Roman" w:hAnsi="Times New Roman" w:cs="Times New Roman"/>
          <w:sz w:val="24"/>
          <w:szCs w:val="24"/>
        </w:rPr>
        <w:t>(1), 62–74. https://doi.org/10.1016/j.iswcr.2021.06.005</w:t>
      </w:r>
    </w:p>
    <w:p w14:paraId="21F1EED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Tifafi, M., Guenet, B., &amp; Hatte, C. (2018). Large Differences in Global and Regional Total Soil Carbon Stock Estimates Based on SoilGrids, HWSD, and NCSCD: Intercomparison and Evaluation Based on Field Data From USA, England, Wales, and France. </w:t>
      </w:r>
      <w:r w:rsidRPr="00C12D8F">
        <w:rPr>
          <w:rFonts w:ascii="Times New Roman" w:hAnsi="Times New Roman" w:cs="Times New Roman"/>
          <w:i/>
          <w:iCs/>
          <w:sz w:val="24"/>
          <w:szCs w:val="24"/>
        </w:rPr>
        <w:t>Global Biogeochemical Cycles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32</w:t>
      </w:r>
      <w:r w:rsidRPr="00C12D8F">
        <w:rPr>
          <w:rFonts w:ascii="Times New Roman" w:hAnsi="Times New Roman" w:cs="Times New Roman"/>
          <w:sz w:val="24"/>
          <w:szCs w:val="24"/>
        </w:rPr>
        <w:t>, 42–56. https://doi.org/doi/10.1002/2017GB005678</w:t>
      </w:r>
    </w:p>
    <w:p w14:paraId="59653C72"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Tilmes, S., Mills, M. J., Niemeier, U., Schmidt, H., Robock, A., Kravitz, B., et al. (2015). A new Geoengineering Model Intercomparison Project (GeoMIP) experiment designed for climate and chemistry models. </w:t>
      </w:r>
      <w:r w:rsidRPr="00C12D8F">
        <w:rPr>
          <w:rFonts w:ascii="Times New Roman" w:hAnsi="Times New Roman" w:cs="Times New Roman"/>
          <w:i/>
          <w:iCs/>
          <w:sz w:val="24"/>
          <w:szCs w:val="24"/>
        </w:rPr>
        <w:t>Geoscientific Model Development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8</w:t>
      </w:r>
      <w:r w:rsidRPr="00C12D8F">
        <w:rPr>
          <w:rFonts w:ascii="Times New Roman" w:hAnsi="Times New Roman" w:cs="Times New Roman"/>
          <w:sz w:val="24"/>
          <w:szCs w:val="24"/>
        </w:rPr>
        <w:t>(1), 43–49. https://doi.org/10.5194/gmd-8-43-2015</w:t>
      </w:r>
    </w:p>
    <w:p w14:paraId="1BCCC90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Tilmes, Simone, MacMartin, D. G., Lenaerts, J. T. M., van Kampenhout, L., Muntjewerf, L., Xia, L., et al. (2020). Reaching 1.5 and 2.0&amp;</w:t>
      </w:r>
      <w:proofErr w:type="gramStart"/>
      <w:r w:rsidRPr="00C12D8F">
        <w:rPr>
          <w:rFonts w:ascii="Times New Roman" w:hAnsi="Times New Roman" w:cs="Times New Roman"/>
          <w:sz w:val="24"/>
          <w:szCs w:val="24"/>
        </w:rPr>
        <w:t>thinsp;°</w:t>
      </w:r>
      <w:proofErr w:type="gramEnd"/>
      <w:r w:rsidRPr="00C12D8F">
        <w:rPr>
          <w:rFonts w:ascii="Times New Roman" w:hAnsi="Times New Roman" w:cs="Times New Roman"/>
          <w:sz w:val="24"/>
          <w:szCs w:val="24"/>
        </w:rPr>
        <w:t xml:space="preserve">C global surface temperature targets using stratospheric aerosol geoengineering. </w:t>
      </w:r>
      <w:r w:rsidRPr="00C12D8F">
        <w:rPr>
          <w:rFonts w:ascii="Times New Roman" w:hAnsi="Times New Roman" w:cs="Times New Roman"/>
          <w:i/>
          <w:iCs/>
          <w:sz w:val="24"/>
          <w:szCs w:val="24"/>
        </w:rPr>
        <w:t>Earth System Dynamics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w:t>
      </w:r>
      <w:r w:rsidRPr="00C12D8F">
        <w:rPr>
          <w:rFonts w:ascii="Times New Roman" w:hAnsi="Times New Roman" w:cs="Times New Roman"/>
          <w:sz w:val="24"/>
          <w:szCs w:val="24"/>
        </w:rPr>
        <w:t>(3), 579–601. https://doi.org/10.5194/esd-11-579-2020</w:t>
      </w:r>
    </w:p>
    <w:p w14:paraId="1A49667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Tilmes, Simone, Visioni, D., Jones, A., Haywood, J., Séférian, R., Nabat, P., et al. (2022). Stratospheric ozone response to sulfate aerosol and solar dimming climate interventions </w:t>
      </w:r>
      <w:r w:rsidRPr="00C12D8F">
        <w:rPr>
          <w:rFonts w:ascii="Times New Roman" w:hAnsi="Times New Roman" w:cs="Times New Roman"/>
          <w:sz w:val="24"/>
          <w:szCs w:val="24"/>
        </w:rPr>
        <w:lastRenderedPageBreak/>
        <w:t xml:space="preserve">based on the G6 Geoengineering Model Intercomparison Project (GeoMIP) simulations.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22</w:t>
      </w:r>
      <w:r w:rsidRPr="00C12D8F">
        <w:rPr>
          <w:rFonts w:ascii="Times New Roman" w:hAnsi="Times New Roman" w:cs="Times New Roman"/>
          <w:sz w:val="24"/>
          <w:szCs w:val="24"/>
        </w:rPr>
        <w:t>(7), 4557–4579. https://doi.org/10.5194/acp-22-4557-2022</w:t>
      </w:r>
    </w:p>
    <w:p w14:paraId="0CEDABC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Timmermans, B., Wehner, M., Cooley, D., O’Brien, T., &amp; Krishnan, H. (2019). An evaluation of the consistency of extremes in gridded precipitation data sets. </w:t>
      </w:r>
      <w:r w:rsidRPr="00C12D8F">
        <w:rPr>
          <w:rFonts w:ascii="Times New Roman" w:hAnsi="Times New Roman" w:cs="Times New Roman"/>
          <w:i/>
          <w:iCs/>
          <w:sz w:val="24"/>
          <w:szCs w:val="24"/>
        </w:rPr>
        <w:t>Climate Dynamics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52</w:t>
      </w:r>
      <w:r w:rsidRPr="00C12D8F">
        <w:rPr>
          <w:rFonts w:ascii="Times New Roman" w:hAnsi="Times New Roman" w:cs="Times New Roman"/>
          <w:sz w:val="24"/>
          <w:szCs w:val="24"/>
        </w:rPr>
        <w:t>(11), 6651–6670. https://doi.org/10.1007/s00382-018-4537-0</w:t>
      </w:r>
    </w:p>
    <w:p w14:paraId="14E4512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Tjiputra, J. F., Grini, A., &amp; Lee, H. (2016). Impact of idealized future stratospheric aerosol injection on the large-scale ocean and land carbon cycles. </w:t>
      </w:r>
      <w:r w:rsidRPr="00C12D8F">
        <w:rPr>
          <w:rFonts w:ascii="Times New Roman" w:hAnsi="Times New Roman" w:cs="Times New Roman"/>
          <w:i/>
          <w:iCs/>
          <w:sz w:val="24"/>
          <w:szCs w:val="24"/>
        </w:rPr>
        <w:t>Journal of Geophysical Research: Biogeosciences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121</w:t>
      </w:r>
      <w:r w:rsidRPr="00C12D8F">
        <w:rPr>
          <w:rFonts w:ascii="Times New Roman" w:hAnsi="Times New Roman" w:cs="Times New Roman"/>
          <w:sz w:val="24"/>
          <w:szCs w:val="24"/>
        </w:rPr>
        <w:t>(1), 2–27. https://doi.org/10.1002/2015JG003045</w:t>
      </w:r>
    </w:p>
    <w:p w14:paraId="160B21A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Tollefson. (2019). The hard truths of climate change — by the numbers. </w:t>
      </w:r>
      <w:r w:rsidRPr="00C12D8F">
        <w:rPr>
          <w:rFonts w:ascii="Times New Roman" w:hAnsi="Times New Roman" w:cs="Times New Roman"/>
          <w:i/>
          <w:iCs/>
          <w:sz w:val="24"/>
          <w:szCs w:val="24"/>
        </w:rPr>
        <w:t>Nature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573</w:t>
      </w:r>
      <w:r w:rsidRPr="00C12D8F">
        <w:rPr>
          <w:rFonts w:ascii="Times New Roman" w:hAnsi="Times New Roman" w:cs="Times New Roman"/>
          <w:sz w:val="24"/>
          <w:szCs w:val="24"/>
        </w:rPr>
        <w:t>(7774), 324+.</w:t>
      </w:r>
    </w:p>
    <w:p w14:paraId="441722F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Tørseth, K., Aas, W., Breivik, K., Fjæraa, A. M., Fiebig, M., Hjellbrekke, A. G., et al. (2012). Introduction to the European Monitoring and Evaluation Programme (EMEP) and observed atmospheric composition change during 1972 - 2009.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w:t>
      </w:r>
      <w:r w:rsidRPr="00C12D8F">
        <w:rPr>
          <w:rFonts w:ascii="Times New Roman" w:hAnsi="Times New Roman" w:cs="Times New Roman"/>
          <w:sz w:val="24"/>
          <w:szCs w:val="24"/>
        </w:rPr>
        <w:t>(12), 5447–5481. https://doi.org/10.5194/acp-12-5447-2012</w:t>
      </w:r>
    </w:p>
    <w:p w14:paraId="46A53E0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Townshend, J. R. G. (1992). Improved global data for land applications. A proposal for a new high resolution data set. Report of the Land Cover Working Group of IGBP-DIS. </w:t>
      </w:r>
      <w:r w:rsidRPr="00C12D8F">
        <w:rPr>
          <w:rFonts w:ascii="Times New Roman" w:hAnsi="Times New Roman" w:cs="Times New Roman"/>
          <w:i/>
          <w:iCs/>
          <w:sz w:val="24"/>
          <w:szCs w:val="24"/>
        </w:rPr>
        <w:t>Global Change Report (Sweden)</w:t>
      </w:r>
      <w:r w:rsidRPr="00C12D8F">
        <w:rPr>
          <w:rFonts w:ascii="Times New Roman" w:hAnsi="Times New Roman" w:cs="Times New Roman"/>
          <w:sz w:val="24"/>
          <w:szCs w:val="24"/>
        </w:rPr>
        <w:t>. Retrieved from https://scholar.google.com/scholar_lookup?title=Improved+global+data+for+land+applications.+A+proposal+for+a+new+high+resolution+data+set.+Report+of+the+Land+Cover+Working+Group+of+IGBP-DIS&amp;author=Townshend%2C+J.R.G.+%28ed.%29&amp;publication_year=1992</w:t>
      </w:r>
    </w:p>
    <w:p w14:paraId="4C48E29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Tracy, S. M., Moch, J. M., Eastham, S. D., &amp; Buonocore, J. J. (2022). Stratospheric aerosol injection may impact global systems and human health outcomes. </w:t>
      </w:r>
      <w:r w:rsidRPr="00C12D8F">
        <w:rPr>
          <w:rFonts w:ascii="Times New Roman" w:hAnsi="Times New Roman" w:cs="Times New Roman"/>
          <w:i/>
          <w:iCs/>
          <w:sz w:val="24"/>
          <w:szCs w:val="24"/>
        </w:rPr>
        <w:t>Elementa: Science of the Anthropocene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w:t>
      </w:r>
      <w:r w:rsidRPr="00C12D8F">
        <w:rPr>
          <w:rFonts w:ascii="Times New Roman" w:hAnsi="Times New Roman" w:cs="Times New Roman"/>
          <w:sz w:val="24"/>
          <w:szCs w:val="24"/>
        </w:rPr>
        <w:t>(1), 00047. https://doi.org/10.1525/elementa.2022.00047</w:t>
      </w:r>
    </w:p>
    <w:p w14:paraId="23298B1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Tye, M. R., Dagon, K., Molina, M. J., Richter, J. H., Visioni, D., Kravitz, B., &amp; Tilmes, S. (2022). Indices of extremes: geographic patterns of change in extremes and associated vegetation impacts under climate intervention. </w:t>
      </w:r>
      <w:r w:rsidRPr="00C12D8F">
        <w:rPr>
          <w:rFonts w:ascii="Times New Roman" w:hAnsi="Times New Roman" w:cs="Times New Roman"/>
          <w:i/>
          <w:iCs/>
          <w:sz w:val="24"/>
          <w:szCs w:val="24"/>
        </w:rPr>
        <w:t>Earth System Dynamics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13</w:t>
      </w:r>
      <w:r w:rsidRPr="00C12D8F">
        <w:rPr>
          <w:rFonts w:ascii="Times New Roman" w:hAnsi="Times New Roman" w:cs="Times New Roman"/>
          <w:sz w:val="24"/>
          <w:szCs w:val="24"/>
        </w:rPr>
        <w:t>(3), 1233–1257. https://doi.org/10.5194/esd-13-1233-2022</w:t>
      </w:r>
    </w:p>
    <w:p w14:paraId="0BCA52E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Uhran, B., Windham-Myers, L., Bliss, N., Nahlik, A. M., Sundquist, E. T., &amp; Stagg, C. L. (2021). Improved Wetland Soil Organic Carbon Stocks of the Conterminous U.S. </w:t>
      </w:r>
      <w:r w:rsidRPr="00C12D8F">
        <w:rPr>
          <w:rFonts w:ascii="Times New Roman" w:hAnsi="Times New Roman" w:cs="Times New Roman"/>
          <w:sz w:val="24"/>
          <w:szCs w:val="24"/>
        </w:rPr>
        <w:lastRenderedPageBreak/>
        <w:t xml:space="preserve">Through Data Harmonization. </w:t>
      </w:r>
      <w:r w:rsidRPr="00C12D8F">
        <w:rPr>
          <w:rFonts w:ascii="Times New Roman" w:hAnsi="Times New Roman" w:cs="Times New Roman"/>
          <w:i/>
          <w:iCs/>
          <w:sz w:val="24"/>
          <w:szCs w:val="24"/>
        </w:rPr>
        <w:t>Frontiers in Soil 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w:t>
      </w:r>
      <w:r w:rsidRPr="00C12D8F">
        <w:rPr>
          <w:rFonts w:ascii="Times New Roman" w:hAnsi="Times New Roman" w:cs="Times New Roman"/>
          <w:sz w:val="24"/>
          <w:szCs w:val="24"/>
        </w:rPr>
        <w:t>. https://doi.org/10.3389/fsoil.2021.706701</w:t>
      </w:r>
    </w:p>
    <w:p w14:paraId="6BDAC4A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Uludere Aragon, N. Z., Parker, N. C., VanLoocke, A., Bagley, J., Wang, M., &amp; Georgescu, M. (2023). Sustainable land use and viability of biojet fuels. </w:t>
      </w:r>
      <w:r w:rsidRPr="00C12D8F">
        <w:rPr>
          <w:rFonts w:ascii="Times New Roman" w:hAnsi="Times New Roman" w:cs="Times New Roman"/>
          <w:i/>
          <w:iCs/>
          <w:sz w:val="24"/>
          <w:szCs w:val="24"/>
        </w:rPr>
        <w:t>Nature Sustainability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w:t>
      </w:r>
      <w:r w:rsidRPr="00C12D8F">
        <w:rPr>
          <w:rFonts w:ascii="Times New Roman" w:hAnsi="Times New Roman" w:cs="Times New Roman"/>
          <w:sz w:val="24"/>
          <w:szCs w:val="24"/>
        </w:rPr>
        <w:t>(2), 158–168. https://doi.org/10.1038/s41893-022-00990-w</w:t>
      </w:r>
    </w:p>
    <w:p w14:paraId="42B6191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US EPA. (2015a, June 18). Clean Air Status and Trends Network (CASTNET) [Collections and Lists]. Retrieved November 18, 2021, from https://www.epa.gov/castnet</w:t>
      </w:r>
    </w:p>
    <w:p w14:paraId="5EEEA2C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US EPA, O. (2015b, June 2). National Emissions Inventory (NEI) [Other Policies and Guidance]. Retrieved February 18, 2021, from https://www.epa.gov/air-emissions-inventories/national-emissions-inventory-nei</w:t>
      </w:r>
    </w:p>
    <w:p w14:paraId="03E7E1C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US EPA, O. (2015c, November 6). Climate Change Indicators in the United States [Reports and Assessments]. Retrieved August 1, 2023, from https://www.epa.gov/climate-indicators</w:t>
      </w:r>
    </w:p>
    <w:p w14:paraId="71CD19D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US EPA, O. (2016, July 1). Climate Change Indicators: Heat-Related Deaths [Reports and Assessments]. Retrieved March 10, 2022, from https://www.epa.gov/climate-indicators/climate-change-indicators-heat-related-deaths</w:t>
      </w:r>
    </w:p>
    <w:p w14:paraId="6465D7D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Vaudour, E., Gomez, C., Fouad, Y., &amp; Lagacherie, P. (2019). Sentinel-2 image capacities to predict common topsoil properties of temperate and Mediterranean agroecosystems. </w:t>
      </w:r>
      <w:r w:rsidRPr="00C12D8F">
        <w:rPr>
          <w:rFonts w:ascii="Times New Roman" w:hAnsi="Times New Roman" w:cs="Times New Roman"/>
          <w:i/>
          <w:iCs/>
          <w:sz w:val="24"/>
          <w:szCs w:val="24"/>
        </w:rPr>
        <w:t>Remote Sensing of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223</w:t>
      </w:r>
      <w:r w:rsidRPr="00C12D8F">
        <w:rPr>
          <w:rFonts w:ascii="Times New Roman" w:hAnsi="Times New Roman" w:cs="Times New Roman"/>
          <w:sz w:val="24"/>
          <w:szCs w:val="24"/>
        </w:rPr>
        <w:t>, 21–33. https://doi.org/10.1016/j.rse.2019.01.006</w:t>
      </w:r>
    </w:p>
    <w:p w14:paraId="3216924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Védère, C., Lebrun, M., Honvault, N., Aubertin, M.-L., Girardin, C., Garnier, P., et al. (2022). How does soil water status influence the fate of soil organic matter? A review of processes across scales. </w:t>
      </w:r>
      <w:r w:rsidRPr="00C12D8F">
        <w:rPr>
          <w:rFonts w:ascii="Times New Roman" w:hAnsi="Times New Roman" w:cs="Times New Roman"/>
          <w:i/>
          <w:iCs/>
          <w:sz w:val="24"/>
          <w:szCs w:val="24"/>
        </w:rPr>
        <w:t>Earth-Science Reviews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234</w:t>
      </w:r>
      <w:r w:rsidRPr="00C12D8F">
        <w:rPr>
          <w:rFonts w:ascii="Times New Roman" w:hAnsi="Times New Roman" w:cs="Times New Roman"/>
          <w:sz w:val="24"/>
          <w:szCs w:val="24"/>
        </w:rPr>
        <w:t>, 104214. https://doi.org/10.1016/j.earscirev.2022.104214</w:t>
      </w:r>
    </w:p>
    <w:p w14:paraId="26F562B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Venter, Z. S., Hawkins, H.-J., Cramer, M. D., &amp; Mills, A. J. (2021). Mapping soil organic carbon stocks and trends with satellite-driven </w:t>
      </w:r>
      <w:proofErr w:type="gramStart"/>
      <w:r w:rsidRPr="00C12D8F">
        <w:rPr>
          <w:rFonts w:ascii="Times New Roman" w:hAnsi="Times New Roman" w:cs="Times New Roman"/>
          <w:sz w:val="24"/>
          <w:szCs w:val="24"/>
        </w:rPr>
        <w:t>high resolution</w:t>
      </w:r>
      <w:proofErr w:type="gramEnd"/>
      <w:r w:rsidRPr="00C12D8F">
        <w:rPr>
          <w:rFonts w:ascii="Times New Roman" w:hAnsi="Times New Roman" w:cs="Times New Roman"/>
          <w:sz w:val="24"/>
          <w:szCs w:val="24"/>
        </w:rPr>
        <w:t xml:space="preserve"> maps over South Africa. </w:t>
      </w:r>
      <w:r w:rsidRPr="00C12D8F">
        <w:rPr>
          <w:rFonts w:ascii="Times New Roman" w:hAnsi="Times New Roman" w:cs="Times New Roman"/>
          <w:i/>
          <w:iCs/>
          <w:sz w:val="24"/>
          <w:szCs w:val="24"/>
        </w:rPr>
        <w:t>Science of The Total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771</w:t>
      </w:r>
      <w:r w:rsidRPr="00C12D8F">
        <w:rPr>
          <w:rFonts w:ascii="Times New Roman" w:hAnsi="Times New Roman" w:cs="Times New Roman"/>
          <w:sz w:val="24"/>
          <w:szCs w:val="24"/>
        </w:rPr>
        <w:t>, 145384. https://doi.org/10.1016/j.scitotenv.2021.145384</w:t>
      </w:r>
    </w:p>
    <w:p w14:paraId="2ED9BD0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Vet, R., Artz, R. S., Carou, S., Shaw, M., Ro, C.-U., Aas, W., et al. (2014). A global assessment of precipitation chemistry and deposition of sulfur, nitrogen, sea salt, base cations, organic acids, acidity and pH, and phosphorus. </w:t>
      </w:r>
      <w:r w:rsidRPr="00C12D8F">
        <w:rPr>
          <w:rFonts w:ascii="Times New Roman" w:hAnsi="Times New Roman" w:cs="Times New Roman"/>
          <w:i/>
          <w:iCs/>
          <w:sz w:val="24"/>
          <w:szCs w:val="24"/>
        </w:rPr>
        <w:t>Atmospheric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93</w:t>
      </w:r>
      <w:r w:rsidRPr="00C12D8F">
        <w:rPr>
          <w:rFonts w:ascii="Times New Roman" w:hAnsi="Times New Roman" w:cs="Times New Roman"/>
          <w:sz w:val="24"/>
          <w:szCs w:val="24"/>
        </w:rPr>
        <w:t>, 3–100. https://doi.org/10.1016/j.atmosenv.2013.10.060</w:t>
      </w:r>
    </w:p>
    <w:p w14:paraId="7236BE7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Viscarra Rossel, R. A., Lee, J., Behrens, T., Luo, Z., Baldock, J., &amp; Richards, A. (2019). Continental-scale soil carbon composition and vulnerability modulated by regional </w:t>
      </w:r>
      <w:r w:rsidRPr="00C12D8F">
        <w:rPr>
          <w:rFonts w:ascii="Times New Roman" w:hAnsi="Times New Roman" w:cs="Times New Roman"/>
          <w:sz w:val="24"/>
          <w:szCs w:val="24"/>
        </w:rPr>
        <w:lastRenderedPageBreak/>
        <w:t xml:space="preserve">environmental controls. </w:t>
      </w:r>
      <w:r w:rsidRPr="00C12D8F">
        <w:rPr>
          <w:rFonts w:ascii="Times New Roman" w:hAnsi="Times New Roman" w:cs="Times New Roman"/>
          <w:i/>
          <w:iCs/>
          <w:sz w:val="24"/>
          <w:szCs w:val="24"/>
        </w:rPr>
        <w:t>Nature Geoscience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w:t>
      </w:r>
      <w:r w:rsidRPr="00C12D8F">
        <w:rPr>
          <w:rFonts w:ascii="Times New Roman" w:hAnsi="Times New Roman" w:cs="Times New Roman"/>
          <w:sz w:val="24"/>
          <w:szCs w:val="24"/>
        </w:rPr>
        <w:t>(7), 547–552. https://doi.org/10.1038/s41561-019-0373-z</w:t>
      </w:r>
    </w:p>
    <w:p w14:paraId="3935C92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Vishwakarma, S., Zhang, X., Dobermann, A., Heffer, P., &amp; Zhou, F. (2023). Global nitrogen deposition inputs to cropland at national scale from 1961 to 2020. </w:t>
      </w:r>
      <w:r w:rsidRPr="00C12D8F">
        <w:rPr>
          <w:rFonts w:ascii="Times New Roman" w:hAnsi="Times New Roman" w:cs="Times New Roman"/>
          <w:i/>
          <w:iCs/>
          <w:sz w:val="24"/>
          <w:szCs w:val="24"/>
        </w:rPr>
        <w:t>Scientific Data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w:t>
      </w:r>
      <w:r w:rsidRPr="00C12D8F">
        <w:rPr>
          <w:rFonts w:ascii="Times New Roman" w:hAnsi="Times New Roman" w:cs="Times New Roman"/>
          <w:sz w:val="24"/>
          <w:szCs w:val="24"/>
        </w:rPr>
        <w:t>(1), 488. https://doi.org/10.1038/s41597-023-02385-8</w:t>
      </w:r>
    </w:p>
    <w:p w14:paraId="5F72A2A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Visioni, D., Pitari, G., Tuccella, P., &amp; Curci, G. (2017). </w:t>
      </w:r>
      <w:r w:rsidRPr="00C12D8F">
        <w:rPr>
          <w:rFonts w:ascii="Times New Roman" w:hAnsi="Times New Roman" w:cs="Times New Roman"/>
          <w:i/>
          <w:iCs/>
          <w:sz w:val="24"/>
          <w:szCs w:val="24"/>
        </w:rPr>
        <w:t>Quantification of sulfur deposition changes under sulfate geoengineering conditions</w:t>
      </w:r>
      <w:r w:rsidRPr="00C12D8F">
        <w:rPr>
          <w:rFonts w:ascii="Times New Roman" w:hAnsi="Times New Roman" w:cs="Times New Roman"/>
          <w:sz w:val="24"/>
          <w:szCs w:val="24"/>
        </w:rPr>
        <w:t xml:space="preserve"> (preprint). Aerosols/Atmospheric Modelling/Stratosphere/Physics (physical properties and processes). https://doi.org/10.5194/acp-2017-987</w:t>
      </w:r>
    </w:p>
    <w:p w14:paraId="4BD5BC9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Visioni, D., Pitari, G., Tuccella, P., &amp; Curci, G. (2018). Sulfur deposition changes under sulfate geoengineering conditions: quasi-biennial oscillation effects on the transport and lifetime of stratospheric aerosols.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18</w:t>
      </w:r>
      <w:r w:rsidRPr="00C12D8F">
        <w:rPr>
          <w:rFonts w:ascii="Times New Roman" w:hAnsi="Times New Roman" w:cs="Times New Roman"/>
          <w:sz w:val="24"/>
          <w:szCs w:val="24"/>
        </w:rPr>
        <w:t>(4), 2787–2808. https://doi.org/10.5194/acp-18-2787-2018</w:t>
      </w:r>
    </w:p>
    <w:p w14:paraId="61B0352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Visioni, D., Slessarev, E., MacMartin, D. G., Mahowald, N. M., Goodale, C. L., &amp; Xia, L. (2020). What goes up must come down: impacts of deposition in a sulfate geoengineering scenario.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15</w:t>
      </w:r>
      <w:r w:rsidRPr="00C12D8F">
        <w:rPr>
          <w:rFonts w:ascii="Times New Roman" w:hAnsi="Times New Roman" w:cs="Times New Roman"/>
          <w:sz w:val="24"/>
          <w:szCs w:val="24"/>
        </w:rPr>
        <w:t>(9), 094063. https://doi.org/10.1088/1748-9326/ab94eb</w:t>
      </w:r>
    </w:p>
    <w:p w14:paraId="3FF5277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Visioni, D., MacMartin, D. G., Kravitz, B., Boucher, O., Jones, A., Lurton, T., et al. (2021). Identifying the sources of uncertainty in climate model simulations of solar radiation modification with the G6sulfur and G6solar Geoengineering Model Intercomparison Project (GeoMIP) simulations.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21</w:t>
      </w:r>
      <w:r w:rsidRPr="00C12D8F">
        <w:rPr>
          <w:rFonts w:ascii="Times New Roman" w:hAnsi="Times New Roman" w:cs="Times New Roman"/>
          <w:sz w:val="24"/>
          <w:szCs w:val="24"/>
        </w:rPr>
        <w:t>(13), 10039–10063. https://doi.org/10.5194/acp-21-10039-2021</w:t>
      </w:r>
    </w:p>
    <w:p w14:paraId="3AF8B0F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Visioni, D., Bednarz, E. M., Lee, W. R., Kravitz, B., Jones, A., Haywood, J. M., &amp; MacMartin, D. G. (2023). Climate response to off-equatorial stratospheric sulfur injections in three Earth system models – Part 1: Experimental protocols and surface changes.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23</w:t>
      </w:r>
      <w:r w:rsidRPr="00C12D8F">
        <w:rPr>
          <w:rFonts w:ascii="Times New Roman" w:hAnsi="Times New Roman" w:cs="Times New Roman"/>
          <w:sz w:val="24"/>
          <w:szCs w:val="24"/>
        </w:rPr>
        <w:t>(1), 663–685. https://doi.org/10.5194/acp-23-663-2023</w:t>
      </w:r>
    </w:p>
    <w:p w14:paraId="71A9C34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Vitousek, P. M. (1992). Global Environmental Change: An Introduction. </w:t>
      </w:r>
      <w:r w:rsidRPr="00C12D8F">
        <w:rPr>
          <w:rFonts w:ascii="Times New Roman" w:hAnsi="Times New Roman" w:cs="Times New Roman"/>
          <w:i/>
          <w:iCs/>
          <w:sz w:val="24"/>
          <w:szCs w:val="24"/>
        </w:rPr>
        <w:t>Annual Review of Ecology and Systematics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23</w:t>
      </w:r>
      <w:r w:rsidRPr="00C12D8F">
        <w:rPr>
          <w:rFonts w:ascii="Times New Roman" w:hAnsi="Times New Roman" w:cs="Times New Roman"/>
          <w:sz w:val="24"/>
          <w:szCs w:val="24"/>
        </w:rPr>
        <w:t>(1), 1–14. https://doi.org/10.1146/annurev.es.23.110192.000245</w:t>
      </w:r>
    </w:p>
    <w:p w14:paraId="18B65D6E"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Vose, R. S., Applequist, S., Squires, M., Durre, I., Menne, M. J., Williams, C. N., et al. (2014). Improved Historical Temperature and Precipitation Time Series for U.S. Climate </w:t>
      </w:r>
      <w:r w:rsidRPr="00C12D8F">
        <w:rPr>
          <w:rFonts w:ascii="Times New Roman" w:hAnsi="Times New Roman" w:cs="Times New Roman"/>
          <w:sz w:val="24"/>
          <w:szCs w:val="24"/>
        </w:rPr>
        <w:lastRenderedPageBreak/>
        <w:t xml:space="preserve">Divisions. </w:t>
      </w:r>
      <w:r w:rsidRPr="00C12D8F">
        <w:rPr>
          <w:rFonts w:ascii="Times New Roman" w:hAnsi="Times New Roman" w:cs="Times New Roman"/>
          <w:i/>
          <w:iCs/>
          <w:sz w:val="24"/>
          <w:szCs w:val="24"/>
        </w:rPr>
        <w:t>Journal of Applied Meteorology and Climatology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53</w:t>
      </w:r>
      <w:r w:rsidRPr="00C12D8F">
        <w:rPr>
          <w:rFonts w:ascii="Times New Roman" w:hAnsi="Times New Roman" w:cs="Times New Roman"/>
          <w:sz w:val="24"/>
          <w:szCs w:val="24"/>
        </w:rPr>
        <w:t>(5), 1232–1251. https://doi.org/10.1175/JAMC-D-13-0248.1</w:t>
      </w:r>
    </w:p>
    <w:p w14:paraId="272B139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de Vries, W., Solberg, S., Dobbertin, M., Sterba, H., Laubhann, D., van Oijen, M., et al. (2009). The impact of nitrogen deposition on carbon sequestration by European forests and heathlands. </w:t>
      </w:r>
      <w:r w:rsidRPr="00C12D8F">
        <w:rPr>
          <w:rFonts w:ascii="Times New Roman" w:hAnsi="Times New Roman" w:cs="Times New Roman"/>
          <w:i/>
          <w:iCs/>
          <w:sz w:val="24"/>
          <w:szCs w:val="24"/>
        </w:rPr>
        <w:t>Forest Ecology and Management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258</w:t>
      </w:r>
      <w:r w:rsidRPr="00C12D8F">
        <w:rPr>
          <w:rFonts w:ascii="Times New Roman" w:hAnsi="Times New Roman" w:cs="Times New Roman"/>
          <w:sz w:val="24"/>
          <w:szCs w:val="24"/>
        </w:rPr>
        <w:t>(8), 1814–1823. https://doi.org/10.1016/j.foreco.2009.02.034</w:t>
      </w:r>
    </w:p>
    <w:p w14:paraId="3A9A438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Walker, J. T., Beachley, G., Amos, H. M., Baron, J. S., Bash, J., Baumgardner, R., et al. (2019). Toward the improvement of total nitrogen deposition budgets in the United States. </w:t>
      </w:r>
      <w:r w:rsidRPr="00C12D8F">
        <w:rPr>
          <w:rFonts w:ascii="Times New Roman" w:hAnsi="Times New Roman" w:cs="Times New Roman"/>
          <w:i/>
          <w:iCs/>
          <w:sz w:val="24"/>
          <w:szCs w:val="24"/>
        </w:rPr>
        <w:t>Science of The Total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691</w:t>
      </w:r>
      <w:r w:rsidRPr="00C12D8F">
        <w:rPr>
          <w:rFonts w:ascii="Times New Roman" w:hAnsi="Times New Roman" w:cs="Times New Roman"/>
          <w:sz w:val="24"/>
          <w:szCs w:val="24"/>
        </w:rPr>
        <w:t>, 1328–1352. https://doi.org/10.1016/j.scitotenv.2019.07.058</w:t>
      </w:r>
    </w:p>
    <w:p w14:paraId="4B1E093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Walton, D., Berg, N., Pierce, D., Maurer, E., Hall, A., Lin, Y.-H., et al. (2020). Understanding Differences in California Climate Projections Produced by Dynamical and Statistical Downscaling.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125</w:t>
      </w:r>
      <w:r w:rsidRPr="00C12D8F">
        <w:rPr>
          <w:rFonts w:ascii="Times New Roman" w:hAnsi="Times New Roman" w:cs="Times New Roman"/>
          <w:sz w:val="24"/>
          <w:szCs w:val="24"/>
        </w:rPr>
        <w:t>(19), e2020JD032812. https://doi.org/10.1029/2020JD032812</w:t>
      </w:r>
    </w:p>
    <w:p w14:paraId="5A54FF3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Wang, M., Guo, X., Zhang, S., Xiao, L., Mishra, U., Yang, Y., et al. (2022). Global soil profiles indicate depth-</w:t>
      </w:r>
      <w:proofErr w:type="gramStart"/>
      <w:r w:rsidRPr="00C12D8F">
        <w:rPr>
          <w:rFonts w:ascii="Times New Roman" w:hAnsi="Times New Roman" w:cs="Times New Roman"/>
          <w:sz w:val="24"/>
          <w:szCs w:val="24"/>
        </w:rPr>
        <w:t>dependent soil</w:t>
      </w:r>
      <w:proofErr w:type="gramEnd"/>
      <w:r w:rsidRPr="00C12D8F">
        <w:rPr>
          <w:rFonts w:ascii="Times New Roman" w:hAnsi="Times New Roman" w:cs="Times New Roman"/>
          <w:sz w:val="24"/>
          <w:szCs w:val="24"/>
        </w:rPr>
        <w:t xml:space="preserve"> carbon losses under a warmer climate. </w:t>
      </w:r>
      <w:r w:rsidRPr="00C12D8F">
        <w:rPr>
          <w:rFonts w:ascii="Times New Roman" w:hAnsi="Times New Roman" w:cs="Times New Roman"/>
          <w:i/>
          <w:iCs/>
          <w:sz w:val="24"/>
          <w:szCs w:val="24"/>
        </w:rPr>
        <w:t>Nature Communications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13</w:t>
      </w:r>
      <w:r w:rsidRPr="00C12D8F">
        <w:rPr>
          <w:rFonts w:ascii="Times New Roman" w:hAnsi="Times New Roman" w:cs="Times New Roman"/>
          <w:sz w:val="24"/>
          <w:szCs w:val="24"/>
        </w:rPr>
        <w:t>(1), 5514. https://doi.org/10.1038/s41467-022-33278-w</w:t>
      </w:r>
    </w:p>
    <w:p w14:paraId="09CEBDB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Wang, M., Zhang, S., Guo, X., Xiao, L., Yang, Y., Luo, Y., et al. (2024). Responses of </w:t>
      </w:r>
      <w:proofErr w:type="gramStart"/>
      <w:r w:rsidRPr="00C12D8F">
        <w:rPr>
          <w:rFonts w:ascii="Times New Roman" w:hAnsi="Times New Roman" w:cs="Times New Roman"/>
          <w:sz w:val="24"/>
          <w:szCs w:val="24"/>
        </w:rPr>
        <w:t>soil organic carbon</w:t>
      </w:r>
      <w:proofErr w:type="gramEnd"/>
      <w:r w:rsidRPr="00C12D8F">
        <w:rPr>
          <w:rFonts w:ascii="Times New Roman" w:hAnsi="Times New Roman" w:cs="Times New Roman"/>
          <w:sz w:val="24"/>
          <w:szCs w:val="24"/>
        </w:rPr>
        <w:t xml:space="preserve"> to climate extremes under warming across global biomes. </w:t>
      </w:r>
      <w:r w:rsidRPr="00C12D8F">
        <w:rPr>
          <w:rFonts w:ascii="Times New Roman" w:hAnsi="Times New Roman" w:cs="Times New Roman"/>
          <w:i/>
          <w:iCs/>
          <w:sz w:val="24"/>
          <w:szCs w:val="24"/>
        </w:rPr>
        <w:t>Nature Climate Change</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14</w:t>
      </w:r>
      <w:r w:rsidRPr="00C12D8F">
        <w:rPr>
          <w:rFonts w:ascii="Times New Roman" w:hAnsi="Times New Roman" w:cs="Times New Roman"/>
          <w:sz w:val="24"/>
          <w:szCs w:val="24"/>
        </w:rPr>
        <w:t>(1), 98–105. https://doi.org/10.1038/s41558-023-01874-3</w:t>
      </w:r>
    </w:p>
    <w:p w14:paraId="5B50D0D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Wang, Z., Kumar, J., Weintraub-Leff, S. R., Todd-Brown, K., Mishra, U., &amp; Sihi, D. (2024). Upscaling Soil Organic Carbon Measurements at the Continental Scale Using Multivariate Clustering Analysis and Machine Learning. </w:t>
      </w:r>
      <w:r w:rsidRPr="00C12D8F">
        <w:rPr>
          <w:rFonts w:ascii="Times New Roman" w:hAnsi="Times New Roman" w:cs="Times New Roman"/>
          <w:i/>
          <w:iCs/>
          <w:sz w:val="24"/>
          <w:szCs w:val="24"/>
        </w:rPr>
        <w:t>Journal of Geophysical Research: Biogeosciences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129</w:t>
      </w:r>
      <w:r w:rsidRPr="00C12D8F">
        <w:rPr>
          <w:rFonts w:ascii="Times New Roman" w:hAnsi="Times New Roman" w:cs="Times New Roman"/>
          <w:sz w:val="24"/>
          <w:szCs w:val="24"/>
        </w:rPr>
        <w:t>(2), e2023JG007702. https://doi.org/10.1029/2023JG007702</w:t>
      </w:r>
    </w:p>
    <w:p w14:paraId="4668031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Watanabe, S., Kotsuki, S., Kanae, S., Tanaka, K., &amp; Higuchi, A. (2020). Snow water scarcity induced by record-breaking warm winter in 2020 in Japan.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10</w:t>
      </w:r>
      <w:r w:rsidRPr="00C12D8F">
        <w:rPr>
          <w:rFonts w:ascii="Times New Roman" w:hAnsi="Times New Roman" w:cs="Times New Roman"/>
          <w:sz w:val="24"/>
          <w:szCs w:val="24"/>
        </w:rPr>
        <w:t>(1), 18541. https://doi.org/10.1038/s41598-020-75440-8</w:t>
      </w:r>
    </w:p>
    <w:p w14:paraId="1F4BA4C2"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Wei, J., Huang, W., Li, Z., Xue, W., Peng, Y., Sun, L., &amp; Cribb, M. (2019). Estimating 1-km-resolution PM2.5 concentrations across China using the space-time random forest </w:t>
      </w:r>
      <w:r w:rsidRPr="00C12D8F">
        <w:rPr>
          <w:rFonts w:ascii="Times New Roman" w:hAnsi="Times New Roman" w:cs="Times New Roman"/>
          <w:sz w:val="24"/>
          <w:szCs w:val="24"/>
        </w:rPr>
        <w:lastRenderedPageBreak/>
        <w:t xml:space="preserve">approach. </w:t>
      </w:r>
      <w:r w:rsidRPr="00C12D8F">
        <w:rPr>
          <w:rFonts w:ascii="Times New Roman" w:hAnsi="Times New Roman" w:cs="Times New Roman"/>
          <w:i/>
          <w:iCs/>
          <w:sz w:val="24"/>
          <w:szCs w:val="24"/>
        </w:rPr>
        <w:t>Remote Sensing of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231</w:t>
      </w:r>
      <w:r w:rsidRPr="00C12D8F">
        <w:rPr>
          <w:rFonts w:ascii="Times New Roman" w:hAnsi="Times New Roman" w:cs="Times New Roman"/>
          <w:sz w:val="24"/>
          <w:szCs w:val="24"/>
        </w:rPr>
        <w:t>(1112221). https://doi.org/DOI:10.1016/j.rse.2019.111221</w:t>
      </w:r>
    </w:p>
    <w:p w14:paraId="33FC75A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Wen, Z., Xu, W., Li, Q., Han, M., Tang, A., Zhang, Y., et al. (2020). Changes of nitrogen deposition in China from 1980 to 2018. </w:t>
      </w:r>
      <w:r w:rsidRPr="00C12D8F">
        <w:rPr>
          <w:rFonts w:ascii="Times New Roman" w:hAnsi="Times New Roman" w:cs="Times New Roman"/>
          <w:i/>
          <w:iCs/>
          <w:sz w:val="24"/>
          <w:szCs w:val="24"/>
        </w:rPr>
        <w:t>Environment International</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144</w:t>
      </w:r>
      <w:r w:rsidRPr="00C12D8F">
        <w:rPr>
          <w:rFonts w:ascii="Times New Roman" w:hAnsi="Times New Roman" w:cs="Times New Roman"/>
          <w:sz w:val="24"/>
          <w:szCs w:val="24"/>
        </w:rPr>
        <w:t>, 106022. https://doi.org/10.1016/j.envint.2020.106022</w:t>
      </w:r>
    </w:p>
    <w:p w14:paraId="773B4775"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Werner, A. T., &amp; Cannon, A. J. (2016). Hydrologic extremes – an intercomparison of multiple gridded statistical downscaling methods. </w:t>
      </w:r>
      <w:r w:rsidRPr="00C12D8F">
        <w:rPr>
          <w:rFonts w:ascii="Times New Roman" w:hAnsi="Times New Roman" w:cs="Times New Roman"/>
          <w:i/>
          <w:iCs/>
          <w:sz w:val="24"/>
          <w:szCs w:val="24"/>
        </w:rPr>
        <w:t>Hydrology and Earth System Sciences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20</w:t>
      </w:r>
      <w:r w:rsidRPr="00C12D8F">
        <w:rPr>
          <w:rFonts w:ascii="Times New Roman" w:hAnsi="Times New Roman" w:cs="Times New Roman"/>
          <w:sz w:val="24"/>
          <w:szCs w:val="24"/>
        </w:rPr>
        <w:t>(4), 1483–1508. https://doi.org/10.5194/hess-20-1483-2016</w:t>
      </w:r>
    </w:p>
    <w:p w14:paraId="38315D00"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Whitburn, S., Van Damme, M., Clarisse, L., Bauduin, S., Heald, C. L., Hadji-Lazaro, J., et al. (2016). A flexible and robust neural network IASI-NH3 retrieval algorithm.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121</w:t>
      </w:r>
      <w:r w:rsidRPr="00C12D8F">
        <w:rPr>
          <w:rFonts w:ascii="Times New Roman" w:hAnsi="Times New Roman" w:cs="Times New Roman"/>
          <w:sz w:val="24"/>
          <w:szCs w:val="24"/>
        </w:rPr>
        <w:t>(11), 6581–6599. https://doi.org/10.1002/2016JD024828</w:t>
      </w:r>
    </w:p>
    <w:p w14:paraId="58C98877"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Wieder, W. R., Pierson, D., Earl, S., Lajtha, K., Baer, S. G., Ballantyne, F., et al. (2021). SoDaH: the SOils DAta Harmonization database, an open-source synthesis of soil data from research networks, version 1.0. </w:t>
      </w:r>
      <w:r w:rsidRPr="00C12D8F">
        <w:rPr>
          <w:rFonts w:ascii="Times New Roman" w:hAnsi="Times New Roman" w:cs="Times New Roman"/>
          <w:i/>
          <w:iCs/>
          <w:sz w:val="24"/>
          <w:szCs w:val="24"/>
        </w:rPr>
        <w:t>Earth System Science Data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13</w:t>
      </w:r>
      <w:r w:rsidRPr="00C12D8F">
        <w:rPr>
          <w:rFonts w:ascii="Times New Roman" w:hAnsi="Times New Roman" w:cs="Times New Roman"/>
          <w:sz w:val="24"/>
          <w:szCs w:val="24"/>
        </w:rPr>
        <w:t>(5), 1843–1854. https://doi.org/10.5194/essd-13-1843-2021</w:t>
      </w:r>
    </w:p>
    <w:p w14:paraId="4685114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Wootten, A. M., Dixon, K. W., Adams-Smith, D. J., &amp; McPherson, R. A. (2024). False springs and spring phenology: Propagating effects of downscaling technique and training data. </w:t>
      </w:r>
      <w:r w:rsidRPr="00C12D8F">
        <w:rPr>
          <w:rFonts w:ascii="Times New Roman" w:hAnsi="Times New Roman" w:cs="Times New Roman"/>
          <w:i/>
          <w:iCs/>
          <w:sz w:val="24"/>
          <w:szCs w:val="24"/>
        </w:rPr>
        <w:t>International Journal of Climatology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44</w:t>
      </w:r>
      <w:r w:rsidRPr="00C12D8F">
        <w:rPr>
          <w:rFonts w:ascii="Times New Roman" w:hAnsi="Times New Roman" w:cs="Times New Roman"/>
          <w:sz w:val="24"/>
          <w:szCs w:val="24"/>
        </w:rPr>
        <w:t>(6), 2021–2040. https://doi.org/10.1002/joc.8438</w:t>
      </w:r>
    </w:p>
    <w:p w14:paraId="79F5892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World Health Organization. (2022). Heatwaves [Overviews and Factsheets]. Retrieved March 10, 2022, from https://www.who.int/westernpacific/health-topics/heatwaves</w:t>
      </w:r>
    </w:p>
    <w:p w14:paraId="5B9C1A6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World Meteorological Organization. (2021). </w:t>
      </w:r>
      <w:r w:rsidRPr="00C12D8F">
        <w:rPr>
          <w:rFonts w:ascii="Times New Roman" w:hAnsi="Times New Roman" w:cs="Times New Roman"/>
          <w:i/>
          <w:iCs/>
          <w:sz w:val="24"/>
          <w:szCs w:val="24"/>
        </w:rPr>
        <w:t>Measurement-Model Fusion for Global Total Atmospheric Deposition Initiative: Implementation Plan for 2021-2026</w:t>
      </w:r>
      <w:r w:rsidRPr="00C12D8F">
        <w:rPr>
          <w:rFonts w:ascii="Times New Roman" w:hAnsi="Times New Roman" w:cs="Times New Roman"/>
          <w:sz w:val="24"/>
          <w:szCs w:val="24"/>
        </w:rPr>
        <w:t xml:space="preserve"> (GAW Report No. 269) (pp. 1–52). Geneva, Switzerland: World Meteorological Organization. Retrieved from https://library.wmo.int/doc_num.php?explnum_id=10831</w:t>
      </w:r>
    </w:p>
    <w:p w14:paraId="0EAE9F5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Wu, D., Zhao, X., Liang, S., Zhou, T., Huang, K., Tang, B., &amp; Zhao, W. (2015). Time-lag effects of global vegetation responses to climate change. </w:t>
      </w:r>
      <w:r w:rsidRPr="00C12D8F">
        <w:rPr>
          <w:rFonts w:ascii="Times New Roman" w:hAnsi="Times New Roman" w:cs="Times New Roman"/>
          <w:i/>
          <w:iCs/>
          <w:sz w:val="24"/>
          <w:szCs w:val="24"/>
        </w:rPr>
        <w:t>Global Change Biology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21</w:t>
      </w:r>
      <w:r w:rsidRPr="00C12D8F">
        <w:rPr>
          <w:rFonts w:ascii="Times New Roman" w:hAnsi="Times New Roman" w:cs="Times New Roman"/>
          <w:sz w:val="24"/>
          <w:szCs w:val="24"/>
        </w:rPr>
        <w:t>(9), 3520–3531. https://doi.org/10.1111/gcb.12945</w:t>
      </w:r>
    </w:p>
    <w:p w14:paraId="5C239AF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Wu, J., Zhou, Y., Gao, Y., Fu, J. S., Johnson, B. A., Huang, C., et al. (2014). Estimation and Uncertainty Analysis of Impacts of Future Heat Waves on Mortality in the Eastern </w:t>
      </w:r>
      <w:r w:rsidRPr="00C12D8F">
        <w:rPr>
          <w:rFonts w:ascii="Times New Roman" w:hAnsi="Times New Roman" w:cs="Times New Roman"/>
          <w:sz w:val="24"/>
          <w:szCs w:val="24"/>
        </w:rPr>
        <w:lastRenderedPageBreak/>
        <w:t xml:space="preserve">United States. </w:t>
      </w:r>
      <w:r w:rsidRPr="00C12D8F">
        <w:rPr>
          <w:rFonts w:ascii="Times New Roman" w:hAnsi="Times New Roman" w:cs="Times New Roman"/>
          <w:i/>
          <w:iCs/>
          <w:sz w:val="24"/>
          <w:szCs w:val="24"/>
        </w:rPr>
        <w:t>Environmental Health Perspectives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122</w:t>
      </w:r>
      <w:r w:rsidRPr="00C12D8F">
        <w:rPr>
          <w:rFonts w:ascii="Times New Roman" w:hAnsi="Times New Roman" w:cs="Times New Roman"/>
          <w:sz w:val="24"/>
          <w:szCs w:val="24"/>
        </w:rPr>
        <w:t>(1), 10–16. https://doi.org/10.1289/ehp.1306670</w:t>
      </w:r>
    </w:p>
    <w:p w14:paraId="5CFD68D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Wyden, R. The North American Grasslands Conservation Act, Pub. L. No. S. 4639 (2022). Retrieved from https://actforgrasslands.org/bill-introduction/</w:t>
      </w:r>
    </w:p>
    <w:p w14:paraId="00AD1D1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Xiong, X., Grunwald, S., Myers, D. B., Ross, C. W., Harris, W. G., &amp; Comerford, N. B. (2014). Interaction effects of climate and land use/land cover change on soil organic carbon sequestration. </w:t>
      </w:r>
      <w:r w:rsidRPr="00C12D8F">
        <w:rPr>
          <w:rFonts w:ascii="Times New Roman" w:hAnsi="Times New Roman" w:cs="Times New Roman"/>
          <w:i/>
          <w:iCs/>
          <w:sz w:val="24"/>
          <w:szCs w:val="24"/>
        </w:rPr>
        <w:t>Science of The Total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493</w:t>
      </w:r>
      <w:r w:rsidRPr="00C12D8F">
        <w:rPr>
          <w:rFonts w:ascii="Times New Roman" w:hAnsi="Times New Roman" w:cs="Times New Roman"/>
          <w:sz w:val="24"/>
          <w:szCs w:val="24"/>
        </w:rPr>
        <w:t>, 974–982. https://doi.org/10.1016/j.scitotenv.2014.06.088</w:t>
      </w:r>
    </w:p>
    <w:p w14:paraId="0C429CC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Xu, W., Luo, X. S., Pan, Y. P., Zhang, L., Tang, A. H., Shen, J. L., et al. (2015). Quantifying atmospheric nitrogen deposition through a nationwide monitoring network across China.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15</w:t>
      </w:r>
      <w:r w:rsidRPr="00C12D8F">
        <w:rPr>
          <w:rFonts w:ascii="Times New Roman" w:hAnsi="Times New Roman" w:cs="Times New Roman"/>
          <w:sz w:val="24"/>
          <w:szCs w:val="24"/>
        </w:rPr>
        <w:t>(21), 12345–12360. https://doi.org/10.5194/acp-15-12345-2015</w:t>
      </w:r>
    </w:p>
    <w:p w14:paraId="7286584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Xu, Wen, Zhang, L., &amp; Liu, X. (2019). A database of atmospheric nitrogen concentration and deposition from the nationwide monitoring network in China. </w:t>
      </w:r>
      <w:r w:rsidRPr="00C12D8F">
        <w:rPr>
          <w:rFonts w:ascii="Times New Roman" w:hAnsi="Times New Roman" w:cs="Times New Roman"/>
          <w:i/>
          <w:iCs/>
          <w:sz w:val="24"/>
          <w:szCs w:val="24"/>
        </w:rPr>
        <w:t>Scientific Data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w:t>
      </w:r>
      <w:r w:rsidRPr="00C12D8F">
        <w:rPr>
          <w:rFonts w:ascii="Times New Roman" w:hAnsi="Times New Roman" w:cs="Times New Roman"/>
          <w:sz w:val="24"/>
          <w:szCs w:val="24"/>
        </w:rPr>
        <w:t>(1), 51. https://doi.org/10.1038/s41597-019-0061-2</w:t>
      </w:r>
    </w:p>
    <w:p w14:paraId="26F6D35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Xu, Y., Lin, L., Tilmes, S., Dagon, K., Xia, L., Diao, C., et al. (2020). Climate engineering to mitigate the projected 21st-century terrestrial drying of the Americas: a direct comparison of carbon capture and sulfur injection. </w:t>
      </w:r>
      <w:r w:rsidRPr="00C12D8F">
        <w:rPr>
          <w:rFonts w:ascii="Times New Roman" w:hAnsi="Times New Roman" w:cs="Times New Roman"/>
          <w:i/>
          <w:iCs/>
          <w:sz w:val="24"/>
          <w:szCs w:val="24"/>
        </w:rPr>
        <w:t>Earth System Dynamics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w:t>
      </w:r>
      <w:r w:rsidRPr="00C12D8F">
        <w:rPr>
          <w:rFonts w:ascii="Times New Roman" w:hAnsi="Times New Roman" w:cs="Times New Roman"/>
          <w:sz w:val="24"/>
          <w:szCs w:val="24"/>
        </w:rPr>
        <w:t>(3), 673–695. https://doi.org/10.5194/esd-11-673-2020</w:t>
      </w:r>
    </w:p>
    <w:p w14:paraId="66174E01"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Yan, H.-H., Li, X.-J., Zhang, X.-Y., Wang, W.-H., Chen, L.-F., Zhang, M.-G., &amp; Xu, J. (2016). Comparative Analysis and Verification of Remote Sensing Retrieval Algorithms for Total Atmospheric SO2 Column. </w:t>
      </w:r>
      <w:r w:rsidRPr="00C12D8F">
        <w:rPr>
          <w:rFonts w:ascii="Times New Roman" w:hAnsi="Times New Roman" w:cs="Times New Roman"/>
          <w:i/>
          <w:iCs/>
          <w:sz w:val="24"/>
          <w:szCs w:val="24"/>
        </w:rPr>
        <w:t>Acta Physica Sinica</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65</w:t>
      </w:r>
      <w:r w:rsidRPr="00C12D8F">
        <w:rPr>
          <w:rFonts w:ascii="Times New Roman" w:hAnsi="Times New Roman" w:cs="Times New Roman"/>
          <w:sz w:val="24"/>
          <w:szCs w:val="24"/>
        </w:rPr>
        <w:t>(8). https://doi.org/10.7498/aps.65.084204</w:t>
      </w:r>
    </w:p>
    <w:p w14:paraId="2718778C"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Yang, C., Feng, M., Song, L., Wang, C., Yang, W., Xie, Y., et al. (2021). Study on hyperspectral estimation model of soil organic carbon content in the wheat field under different water treatments.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11</w:t>
      </w:r>
      <w:r w:rsidRPr="00C12D8F">
        <w:rPr>
          <w:rFonts w:ascii="Times New Roman" w:hAnsi="Times New Roman" w:cs="Times New Roman"/>
          <w:sz w:val="24"/>
          <w:szCs w:val="24"/>
        </w:rPr>
        <w:t>(1), 18582. https://doi.org/10.1038/s41598-021-98143-0</w:t>
      </w:r>
    </w:p>
    <w:p w14:paraId="70AF010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Yang, C.-E., Hoffman, F. M., Ricciuto, D. M., Tilmes, S., Xia, L., MacMartin, D. G., et al. (2020). Assessing terrestrial biogeochemical </w:t>
      </w:r>
      <w:proofErr w:type="gramStart"/>
      <w:r w:rsidRPr="00C12D8F">
        <w:rPr>
          <w:rFonts w:ascii="Times New Roman" w:hAnsi="Times New Roman" w:cs="Times New Roman"/>
          <w:sz w:val="24"/>
          <w:szCs w:val="24"/>
        </w:rPr>
        <w:t>feedbacks</w:t>
      </w:r>
      <w:proofErr w:type="gramEnd"/>
      <w:r w:rsidRPr="00C12D8F">
        <w:rPr>
          <w:rFonts w:ascii="Times New Roman" w:hAnsi="Times New Roman" w:cs="Times New Roman"/>
          <w:sz w:val="24"/>
          <w:szCs w:val="24"/>
        </w:rPr>
        <w:t xml:space="preserve"> in a strategically geoengineered climate. </w:t>
      </w:r>
      <w:r w:rsidRPr="00C12D8F">
        <w:rPr>
          <w:rFonts w:ascii="Times New Roman" w:hAnsi="Times New Roman" w:cs="Times New Roman"/>
          <w:i/>
          <w:iCs/>
          <w:sz w:val="24"/>
          <w:szCs w:val="24"/>
        </w:rPr>
        <w:t>Environmental Research Letters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15</w:t>
      </w:r>
      <w:r w:rsidRPr="00C12D8F">
        <w:rPr>
          <w:rFonts w:ascii="Times New Roman" w:hAnsi="Times New Roman" w:cs="Times New Roman"/>
          <w:sz w:val="24"/>
          <w:szCs w:val="24"/>
        </w:rPr>
        <w:t>(10), 104043. https://doi.org/10.1088/1748-9326/abacf7</w:t>
      </w:r>
    </w:p>
    <w:p w14:paraId="04C6B10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Yang, L., He, X., Shen, F., Zhou, C., Zhu, A.-X., Gao, B., et al. (2020). Improving prediction of soil organic carbon content in croplands using phenological parameters extracted from NDVI time series data. </w:t>
      </w:r>
      <w:r w:rsidRPr="00C12D8F">
        <w:rPr>
          <w:rFonts w:ascii="Times New Roman" w:hAnsi="Times New Roman" w:cs="Times New Roman"/>
          <w:i/>
          <w:iCs/>
          <w:sz w:val="24"/>
          <w:szCs w:val="24"/>
        </w:rPr>
        <w:t>Soil and Tillage Research</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196</w:t>
      </w:r>
      <w:r w:rsidRPr="00C12D8F">
        <w:rPr>
          <w:rFonts w:ascii="Times New Roman" w:hAnsi="Times New Roman" w:cs="Times New Roman"/>
          <w:sz w:val="24"/>
          <w:szCs w:val="24"/>
        </w:rPr>
        <w:t>, 104465. https://doi.org/10.1016/j.still.2019.104465</w:t>
      </w:r>
    </w:p>
    <w:p w14:paraId="5582F4F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Yang, Z., Dominguez, F., &amp; Zeng, X. (2019). Large and local-scale features associated with heat waves in the United States in reanalysis products and the NARCCAP model ensemble. </w:t>
      </w:r>
      <w:r w:rsidRPr="00C12D8F">
        <w:rPr>
          <w:rFonts w:ascii="Times New Roman" w:hAnsi="Times New Roman" w:cs="Times New Roman"/>
          <w:i/>
          <w:iCs/>
          <w:sz w:val="24"/>
          <w:szCs w:val="24"/>
        </w:rPr>
        <w:t>Climate Dynamics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52</w:t>
      </w:r>
      <w:r w:rsidRPr="00C12D8F">
        <w:rPr>
          <w:rFonts w:ascii="Times New Roman" w:hAnsi="Times New Roman" w:cs="Times New Roman"/>
          <w:sz w:val="24"/>
          <w:szCs w:val="24"/>
        </w:rPr>
        <w:t>(3), 1883–1901. https://doi.org/10.1007/s00382-018-4414-x</w:t>
      </w:r>
    </w:p>
    <w:p w14:paraId="1BFDBA19"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Yu, W., Weintraub, S. R., &amp; Hall, S. J. (2021). Climatic and Geochemical Controls on Soil Carbon at the Continental Scale: Interactions and Thresholds - Yu - 2021 - Global Biogeochemical Cycles - Wiley Online Library. </w:t>
      </w:r>
      <w:r w:rsidRPr="00C12D8F">
        <w:rPr>
          <w:rFonts w:ascii="Times New Roman" w:hAnsi="Times New Roman" w:cs="Times New Roman"/>
          <w:i/>
          <w:iCs/>
          <w:sz w:val="24"/>
          <w:szCs w:val="24"/>
        </w:rPr>
        <w:t>Global Biogeochemical Cycles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35</w:t>
      </w:r>
      <w:r w:rsidRPr="00C12D8F">
        <w:rPr>
          <w:rFonts w:ascii="Times New Roman" w:hAnsi="Times New Roman" w:cs="Times New Roman"/>
          <w:sz w:val="24"/>
          <w:szCs w:val="24"/>
        </w:rPr>
        <w:t>(3). https://doi.org/DOI:10.1029/2020GB006781</w:t>
      </w:r>
    </w:p>
    <w:p w14:paraId="6FD9144A"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Zhang, L., Jacob, D. J., Knipping, E. M., Kumar, N., Munger, J. W., Carouge, C. C., et al. (2012). Nitrogen deposition to the United States: distribution, sources, and processes.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w:t>
      </w:r>
      <w:r w:rsidRPr="00C12D8F">
        <w:rPr>
          <w:rFonts w:ascii="Times New Roman" w:hAnsi="Times New Roman" w:cs="Times New Roman"/>
          <w:sz w:val="24"/>
          <w:szCs w:val="24"/>
        </w:rPr>
        <w:t>(10), 4539–4554. https://doi.org/10.5194/acp-12-4539-2012</w:t>
      </w:r>
    </w:p>
    <w:p w14:paraId="75EC5876"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Zhang, Lei, Xu, Y., Meng, C., Li, X., Liu, H., &amp; Wang, C. (2020). Comparison of Statistical and Dynamic Downscaling Techniques in Generating High-Resolution Temperatures in China from CMIP5 GCMs. </w:t>
      </w:r>
      <w:r w:rsidRPr="00C12D8F">
        <w:rPr>
          <w:rFonts w:ascii="Times New Roman" w:hAnsi="Times New Roman" w:cs="Times New Roman"/>
          <w:i/>
          <w:iCs/>
          <w:sz w:val="24"/>
          <w:szCs w:val="24"/>
        </w:rPr>
        <w:t>Journal of Applied Meteorology and Climatology</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59</w:t>
      </w:r>
      <w:r w:rsidRPr="00C12D8F">
        <w:rPr>
          <w:rFonts w:ascii="Times New Roman" w:hAnsi="Times New Roman" w:cs="Times New Roman"/>
          <w:sz w:val="24"/>
          <w:szCs w:val="24"/>
        </w:rPr>
        <w:t>(2), 207–235. https://doi.org/10.1175/JAMC-D-19-0048.1</w:t>
      </w:r>
    </w:p>
    <w:p w14:paraId="070A9132"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Zhang, M., Leon, C. de, &amp; Migliaccio, K. (2018). Evaluation and comparison of interpolated gauge rainfall data and gridded rainfall data in Florida, USA. </w:t>
      </w:r>
      <w:r w:rsidRPr="00C12D8F">
        <w:rPr>
          <w:rFonts w:ascii="Times New Roman" w:hAnsi="Times New Roman" w:cs="Times New Roman"/>
          <w:i/>
          <w:iCs/>
          <w:sz w:val="24"/>
          <w:szCs w:val="24"/>
        </w:rPr>
        <w:t>Hydrological Sciences Journal</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63</w:t>
      </w:r>
      <w:r w:rsidRPr="00C12D8F">
        <w:rPr>
          <w:rFonts w:ascii="Times New Roman" w:hAnsi="Times New Roman" w:cs="Times New Roman"/>
          <w:sz w:val="24"/>
          <w:szCs w:val="24"/>
        </w:rPr>
        <w:t>(4), 561–582. https://doi.org/10.1080/02626667.2018.1444767</w:t>
      </w:r>
    </w:p>
    <w:p w14:paraId="3B70D50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Zhang, X. Y., Chuai, X. W., Liu, L., Zhang, W. T., Lu, X. H., Zhao, L. M., &amp; Chen, D. M. (2018). Decadal Trends in Wet Sulfur Deposition in China Estimated </w:t>
      </w:r>
      <w:proofErr w:type="gramStart"/>
      <w:r w:rsidRPr="00C12D8F">
        <w:rPr>
          <w:rFonts w:ascii="Times New Roman" w:hAnsi="Times New Roman" w:cs="Times New Roman"/>
          <w:sz w:val="24"/>
          <w:szCs w:val="24"/>
        </w:rPr>
        <w:t>From</w:t>
      </w:r>
      <w:proofErr w:type="gramEnd"/>
      <w:r w:rsidRPr="00C12D8F">
        <w:rPr>
          <w:rFonts w:ascii="Times New Roman" w:hAnsi="Times New Roman" w:cs="Times New Roman"/>
          <w:sz w:val="24"/>
          <w:szCs w:val="24"/>
        </w:rPr>
        <w:t xml:space="preserve"> OMI SO2 Columns.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123</w:t>
      </w:r>
      <w:r w:rsidRPr="00C12D8F">
        <w:rPr>
          <w:rFonts w:ascii="Times New Roman" w:hAnsi="Times New Roman" w:cs="Times New Roman"/>
          <w:sz w:val="24"/>
          <w:szCs w:val="24"/>
        </w:rPr>
        <w:t>(18), 10,796-10,811. https://doi.org/10.1029/2018JD028770</w:t>
      </w:r>
    </w:p>
    <w:p w14:paraId="72AA1BC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Zhang, Y., Mathur, R., Bash, J. O., Hogrefe, C., Xing, J., &amp; Roselle, S. J. (2018). Long-term trends in total inorganic nitrogen and sulfur deposition in the US from 1990 to 2010. </w:t>
      </w:r>
      <w:r w:rsidRPr="00C12D8F">
        <w:rPr>
          <w:rFonts w:ascii="Times New Roman" w:hAnsi="Times New Roman" w:cs="Times New Roman"/>
          <w:i/>
          <w:iCs/>
          <w:sz w:val="24"/>
          <w:szCs w:val="24"/>
        </w:rPr>
        <w:t>Atmospheric Chemistry and Physics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18</w:t>
      </w:r>
      <w:r w:rsidRPr="00C12D8F">
        <w:rPr>
          <w:rFonts w:ascii="Times New Roman" w:hAnsi="Times New Roman" w:cs="Times New Roman"/>
          <w:sz w:val="24"/>
          <w:szCs w:val="24"/>
        </w:rPr>
        <w:t>(12), 9091–9106. https://doi.org/10.5194/acp-18-9091-2018</w:t>
      </w:r>
    </w:p>
    <w:p w14:paraId="02F97DA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lastRenderedPageBreak/>
        <w:t xml:space="preserve">Zhang, Y., Foley, K. M., Schwede, D. B., Bash, J. O., Pinto, J. P., &amp; Dennis, R. L. (2019). A Measurement-Model Fusion Approach for Improved Wet Deposition Maps and Trends. </w:t>
      </w:r>
      <w:r w:rsidRPr="00C12D8F">
        <w:rPr>
          <w:rFonts w:ascii="Times New Roman" w:hAnsi="Times New Roman" w:cs="Times New Roman"/>
          <w:i/>
          <w:iCs/>
          <w:sz w:val="24"/>
          <w:szCs w:val="24"/>
        </w:rPr>
        <w:t>Journal of Geophysical Research: Atmospheres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124</w:t>
      </w:r>
      <w:r w:rsidRPr="00C12D8F">
        <w:rPr>
          <w:rFonts w:ascii="Times New Roman" w:hAnsi="Times New Roman" w:cs="Times New Roman"/>
          <w:sz w:val="24"/>
          <w:szCs w:val="24"/>
        </w:rPr>
        <w:t>(7), 4237–4251. https://doi.org/10.1029/2018JD029051</w:t>
      </w:r>
    </w:p>
    <w:p w14:paraId="38559AED"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Zhao, Y., Zhang, L., Chen, Y., Liu, X., Xu, W., Pan, Y., &amp; Duan, L. (2017). Atmospheric nitrogen deposition to China: A model analysis on nitrogen budget and critical load exceedance. </w:t>
      </w:r>
      <w:r w:rsidRPr="00C12D8F">
        <w:rPr>
          <w:rFonts w:ascii="Times New Roman" w:hAnsi="Times New Roman" w:cs="Times New Roman"/>
          <w:i/>
          <w:iCs/>
          <w:sz w:val="24"/>
          <w:szCs w:val="24"/>
        </w:rPr>
        <w:t>Atmospheric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153</w:t>
      </w:r>
      <w:r w:rsidRPr="00C12D8F">
        <w:rPr>
          <w:rFonts w:ascii="Times New Roman" w:hAnsi="Times New Roman" w:cs="Times New Roman"/>
          <w:sz w:val="24"/>
          <w:szCs w:val="24"/>
        </w:rPr>
        <w:t>, 32–40. https://doi.org/10.1016/j.atmosenv.2017.01.018</w:t>
      </w:r>
    </w:p>
    <w:p w14:paraId="47253F3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Zhou, K., Zhao, Y., Zhang, L., &amp; Xi, M. (2021). Declining dry deposition of NO2 and SO2 with diverse spatiotemporal patterns in China from 2013 to 2018. </w:t>
      </w:r>
      <w:r w:rsidRPr="00C12D8F">
        <w:rPr>
          <w:rFonts w:ascii="Times New Roman" w:hAnsi="Times New Roman" w:cs="Times New Roman"/>
          <w:i/>
          <w:iCs/>
          <w:sz w:val="24"/>
          <w:szCs w:val="24"/>
        </w:rPr>
        <w:t>Atmospheric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262</w:t>
      </w:r>
      <w:r w:rsidRPr="00C12D8F">
        <w:rPr>
          <w:rFonts w:ascii="Times New Roman" w:hAnsi="Times New Roman" w:cs="Times New Roman"/>
          <w:sz w:val="24"/>
          <w:szCs w:val="24"/>
        </w:rPr>
        <w:t>, 118655. https://doi.org/10.1016/j.atmosenv.2021.118655</w:t>
      </w:r>
    </w:p>
    <w:p w14:paraId="7AF78FB3"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Zhou, X., Zhou, L., Nie, Y., Fu, Y., Du, Z., Shao, J., et al. (2016). Similar responses of soil carbon storage to drought and irrigation in terrestrial ecosystems but with contrasting mechanisms: A meta-analysis. </w:t>
      </w:r>
      <w:r w:rsidRPr="00C12D8F">
        <w:rPr>
          <w:rFonts w:ascii="Times New Roman" w:hAnsi="Times New Roman" w:cs="Times New Roman"/>
          <w:i/>
          <w:iCs/>
          <w:sz w:val="24"/>
          <w:szCs w:val="24"/>
        </w:rPr>
        <w:t>Agriculture, Ecosystems &amp;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228</w:t>
      </w:r>
      <w:r w:rsidRPr="00C12D8F">
        <w:rPr>
          <w:rFonts w:ascii="Times New Roman" w:hAnsi="Times New Roman" w:cs="Times New Roman"/>
          <w:sz w:val="24"/>
          <w:szCs w:val="24"/>
        </w:rPr>
        <w:t>, 70–81. https://doi.org/10.1016/j.agee.2016.04.030</w:t>
      </w:r>
    </w:p>
    <w:p w14:paraId="0650BAFF"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Zhou, Y., Hartemink, A. E., Shi, Z., Liang, Z., &amp; Lu, Y. (2019). Land use and climate change effects on soil organic carbon in North and Northeast China. </w:t>
      </w:r>
      <w:r w:rsidRPr="00C12D8F">
        <w:rPr>
          <w:rFonts w:ascii="Times New Roman" w:hAnsi="Times New Roman" w:cs="Times New Roman"/>
          <w:i/>
          <w:iCs/>
          <w:sz w:val="24"/>
          <w:szCs w:val="24"/>
        </w:rPr>
        <w:t>Science of The Total Environment</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647</w:t>
      </w:r>
      <w:r w:rsidRPr="00C12D8F">
        <w:rPr>
          <w:rFonts w:ascii="Times New Roman" w:hAnsi="Times New Roman" w:cs="Times New Roman"/>
          <w:sz w:val="24"/>
          <w:szCs w:val="24"/>
        </w:rPr>
        <w:t>, 1230–1238. https://doi.org/10.1016/j.scitotenv.2018.08.016</w:t>
      </w:r>
    </w:p>
    <w:p w14:paraId="62226A94"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Zhu, J., Chen, Z., Wang, Q., Xu, L., He, N., Jia, Y., et al. (2020). Potential transition in the effects of atmospheric nitrogen deposition in China. </w:t>
      </w:r>
      <w:r w:rsidRPr="00C12D8F">
        <w:rPr>
          <w:rFonts w:ascii="Times New Roman" w:hAnsi="Times New Roman" w:cs="Times New Roman"/>
          <w:i/>
          <w:iCs/>
          <w:sz w:val="24"/>
          <w:szCs w:val="24"/>
        </w:rPr>
        <w:t>Environmental Pollution</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258</w:t>
      </w:r>
      <w:r w:rsidRPr="00C12D8F">
        <w:rPr>
          <w:rFonts w:ascii="Times New Roman" w:hAnsi="Times New Roman" w:cs="Times New Roman"/>
          <w:sz w:val="24"/>
          <w:szCs w:val="24"/>
        </w:rPr>
        <w:t>, 113739. https://doi.org/10.1016/j.envpol.2019.113739</w:t>
      </w:r>
    </w:p>
    <w:p w14:paraId="5D5F9478"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Zomer, R. J., Bossio, D. A., Sommer, R., &amp; Verchot, L. V. (2017). Global Sequestration Potential of Increased Organic Carbon in Cropland Soils. </w:t>
      </w:r>
      <w:r w:rsidRPr="00C12D8F">
        <w:rPr>
          <w:rFonts w:ascii="Times New Roman" w:hAnsi="Times New Roman" w:cs="Times New Roman"/>
          <w:i/>
          <w:iCs/>
          <w:sz w:val="24"/>
          <w:szCs w:val="24"/>
        </w:rPr>
        <w:t>Scientific Reports</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7</w:t>
      </w:r>
      <w:r w:rsidRPr="00C12D8F">
        <w:rPr>
          <w:rFonts w:ascii="Times New Roman" w:hAnsi="Times New Roman" w:cs="Times New Roman"/>
          <w:sz w:val="24"/>
          <w:szCs w:val="24"/>
        </w:rPr>
        <w:t>(1), 15554. https://doi.org/10.1038/s41598-017-15794-8</w:t>
      </w:r>
    </w:p>
    <w:p w14:paraId="36CF9E3B" w14:textId="77777777" w:rsidR="0004467C" w:rsidRPr="00C12D8F" w:rsidRDefault="0004467C" w:rsidP="00C12D8F">
      <w:pPr>
        <w:pStyle w:val="Bibliography"/>
        <w:spacing w:line="360" w:lineRule="auto"/>
        <w:rPr>
          <w:rFonts w:ascii="Times New Roman" w:hAnsi="Times New Roman" w:cs="Times New Roman"/>
          <w:sz w:val="24"/>
          <w:szCs w:val="24"/>
        </w:rPr>
      </w:pPr>
      <w:r w:rsidRPr="00C12D8F">
        <w:rPr>
          <w:rFonts w:ascii="Times New Roman" w:hAnsi="Times New Roman" w:cs="Times New Roman"/>
          <w:sz w:val="24"/>
          <w:szCs w:val="24"/>
        </w:rPr>
        <w:t xml:space="preserve">Zuo, J., Pullen, S., Palmer, J., Bennetts, H., Chileshe, N., &amp; Ma, T. (2015). Impacts of heat waves and corresponding measures: a review. </w:t>
      </w:r>
      <w:r w:rsidRPr="00C12D8F">
        <w:rPr>
          <w:rFonts w:ascii="Times New Roman" w:hAnsi="Times New Roman" w:cs="Times New Roman"/>
          <w:i/>
          <w:iCs/>
          <w:sz w:val="24"/>
          <w:szCs w:val="24"/>
        </w:rPr>
        <w:t>Journal of Cleaner Production</w:t>
      </w:r>
      <w:r w:rsidRPr="00C12D8F">
        <w:rPr>
          <w:rFonts w:ascii="Times New Roman" w:hAnsi="Times New Roman" w:cs="Times New Roman"/>
          <w:sz w:val="24"/>
          <w:szCs w:val="24"/>
        </w:rPr>
        <w:t xml:space="preserve">, </w:t>
      </w:r>
      <w:r w:rsidRPr="00C12D8F">
        <w:rPr>
          <w:rFonts w:ascii="Times New Roman" w:hAnsi="Times New Roman" w:cs="Times New Roman"/>
          <w:i/>
          <w:iCs/>
          <w:sz w:val="24"/>
          <w:szCs w:val="24"/>
        </w:rPr>
        <w:t>92</w:t>
      </w:r>
      <w:r w:rsidRPr="00C12D8F">
        <w:rPr>
          <w:rFonts w:ascii="Times New Roman" w:hAnsi="Times New Roman" w:cs="Times New Roman"/>
          <w:sz w:val="24"/>
          <w:szCs w:val="24"/>
        </w:rPr>
        <w:t>, 1–12. https://doi.org/10.1016/j.jclepro.2014.12.078</w:t>
      </w:r>
    </w:p>
    <w:p w14:paraId="132F0FEB" w14:textId="59867107" w:rsidR="00DD6148" w:rsidRPr="008E4EFB" w:rsidRDefault="00590FC1" w:rsidP="00C12D8F">
      <w:pPr>
        <w:pStyle w:val="Style1"/>
        <w:numPr>
          <w:ilvl w:val="0"/>
          <w:numId w:val="0"/>
        </w:numPr>
        <w:spacing w:before="0" w:line="360" w:lineRule="auto"/>
        <w:rPr>
          <w:color w:val="auto"/>
          <w:sz w:val="24"/>
          <w:szCs w:val="24"/>
        </w:rPr>
      </w:pPr>
      <w:r w:rsidRPr="00C12D8F">
        <w:rPr>
          <w:color w:val="auto"/>
          <w:sz w:val="24"/>
          <w:szCs w:val="24"/>
        </w:rPr>
        <w:lastRenderedPageBreak/>
        <w:fldChar w:fldCharType="end"/>
      </w:r>
      <w:bookmarkStart w:id="115" w:name="_Toc179918004"/>
      <w:r w:rsidR="00DD6148" w:rsidRPr="008E4EFB">
        <w:rPr>
          <w:color w:val="auto"/>
          <w:sz w:val="24"/>
          <w:szCs w:val="24"/>
        </w:rPr>
        <w:t>Appendix</w:t>
      </w:r>
      <w:bookmarkEnd w:id="115"/>
    </w:p>
    <w:p w14:paraId="0F82687D" w14:textId="77777777" w:rsidR="00DD6148" w:rsidRPr="008E4EFB" w:rsidRDefault="00DD6148" w:rsidP="00ED686E">
      <w:pPr>
        <w:pStyle w:val="Abstract"/>
      </w:pPr>
      <w:r w:rsidRPr="008E4EFB">
        <w:rPr>
          <w:noProof/>
          <w:lang w:val="en-GB" w:eastAsia="en-GB"/>
        </w:rPr>
        <w:drawing>
          <wp:inline distT="0" distB="0" distL="0" distR="0" wp14:anchorId="614BBC71" wp14:editId="31892D78">
            <wp:extent cx="5486400" cy="2162810"/>
            <wp:effectExtent l="0" t="0" r="0" b="889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62"/>
                    <a:stretch>
                      <a:fillRect/>
                    </a:stretch>
                  </pic:blipFill>
                  <pic:spPr>
                    <a:xfrm>
                      <a:off x="0" y="0"/>
                      <a:ext cx="5486400" cy="2162810"/>
                    </a:xfrm>
                    <a:prstGeom prst="rect">
                      <a:avLst/>
                    </a:prstGeom>
                  </pic:spPr>
                </pic:pic>
              </a:graphicData>
            </a:graphic>
          </wp:inline>
        </w:drawing>
      </w:r>
    </w:p>
    <w:p w14:paraId="6A47DF6C" w14:textId="77777777" w:rsidR="00E55B3E" w:rsidRDefault="00681FCF" w:rsidP="00E55B3E">
      <w:pPr>
        <w:pStyle w:val="Caption"/>
        <w:rPr>
          <w:rFonts w:ascii="Times New Roman" w:hAnsi="Times New Roman" w:cs="Times New Roman"/>
          <w:i w:val="0"/>
          <w:iCs w:val="0"/>
          <w:color w:val="auto"/>
          <w:sz w:val="24"/>
          <w:szCs w:val="24"/>
        </w:rPr>
      </w:pPr>
      <w:bookmarkStart w:id="116" w:name="_Toc184062918"/>
      <w:r w:rsidRPr="00681FCF">
        <w:rPr>
          <w:rFonts w:ascii="Times New Roman" w:hAnsi="Times New Roman" w:cs="Times New Roman"/>
          <w:i w:val="0"/>
          <w:iCs w:val="0"/>
          <w:color w:val="auto"/>
          <w:sz w:val="24"/>
          <w:szCs w:val="24"/>
        </w:rPr>
        <w:t>Figure S2.1</w:t>
      </w:r>
      <w:r w:rsidR="00640395">
        <w:rPr>
          <w:rFonts w:ascii="Times New Roman" w:hAnsi="Times New Roman" w:cs="Times New Roman"/>
          <w:i w:val="0"/>
          <w:iCs w:val="0"/>
          <w:color w:val="auto"/>
          <w:sz w:val="24"/>
          <w:szCs w:val="24"/>
        </w:rPr>
        <w:t xml:space="preserve">. </w:t>
      </w:r>
      <w:r w:rsidRPr="00681FCF">
        <w:rPr>
          <w:rFonts w:ascii="Times New Roman" w:hAnsi="Times New Roman" w:cs="Times New Roman"/>
          <w:i w:val="0"/>
          <w:iCs w:val="0"/>
          <w:color w:val="auto"/>
          <w:sz w:val="24"/>
          <w:szCs w:val="24"/>
        </w:rPr>
        <w:t>A world map showing the regions used to calculate the totals presented in Table 2.1. This figure is adapted from Tan et al., 2018, based on their region divisions. RBU is Russia, Belarus, Ukraine.</w:t>
      </w:r>
      <w:bookmarkEnd w:id="116"/>
      <w:r w:rsidRPr="00733C14">
        <w:rPr>
          <w:rFonts w:ascii="Times New Roman" w:hAnsi="Times New Roman" w:cs="Times New Roman"/>
          <w:i w:val="0"/>
          <w:iCs w:val="0"/>
          <w:color w:val="auto"/>
          <w:sz w:val="24"/>
          <w:szCs w:val="24"/>
        </w:rPr>
        <w:br/>
      </w:r>
      <w:bookmarkStart w:id="117" w:name="_Toc184062961"/>
    </w:p>
    <w:p w14:paraId="012F4F9E" w14:textId="3A18F3A5" w:rsidR="00DD6148" w:rsidRDefault="00733C14" w:rsidP="00E55B3E">
      <w:pPr>
        <w:pStyle w:val="Caption"/>
      </w:pPr>
      <w:r w:rsidRPr="00733C14">
        <w:rPr>
          <w:rFonts w:ascii="Times New Roman" w:hAnsi="Times New Roman" w:cs="Times New Roman"/>
          <w:i w:val="0"/>
          <w:iCs w:val="0"/>
          <w:color w:val="auto"/>
          <w:sz w:val="24"/>
          <w:szCs w:val="24"/>
        </w:rPr>
        <w:t xml:space="preserve">Table S2.1. 2010 adjusted global wet and dry deposition in Tg N or Tg S. </w:t>
      </w:r>
      <w:r w:rsidR="00DD6148" w:rsidRPr="00733C14">
        <w:rPr>
          <w:rFonts w:ascii="Times New Roman" w:hAnsi="Times New Roman" w:cs="Times New Roman"/>
          <w:i w:val="0"/>
          <w:iCs w:val="0"/>
          <w:color w:val="auto"/>
          <w:sz w:val="24"/>
          <w:szCs w:val="24"/>
        </w:rPr>
        <w:t xml:space="preserve">MMM indicates Tan et al.’s 2018 multi-model mean and MMF is this measurement-model fusion work with a 1⁰ interpolation distance. Total N deposition is 112.02 Tg N and total S deposition is 88.60 Tg S. Coastal means deposition on sea within 1 degree of the coastline. RBU is an abbreviation for Russia, Belarus, and Ukraine. Open ocean does not include near-land “coastal” waters. The regions can be seen </w:t>
      </w:r>
      <w:proofErr w:type="gramStart"/>
      <w:r w:rsidR="00DD6148" w:rsidRPr="00733C14">
        <w:rPr>
          <w:rFonts w:ascii="Times New Roman" w:hAnsi="Times New Roman" w:cs="Times New Roman"/>
          <w:i w:val="0"/>
          <w:iCs w:val="0"/>
          <w:color w:val="auto"/>
          <w:sz w:val="24"/>
          <w:szCs w:val="24"/>
        </w:rPr>
        <w:t>in</w:t>
      </w:r>
      <w:proofErr w:type="gramEnd"/>
      <w:r w:rsidR="00DD6148" w:rsidRPr="00733C14">
        <w:rPr>
          <w:rFonts w:ascii="Times New Roman" w:hAnsi="Times New Roman" w:cs="Times New Roman"/>
          <w:i w:val="0"/>
          <w:iCs w:val="0"/>
          <w:color w:val="auto"/>
          <w:sz w:val="24"/>
          <w:szCs w:val="24"/>
        </w:rPr>
        <w:t xml:space="preserve"> the world map in Figure S2.1. Regional changes greater than or equal to 10% are bolded and italicized.</w:t>
      </w:r>
      <w:bookmarkEnd w:id="117"/>
      <w:r w:rsidR="00DD6148" w:rsidRPr="00733C14">
        <w:rPr>
          <w:rFonts w:ascii="Times New Roman" w:hAnsi="Times New Roman" w:cs="Times New Roman"/>
          <w:i w:val="0"/>
          <w:iCs w:val="0"/>
          <w:color w:val="auto"/>
          <w:sz w:val="24"/>
          <w:szCs w:val="24"/>
        </w:rPr>
        <w:t xml:space="preserve"> </w:t>
      </w:r>
      <w:r w:rsidR="00E55B3E" w:rsidRPr="00E55B3E">
        <w:rPr>
          <w:noProof/>
        </w:rPr>
        <w:drawing>
          <wp:inline distT="0" distB="0" distL="0" distR="0" wp14:anchorId="46F36ACC" wp14:editId="7AC386D8">
            <wp:extent cx="5762625" cy="3567163"/>
            <wp:effectExtent l="0" t="0" r="0" b="0"/>
            <wp:docPr id="19857212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7488" cy="3570173"/>
                    </a:xfrm>
                    <a:prstGeom prst="rect">
                      <a:avLst/>
                    </a:prstGeom>
                    <a:noFill/>
                    <a:ln>
                      <a:noFill/>
                    </a:ln>
                  </pic:spPr>
                </pic:pic>
              </a:graphicData>
            </a:graphic>
          </wp:inline>
        </w:drawing>
      </w:r>
    </w:p>
    <w:p w14:paraId="6954174D" w14:textId="752A93DC" w:rsidR="00E52785" w:rsidRPr="008E4EFB" w:rsidRDefault="00E52785" w:rsidP="00ED686E">
      <w:pPr>
        <w:pStyle w:val="Abstract"/>
      </w:pPr>
    </w:p>
    <w:p w14:paraId="0F0E1860" w14:textId="3305BA1D" w:rsidR="00DD6148" w:rsidRPr="003B5869" w:rsidRDefault="003B5869" w:rsidP="003B5869">
      <w:pPr>
        <w:pStyle w:val="Caption"/>
        <w:rPr>
          <w:rFonts w:ascii="Times New Roman" w:hAnsi="Times New Roman" w:cs="Times New Roman"/>
          <w:i w:val="0"/>
          <w:iCs w:val="0"/>
          <w:color w:val="auto"/>
          <w:sz w:val="24"/>
          <w:szCs w:val="24"/>
        </w:rPr>
      </w:pPr>
      <w:bookmarkStart w:id="118" w:name="_Toc184062962"/>
      <w:r w:rsidRPr="003B5869">
        <w:rPr>
          <w:rFonts w:ascii="Times New Roman" w:hAnsi="Times New Roman" w:cs="Times New Roman"/>
          <w:i w:val="0"/>
          <w:iCs w:val="0"/>
          <w:color w:val="auto"/>
          <w:sz w:val="24"/>
          <w:szCs w:val="24"/>
        </w:rPr>
        <w:t>Table S2.2.</w:t>
      </w:r>
      <w:r w:rsidR="00640395">
        <w:rPr>
          <w:rFonts w:ascii="Times New Roman" w:hAnsi="Times New Roman" w:cs="Times New Roman"/>
          <w:i w:val="0"/>
          <w:iCs w:val="0"/>
          <w:color w:val="auto"/>
          <w:sz w:val="24"/>
          <w:szCs w:val="24"/>
        </w:rPr>
        <w:t xml:space="preserve"> </w:t>
      </w:r>
      <w:r w:rsidRPr="003B5869">
        <w:rPr>
          <w:rFonts w:ascii="Times New Roman" w:hAnsi="Times New Roman" w:cs="Times New Roman"/>
          <w:i w:val="0"/>
          <w:iCs w:val="0"/>
          <w:color w:val="auto"/>
          <w:sz w:val="24"/>
          <w:szCs w:val="24"/>
        </w:rPr>
        <w:t>2010 adjusted global wet and dry deposition in Tg N or Tg S.</w:t>
      </w:r>
      <w:r w:rsidR="00DD6148" w:rsidRPr="003B5869">
        <w:rPr>
          <w:rFonts w:ascii="Times New Roman" w:hAnsi="Times New Roman" w:cs="Times New Roman"/>
          <w:i w:val="0"/>
          <w:iCs w:val="0"/>
          <w:color w:val="auto"/>
          <w:sz w:val="24"/>
          <w:szCs w:val="24"/>
        </w:rPr>
        <w:t xml:space="preserve">MMM indicates Tan et al.’s 2018 multi-model mean and MMF is this measurement-model fusion work with a 5⁰ interpolation distance. Total N deposition is 120.36 Tg N and total S deposition is 89.93 Tg S. Coastal means deposition on sea within 1 degree of the coastline. RBU is an abbreviation for Russia, Belarus, and Ukraine. Open ocean does not include near-land “coastal” waters. The regions can be seen </w:t>
      </w:r>
      <w:proofErr w:type="gramStart"/>
      <w:r w:rsidR="00DD6148" w:rsidRPr="003B5869">
        <w:rPr>
          <w:rFonts w:ascii="Times New Roman" w:hAnsi="Times New Roman" w:cs="Times New Roman"/>
          <w:i w:val="0"/>
          <w:iCs w:val="0"/>
          <w:color w:val="auto"/>
          <w:sz w:val="24"/>
          <w:szCs w:val="24"/>
        </w:rPr>
        <w:t>in</w:t>
      </w:r>
      <w:proofErr w:type="gramEnd"/>
      <w:r w:rsidR="00DD6148" w:rsidRPr="003B5869">
        <w:rPr>
          <w:rFonts w:ascii="Times New Roman" w:hAnsi="Times New Roman" w:cs="Times New Roman"/>
          <w:i w:val="0"/>
          <w:iCs w:val="0"/>
          <w:color w:val="auto"/>
          <w:sz w:val="24"/>
          <w:szCs w:val="24"/>
        </w:rPr>
        <w:t xml:space="preserve"> the world map in Figure S2.1. Regional changes greater than or equal to 10% are bolded and italicized.</w:t>
      </w:r>
      <w:bookmarkEnd w:id="118"/>
      <w:r w:rsidR="00DD6148" w:rsidRPr="003B5869">
        <w:rPr>
          <w:rFonts w:ascii="Times New Roman" w:hAnsi="Times New Roman" w:cs="Times New Roman"/>
          <w:i w:val="0"/>
          <w:iCs w:val="0"/>
          <w:color w:val="auto"/>
          <w:sz w:val="24"/>
          <w:szCs w:val="24"/>
        </w:rPr>
        <w:t xml:space="preserve"> </w:t>
      </w:r>
    </w:p>
    <w:p w14:paraId="192F64B1" w14:textId="13140E97" w:rsidR="00DD6148" w:rsidRPr="008E4EFB" w:rsidRDefault="00E55B3E" w:rsidP="00ED686E">
      <w:pPr>
        <w:pStyle w:val="Abstract"/>
      </w:pPr>
      <w:r w:rsidRPr="00E55B3E">
        <w:rPr>
          <w:noProof/>
        </w:rPr>
        <w:drawing>
          <wp:inline distT="0" distB="0" distL="0" distR="0" wp14:anchorId="0026FC02" wp14:editId="36FE445A">
            <wp:extent cx="5943600" cy="3679190"/>
            <wp:effectExtent l="0" t="0" r="0" b="0"/>
            <wp:docPr id="21131774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3679190"/>
                    </a:xfrm>
                    <a:prstGeom prst="rect">
                      <a:avLst/>
                    </a:prstGeom>
                    <a:noFill/>
                    <a:ln>
                      <a:noFill/>
                    </a:ln>
                  </pic:spPr>
                </pic:pic>
              </a:graphicData>
            </a:graphic>
          </wp:inline>
        </w:drawing>
      </w:r>
    </w:p>
    <w:p w14:paraId="4A36A74A" w14:textId="77777777" w:rsidR="00DD6148" w:rsidRPr="008E4EFB" w:rsidRDefault="00DD6148" w:rsidP="00ED686E">
      <w:pPr>
        <w:pStyle w:val="Abstract"/>
      </w:pPr>
      <w:r w:rsidRPr="008E4EFB">
        <w:rPr>
          <w:noProof/>
        </w:rPr>
        <w:lastRenderedPageBreak/>
        <w:drawing>
          <wp:inline distT="0" distB="0" distL="0" distR="0" wp14:anchorId="2CDFDF4A" wp14:editId="2385D561">
            <wp:extent cx="5486400" cy="3302635"/>
            <wp:effectExtent l="0" t="0" r="0" b="5080"/>
            <wp:docPr id="2113229914" name="Picture 1" descr="A picture containing text, screensh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29914" name="Picture 1" descr="A picture containing text, screenshot, line, diagram&#10;&#10;Description automatically generated"/>
                    <pic:cNvPicPr/>
                  </pic:nvPicPr>
                  <pic:blipFill>
                    <a:blip r:embed="rId65"/>
                    <a:stretch>
                      <a:fillRect/>
                    </a:stretch>
                  </pic:blipFill>
                  <pic:spPr>
                    <a:xfrm>
                      <a:off x="0" y="0"/>
                      <a:ext cx="5486400" cy="3302635"/>
                    </a:xfrm>
                    <a:prstGeom prst="rect">
                      <a:avLst/>
                    </a:prstGeom>
                  </pic:spPr>
                </pic:pic>
              </a:graphicData>
            </a:graphic>
          </wp:inline>
        </w:drawing>
      </w:r>
    </w:p>
    <w:p w14:paraId="2DBCA0EE" w14:textId="5F5670DD" w:rsidR="00DD6148" w:rsidRPr="003B5869" w:rsidRDefault="003B5869" w:rsidP="003B5869">
      <w:pPr>
        <w:pStyle w:val="Caption"/>
        <w:rPr>
          <w:rFonts w:ascii="Times New Roman" w:hAnsi="Times New Roman" w:cs="Times New Roman"/>
          <w:i w:val="0"/>
          <w:iCs w:val="0"/>
          <w:color w:val="auto"/>
          <w:sz w:val="24"/>
          <w:szCs w:val="24"/>
        </w:rPr>
      </w:pPr>
      <w:bookmarkStart w:id="119" w:name="_Toc184062919"/>
      <w:r w:rsidRPr="003B5869">
        <w:rPr>
          <w:rFonts w:ascii="Times New Roman" w:hAnsi="Times New Roman" w:cs="Times New Roman"/>
          <w:i w:val="0"/>
          <w:iCs w:val="0"/>
          <w:color w:val="auto"/>
          <w:sz w:val="24"/>
          <w:szCs w:val="24"/>
        </w:rPr>
        <w:t>Figure S2.2. Observed and modeled wet NH</w:t>
      </w:r>
      <w:r w:rsidRPr="00E55B3E">
        <w:rPr>
          <w:rFonts w:ascii="Times New Roman" w:hAnsi="Times New Roman" w:cs="Times New Roman"/>
          <w:i w:val="0"/>
          <w:iCs w:val="0"/>
          <w:color w:val="auto"/>
          <w:sz w:val="24"/>
          <w:szCs w:val="24"/>
          <w:vertAlign w:val="subscript"/>
        </w:rPr>
        <w:t>4</w:t>
      </w:r>
      <w:r w:rsidRPr="00E55B3E">
        <w:rPr>
          <w:rFonts w:ascii="Times New Roman" w:hAnsi="Times New Roman" w:cs="Times New Roman"/>
          <w:i w:val="0"/>
          <w:iCs w:val="0"/>
          <w:color w:val="auto"/>
          <w:sz w:val="24"/>
          <w:szCs w:val="24"/>
          <w:vertAlign w:val="superscript"/>
        </w:rPr>
        <w:t>+</w:t>
      </w:r>
      <w:r w:rsidRPr="003B5869">
        <w:rPr>
          <w:rFonts w:ascii="Times New Roman" w:hAnsi="Times New Roman" w:cs="Times New Roman"/>
          <w:i w:val="0"/>
          <w:iCs w:val="0"/>
          <w:color w:val="auto"/>
          <w:sz w:val="24"/>
          <w:szCs w:val="24"/>
        </w:rPr>
        <w:t xml:space="preserve"> deposition in the US in 2010</w:t>
      </w:r>
      <w:proofErr w:type="gramStart"/>
      <w:r w:rsidRPr="003B5869">
        <w:rPr>
          <w:rFonts w:ascii="Times New Roman" w:hAnsi="Times New Roman" w:cs="Times New Roman"/>
          <w:i w:val="0"/>
          <w:iCs w:val="0"/>
          <w:color w:val="auto"/>
          <w:sz w:val="24"/>
          <w:szCs w:val="24"/>
        </w:rPr>
        <w:t>.</w:t>
      </w:r>
      <w:r w:rsidR="00DD6148" w:rsidRPr="003B5869">
        <w:rPr>
          <w:rFonts w:ascii="Times New Roman" w:hAnsi="Times New Roman" w:cs="Times New Roman"/>
          <w:i w:val="0"/>
          <w:iCs w:val="0"/>
          <w:color w:val="auto"/>
          <w:sz w:val="24"/>
          <w:szCs w:val="24"/>
        </w:rPr>
        <w:t>Each</w:t>
      </w:r>
      <w:proofErr w:type="gramEnd"/>
      <w:r w:rsidR="00DD6148" w:rsidRPr="003B5869">
        <w:rPr>
          <w:rFonts w:ascii="Times New Roman" w:hAnsi="Times New Roman" w:cs="Times New Roman"/>
          <w:i w:val="0"/>
          <w:iCs w:val="0"/>
          <w:color w:val="auto"/>
          <w:sz w:val="24"/>
          <w:szCs w:val="24"/>
        </w:rPr>
        <w:t xml:space="preserve"> NADP/NTN wet deposition measurement and the associated HTAP II, TDep, or MMF </w:t>
      </w:r>
      <m:oMath>
        <m:sSub>
          <m:sSubPr>
            <m:ctrlPr>
              <w:rPr>
                <w:rFonts w:ascii="Cambria Math" w:hAnsi="Cambria Math" w:cs="Times New Roman"/>
                <w:i w:val="0"/>
                <w:iCs w:val="0"/>
                <w:color w:val="auto"/>
                <w:sz w:val="24"/>
                <w:szCs w:val="24"/>
              </w:rPr>
            </m:ctrlPr>
          </m:sSubPr>
          <m:e>
            <m:r>
              <w:rPr>
                <w:rFonts w:ascii="Cambria Math" w:hAnsi="Cambria Math" w:cs="Times New Roman"/>
                <w:color w:val="auto"/>
                <w:sz w:val="24"/>
                <w:szCs w:val="24"/>
              </w:rPr>
              <m:t>NH</m:t>
            </m:r>
          </m:e>
          <m:sub>
            <m:r>
              <w:rPr>
                <w:rFonts w:ascii="Cambria Math" w:hAnsi="Cambria Math" w:cs="Times New Roman"/>
                <w:color w:val="auto"/>
                <w:sz w:val="24"/>
                <w:szCs w:val="24"/>
              </w:rPr>
              <m:t>4</m:t>
            </m:r>
          </m:sub>
        </m:sSub>
      </m:oMath>
      <w:r w:rsidR="00DD6148" w:rsidRPr="003B5869">
        <w:rPr>
          <w:rFonts w:ascii="Times New Roman" w:hAnsi="Times New Roman" w:cs="Times New Roman"/>
          <w:i w:val="0"/>
          <w:iCs w:val="0"/>
          <w:color w:val="auto"/>
          <w:sz w:val="24"/>
          <w:szCs w:val="24"/>
        </w:rPr>
        <w:t xml:space="preserve"> wet deposition value. The black line is the 1:1 line.</w:t>
      </w:r>
      <w:bookmarkEnd w:id="119"/>
    </w:p>
    <w:p w14:paraId="3876A0EE" w14:textId="77777777" w:rsidR="00DD6148" w:rsidRPr="008E4EFB" w:rsidRDefault="00DD6148" w:rsidP="00ED686E">
      <w:pPr>
        <w:pStyle w:val="Abstract"/>
      </w:pPr>
    </w:p>
    <w:p w14:paraId="3A089577" w14:textId="77777777" w:rsidR="00DD6148" w:rsidRPr="008E4EFB" w:rsidRDefault="00DD6148" w:rsidP="00ED686E">
      <w:pPr>
        <w:pStyle w:val="Abstract"/>
      </w:pPr>
      <w:r w:rsidRPr="008E4EFB">
        <w:rPr>
          <w:noProof/>
        </w:rPr>
        <w:drawing>
          <wp:inline distT="0" distB="0" distL="0" distR="0" wp14:anchorId="6057A641" wp14:editId="1D91F869">
            <wp:extent cx="5486400" cy="3347085"/>
            <wp:effectExtent l="0" t="0" r="3810" b="0"/>
            <wp:docPr id="279133779" name="Picture 1" descr="A picture containing text, line, screensh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133779" name="Picture 1" descr="A picture containing text, line, screenshot, diagram&#10;&#10;Description automatically generated"/>
                    <pic:cNvPicPr/>
                  </pic:nvPicPr>
                  <pic:blipFill>
                    <a:blip r:embed="rId66"/>
                    <a:stretch>
                      <a:fillRect/>
                    </a:stretch>
                  </pic:blipFill>
                  <pic:spPr>
                    <a:xfrm>
                      <a:off x="0" y="0"/>
                      <a:ext cx="5486400" cy="3347085"/>
                    </a:xfrm>
                    <a:prstGeom prst="rect">
                      <a:avLst/>
                    </a:prstGeom>
                  </pic:spPr>
                </pic:pic>
              </a:graphicData>
            </a:graphic>
          </wp:inline>
        </w:drawing>
      </w:r>
    </w:p>
    <w:p w14:paraId="765AC93F" w14:textId="2F353907" w:rsidR="00DD6148" w:rsidRPr="00216FF7" w:rsidRDefault="00216FF7" w:rsidP="00216FF7">
      <w:pPr>
        <w:pStyle w:val="Caption"/>
        <w:rPr>
          <w:rFonts w:ascii="Times New Roman" w:hAnsi="Times New Roman" w:cs="Times New Roman"/>
          <w:i w:val="0"/>
          <w:iCs w:val="0"/>
          <w:color w:val="auto"/>
          <w:sz w:val="24"/>
          <w:szCs w:val="24"/>
        </w:rPr>
      </w:pPr>
      <w:bookmarkStart w:id="120" w:name="_Toc184062920"/>
      <w:r w:rsidRPr="00216FF7">
        <w:rPr>
          <w:rFonts w:ascii="Times New Roman" w:hAnsi="Times New Roman" w:cs="Times New Roman"/>
          <w:i w:val="0"/>
          <w:iCs w:val="0"/>
          <w:color w:val="auto"/>
          <w:sz w:val="24"/>
          <w:szCs w:val="24"/>
        </w:rPr>
        <w:t>Figure S2.3. Observed and modeled wet NO</w:t>
      </w:r>
      <w:r w:rsidRPr="00E55B3E">
        <w:rPr>
          <w:rFonts w:ascii="Times New Roman" w:hAnsi="Times New Roman" w:cs="Times New Roman"/>
          <w:i w:val="0"/>
          <w:iCs w:val="0"/>
          <w:color w:val="auto"/>
          <w:sz w:val="24"/>
          <w:szCs w:val="24"/>
          <w:vertAlign w:val="subscript"/>
        </w:rPr>
        <w:t>3</w:t>
      </w:r>
      <w:r w:rsidRPr="00E55B3E">
        <w:rPr>
          <w:rFonts w:ascii="Times New Roman" w:hAnsi="Times New Roman" w:cs="Times New Roman"/>
          <w:i w:val="0"/>
          <w:iCs w:val="0"/>
          <w:color w:val="auto"/>
          <w:sz w:val="24"/>
          <w:szCs w:val="24"/>
          <w:vertAlign w:val="superscript"/>
        </w:rPr>
        <w:t>-</w:t>
      </w:r>
      <w:r w:rsidRPr="00216FF7">
        <w:rPr>
          <w:rFonts w:ascii="Times New Roman" w:hAnsi="Times New Roman" w:cs="Times New Roman"/>
          <w:i w:val="0"/>
          <w:iCs w:val="0"/>
          <w:color w:val="auto"/>
          <w:sz w:val="24"/>
          <w:szCs w:val="24"/>
        </w:rPr>
        <w:t xml:space="preserve"> deposition in the US in 2010</w:t>
      </w:r>
      <w:proofErr w:type="gramStart"/>
      <w:r w:rsidRPr="00216FF7">
        <w:rPr>
          <w:rFonts w:ascii="Times New Roman" w:hAnsi="Times New Roman" w:cs="Times New Roman"/>
          <w:i w:val="0"/>
          <w:iCs w:val="0"/>
          <w:color w:val="auto"/>
          <w:sz w:val="24"/>
          <w:szCs w:val="24"/>
        </w:rPr>
        <w:t>.</w:t>
      </w:r>
      <w:r w:rsidR="00DD6148" w:rsidRPr="00216FF7">
        <w:rPr>
          <w:rFonts w:ascii="Times New Roman" w:hAnsi="Times New Roman" w:cs="Times New Roman"/>
          <w:i w:val="0"/>
          <w:iCs w:val="0"/>
          <w:color w:val="auto"/>
          <w:sz w:val="24"/>
          <w:szCs w:val="24"/>
        </w:rPr>
        <w:t>Each</w:t>
      </w:r>
      <w:proofErr w:type="gramEnd"/>
      <w:r w:rsidR="00DD6148" w:rsidRPr="00216FF7">
        <w:rPr>
          <w:rFonts w:ascii="Times New Roman" w:hAnsi="Times New Roman" w:cs="Times New Roman"/>
          <w:i w:val="0"/>
          <w:iCs w:val="0"/>
          <w:color w:val="auto"/>
          <w:sz w:val="24"/>
          <w:szCs w:val="24"/>
        </w:rPr>
        <w:t xml:space="preserve"> NADP/NTN wet deposition measurement and the associated HTAP II, TDep, or MMF </w:t>
      </w:r>
      <m:oMath>
        <m:sSub>
          <m:sSubPr>
            <m:ctrlPr>
              <w:rPr>
                <w:rFonts w:ascii="Cambria Math" w:hAnsi="Cambria Math" w:cs="Times New Roman"/>
                <w:i w:val="0"/>
                <w:iCs w:val="0"/>
                <w:color w:val="auto"/>
                <w:sz w:val="24"/>
                <w:szCs w:val="24"/>
              </w:rPr>
            </m:ctrlPr>
          </m:sSubPr>
          <m:e>
            <m:r>
              <w:rPr>
                <w:rFonts w:ascii="Cambria Math" w:hAnsi="Cambria Math" w:cs="Times New Roman"/>
                <w:color w:val="auto"/>
                <w:sz w:val="24"/>
                <w:szCs w:val="24"/>
              </w:rPr>
              <m:t>NO</m:t>
            </m:r>
          </m:e>
          <m:sub>
            <m:r>
              <w:rPr>
                <w:rFonts w:ascii="Cambria Math" w:hAnsi="Cambria Math" w:cs="Times New Roman"/>
                <w:color w:val="auto"/>
                <w:sz w:val="24"/>
                <w:szCs w:val="24"/>
              </w:rPr>
              <m:t>3</m:t>
            </m:r>
          </m:sub>
        </m:sSub>
      </m:oMath>
      <w:r w:rsidR="00DD6148" w:rsidRPr="00216FF7">
        <w:rPr>
          <w:rFonts w:ascii="Times New Roman" w:hAnsi="Times New Roman" w:cs="Times New Roman"/>
          <w:i w:val="0"/>
          <w:iCs w:val="0"/>
          <w:color w:val="auto"/>
          <w:sz w:val="24"/>
          <w:szCs w:val="24"/>
        </w:rPr>
        <w:t xml:space="preserve"> wet deposition value. The black line is the 1:1 line.</w:t>
      </w:r>
      <w:bookmarkEnd w:id="120"/>
      <w:r w:rsidR="00DD6148" w:rsidRPr="00216FF7">
        <w:rPr>
          <w:rFonts w:ascii="Times New Roman" w:hAnsi="Times New Roman" w:cs="Times New Roman"/>
          <w:i w:val="0"/>
          <w:iCs w:val="0"/>
          <w:color w:val="auto"/>
          <w:sz w:val="24"/>
          <w:szCs w:val="24"/>
        </w:rPr>
        <w:t xml:space="preserve"> </w:t>
      </w:r>
    </w:p>
    <w:p w14:paraId="13E77FFC" w14:textId="77777777" w:rsidR="00DD6148" w:rsidRPr="00216FF7" w:rsidRDefault="00DD6148" w:rsidP="00ED686E">
      <w:pPr>
        <w:pStyle w:val="Abstract"/>
      </w:pPr>
    </w:p>
    <w:p w14:paraId="33259108" w14:textId="77777777" w:rsidR="00DD6148" w:rsidRPr="00216FF7" w:rsidRDefault="00DD6148" w:rsidP="00ED686E">
      <w:pPr>
        <w:pStyle w:val="Abstract"/>
      </w:pPr>
      <w:r w:rsidRPr="00216FF7">
        <w:rPr>
          <w:noProof/>
          <w:lang w:val="en-GB" w:eastAsia="en-GB"/>
        </w:rPr>
        <w:drawing>
          <wp:inline distT="0" distB="0" distL="0" distR="0" wp14:anchorId="03F3A419" wp14:editId="34EAFF4A">
            <wp:extent cx="5486400" cy="2858086"/>
            <wp:effectExtent l="0" t="0" r="0" b="0"/>
            <wp:docPr id="2" name="Picture 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imeline&#10;&#10;Description automatically generated"/>
                    <pic:cNvPicPr/>
                  </pic:nvPicPr>
                  <pic:blipFill>
                    <a:blip r:embed="rId67"/>
                    <a:stretch>
                      <a:fillRect/>
                    </a:stretch>
                  </pic:blipFill>
                  <pic:spPr>
                    <a:xfrm>
                      <a:off x="0" y="0"/>
                      <a:ext cx="5486400" cy="2858086"/>
                    </a:xfrm>
                    <a:prstGeom prst="rect">
                      <a:avLst/>
                    </a:prstGeom>
                  </pic:spPr>
                </pic:pic>
              </a:graphicData>
            </a:graphic>
          </wp:inline>
        </w:drawing>
      </w:r>
    </w:p>
    <w:p w14:paraId="188946B5" w14:textId="312143AB" w:rsidR="00DD6148" w:rsidRPr="00216FF7" w:rsidRDefault="00216FF7" w:rsidP="00F15000">
      <w:pPr>
        <w:pStyle w:val="Caption"/>
        <w:rPr>
          <w:rFonts w:ascii="Times New Roman" w:hAnsi="Times New Roman" w:cs="Times New Roman"/>
          <w:i w:val="0"/>
          <w:iCs w:val="0"/>
          <w:color w:val="auto"/>
          <w:sz w:val="24"/>
          <w:szCs w:val="24"/>
        </w:rPr>
      </w:pPr>
      <w:bookmarkStart w:id="121" w:name="_Toc184062921"/>
      <w:r w:rsidRPr="00216FF7">
        <w:rPr>
          <w:rFonts w:ascii="Times New Roman" w:hAnsi="Times New Roman" w:cs="Times New Roman"/>
          <w:i w:val="0"/>
          <w:iCs w:val="0"/>
          <w:color w:val="auto"/>
          <w:sz w:val="24"/>
          <w:szCs w:val="24"/>
        </w:rPr>
        <w:t>Figure S2.4. The difference between MMF and MMM deposition with a 1-degree interpolation distance.</w:t>
      </w:r>
      <w:r w:rsidR="00FE3C56">
        <w:rPr>
          <w:rFonts w:ascii="Times New Roman" w:hAnsi="Times New Roman" w:cs="Times New Roman"/>
          <w:i w:val="0"/>
          <w:iCs w:val="0"/>
          <w:color w:val="auto"/>
          <w:sz w:val="24"/>
          <w:szCs w:val="24"/>
        </w:rPr>
        <w:t xml:space="preserve"> </w:t>
      </w:r>
      <w:r w:rsidR="00DD6148" w:rsidRPr="00216FF7">
        <w:rPr>
          <w:rFonts w:ascii="Times New Roman" w:hAnsi="Times New Roman" w:cs="Times New Roman"/>
          <w:i w:val="0"/>
          <w:iCs w:val="0"/>
          <w:color w:val="auto"/>
          <w:sz w:val="24"/>
          <w:szCs w:val="24"/>
        </w:rPr>
        <w:t>A) MMF minus MMM reactive nitrogen deposition in North America (A1) Europe (A2) and East Asia (A3) in mg/m</w:t>
      </w:r>
      <w:r w:rsidR="00DD6148" w:rsidRPr="00216FF7">
        <w:rPr>
          <w:rFonts w:ascii="Times New Roman" w:hAnsi="Times New Roman" w:cs="Times New Roman"/>
          <w:i w:val="0"/>
          <w:iCs w:val="0"/>
          <w:color w:val="auto"/>
          <w:sz w:val="24"/>
          <w:szCs w:val="24"/>
          <w:vertAlign w:val="superscript"/>
        </w:rPr>
        <w:t>2</w:t>
      </w:r>
      <w:r w:rsidR="00DD6148" w:rsidRPr="00216FF7">
        <w:rPr>
          <w:rFonts w:ascii="Times New Roman" w:hAnsi="Times New Roman" w:cs="Times New Roman"/>
          <w:i w:val="0"/>
          <w:iCs w:val="0"/>
          <w:color w:val="auto"/>
          <w:sz w:val="24"/>
          <w:szCs w:val="24"/>
        </w:rPr>
        <w:t>. B) MMF minus MMM sulfate deposition in North America (B1) Europe (B2) and East Asia (B3) in mg/m</w:t>
      </w:r>
      <w:r w:rsidR="00DD6148" w:rsidRPr="00216FF7">
        <w:rPr>
          <w:rFonts w:ascii="Times New Roman" w:hAnsi="Times New Roman" w:cs="Times New Roman"/>
          <w:i w:val="0"/>
          <w:iCs w:val="0"/>
          <w:color w:val="auto"/>
          <w:sz w:val="24"/>
          <w:szCs w:val="24"/>
          <w:vertAlign w:val="superscript"/>
        </w:rPr>
        <w:t>2</w:t>
      </w:r>
      <w:r w:rsidR="00DD6148" w:rsidRPr="00216FF7">
        <w:rPr>
          <w:rFonts w:ascii="Times New Roman" w:hAnsi="Times New Roman" w:cs="Times New Roman"/>
          <w:i w:val="0"/>
          <w:iCs w:val="0"/>
          <w:color w:val="auto"/>
          <w:sz w:val="24"/>
          <w:szCs w:val="24"/>
        </w:rPr>
        <w:t>.</w:t>
      </w:r>
      <w:bookmarkEnd w:id="121"/>
    </w:p>
    <w:p w14:paraId="656A5562" w14:textId="77777777" w:rsidR="00DD6148" w:rsidRPr="00216FF7" w:rsidRDefault="00DD6148" w:rsidP="00ED686E">
      <w:pPr>
        <w:pStyle w:val="Abstract"/>
      </w:pPr>
    </w:p>
    <w:p w14:paraId="3B5A8351" w14:textId="77777777" w:rsidR="00DD6148" w:rsidRPr="00216FF7" w:rsidRDefault="00DD6148" w:rsidP="00ED686E">
      <w:pPr>
        <w:pStyle w:val="Abstract"/>
      </w:pPr>
      <w:r w:rsidRPr="00216FF7">
        <w:rPr>
          <w:noProof/>
          <w:lang w:val="en-GB" w:eastAsia="en-GB"/>
        </w:rPr>
        <w:drawing>
          <wp:inline distT="0" distB="0" distL="0" distR="0" wp14:anchorId="36509A2B" wp14:editId="4D3726C2">
            <wp:extent cx="5486400" cy="2870200"/>
            <wp:effectExtent l="0" t="0" r="0" b="6350"/>
            <wp:docPr id="19" name="Picture 1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imeline&#10;&#10;Description automatically generated"/>
                    <pic:cNvPicPr/>
                  </pic:nvPicPr>
                  <pic:blipFill>
                    <a:blip r:embed="rId68"/>
                    <a:stretch>
                      <a:fillRect/>
                    </a:stretch>
                  </pic:blipFill>
                  <pic:spPr>
                    <a:xfrm>
                      <a:off x="0" y="0"/>
                      <a:ext cx="5486400" cy="2870200"/>
                    </a:xfrm>
                    <a:prstGeom prst="rect">
                      <a:avLst/>
                    </a:prstGeom>
                  </pic:spPr>
                </pic:pic>
              </a:graphicData>
            </a:graphic>
          </wp:inline>
        </w:drawing>
      </w:r>
    </w:p>
    <w:p w14:paraId="1A6C97CA" w14:textId="62EC3486" w:rsidR="00DD6148" w:rsidRPr="00216FF7" w:rsidRDefault="00216FF7" w:rsidP="00216FF7">
      <w:pPr>
        <w:pStyle w:val="Caption"/>
        <w:rPr>
          <w:rFonts w:ascii="Times New Roman" w:hAnsi="Times New Roman" w:cs="Times New Roman"/>
          <w:i w:val="0"/>
          <w:iCs w:val="0"/>
          <w:color w:val="auto"/>
          <w:sz w:val="24"/>
          <w:szCs w:val="24"/>
        </w:rPr>
      </w:pPr>
      <w:bookmarkStart w:id="122" w:name="_Toc184062922"/>
      <w:r w:rsidRPr="00216FF7">
        <w:rPr>
          <w:rFonts w:ascii="Times New Roman" w:hAnsi="Times New Roman" w:cs="Times New Roman"/>
          <w:i w:val="0"/>
          <w:iCs w:val="0"/>
          <w:color w:val="auto"/>
          <w:sz w:val="24"/>
          <w:szCs w:val="24"/>
        </w:rPr>
        <w:t>Figure S2.5. The difference between MMF and MMM deposition with a 5-degree interpolation distance.</w:t>
      </w:r>
      <w:r>
        <w:rPr>
          <w:rFonts w:ascii="Times New Roman" w:hAnsi="Times New Roman" w:cs="Times New Roman"/>
          <w:i w:val="0"/>
          <w:iCs w:val="0"/>
          <w:color w:val="auto"/>
          <w:sz w:val="24"/>
          <w:szCs w:val="24"/>
        </w:rPr>
        <w:t xml:space="preserve"> </w:t>
      </w:r>
      <w:r w:rsidR="00DD6148" w:rsidRPr="00216FF7">
        <w:rPr>
          <w:rFonts w:ascii="Times New Roman" w:hAnsi="Times New Roman" w:cs="Times New Roman"/>
          <w:i w:val="0"/>
          <w:iCs w:val="0"/>
          <w:color w:val="auto"/>
          <w:sz w:val="24"/>
          <w:szCs w:val="24"/>
        </w:rPr>
        <w:t>A) MMF minus MMM reactive nitrogen deposition in North America (A1) Europe (A2) and East Asia (A3) in mg/m</w:t>
      </w:r>
      <w:r w:rsidR="00DD6148" w:rsidRPr="00216FF7">
        <w:rPr>
          <w:rFonts w:ascii="Times New Roman" w:hAnsi="Times New Roman" w:cs="Times New Roman"/>
          <w:i w:val="0"/>
          <w:iCs w:val="0"/>
          <w:color w:val="auto"/>
          <w:sz w:val="24"/>
          <w:szCs w:val="24"/>
          <w:vertAlign w:val="superscript"/>
        </w:rPr>
        <w:t>2</w:t>
      </w:r>
      <w:r w:rsidR="00DD6148" w:rsidRPr="00216FF7">
        <w:rPr>
          <w:rFonts w:ascii="Times New Roman" w:hAnsi="Times New Roman" w:cs="Times New Roman"/>
          <w:i w:val="0"/>
          <w:iCs w:val="0"/>
          <w:color w:val="auto"/>
          <w:sz w:val="24"/>
          <w:szCs w:val="24"/>
        </w:rPr>
        <w:t>. B) MMF minus MMM sulfate deposition in North America (B1) Europe (B2) and East Asia (B3) in mg/m</w:t>
      </w:r>
      <w:r w:rsidR="00DD6148" w:rsidRPr="00216FF7">
        <w:rPr>
          <w:rFonts w:ascii="Times New Roman" w:hAnsi="Times New Roman" w:cs="Times New Roman"/>
          <w:i w:val="0"/>
          <w:iCs w:val="0"/>
          <w:color w:val="auto"/>
          <w:sz w:val="24"/>
          <w:szCs w:val="24"/>
          <w:vertAlign w:val="superscript"/>
        </w:rPr>
        <w:t>2</w:t>
      </w:r>
      <w:r w:rsidR="00DD6148" w:rsidRPr="00216FF7">
        <w:rPr>
          <w:rFonts w:ascii="Times New Roman" w:hAnsi="Times New Roman" w:cs="Times New Roman"/>
          <w:i w:val="0"/>
          <w:iCs w:val="0"/>
          <w:color w:val="auto"/>
          <w:sz w:val="24"/>
          <w:szCs w:val="24"/>
        </w:rPr>
        <w:t>.</w:t>
      </w:r>
      <w:bookmarkEnd w:id="122"/>
      <w:r w:rsidR="00DD6148" w:rsidRPr="00216FF7">
        <w:rPr>
          <w:rFonts w:ascii="Times New Roman" w:hAnsi="Times New Roman" w:cs="Times New Roman"/>
          <w:i w:val="0"/>
          <w:iCs w:val="0"/>
          <w:color w:val="auto"/>
          <w:sz w:val="24"/>
          <w:szCs w:val="24"/>
        </w:rPr>
        <w:t xml:space="preserve"> </w:t>
      </w:r>
    </w:p>
    <w:p w14:paraId="70349B1F" w14:textId="77777777" w:rsidR="00DD6148" w:rsidRPr="00216FF7" w:rsidRDefault="00DD6148" w:rsidP="00ED686E">
      <w:pPr>
        <w:pStyle w:val="Abstract"/>
      </w:pPr>
    </w:p>
    <w:p w14:paraId="2D2FFA76" w14:textId="77777777" w:rsidR="00DD6148" w:rsidRPr="00216FF7" w:rsidRDefault="00DD6148" w:rsidP="00ED686E">
      <w:pPr>
        <w:pStyle w:val="Abstract"/>
      </w:pPr>
      <w:r w:rsidRPr="00216FF7">
        <w:rPr>
          <w:noProof/>
          <w:lang w:val="en-GB" w:eastAsia="en-GB"/>
        </w:rPr>
        <w:lastRenderedPageBreak/>
        <w:drawing>
          <wp:inline distT="0" distB="0" distL="0" distR="0" wp14:anchorId="57D6B0B9" wp14:editId="624697A6">
            <wp:extent cx="5459851" cy="4182386"/>
            <wp:effectExtent l="0" t="0" r="7620" b="8890"/>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10;&#10;Description automatically generated"/>
                    <pic:cNvPicPr/>
                  </pic:nvPicPr>
                  <pic:blipFill>
                    <a:blip r:embed="rId69"/>
                    <a:stretch>
                      <a:fillRect/>
                    </a:stretch>
                  </pic:blipFill>
                  <pic:spPr>
                    <a:xfrm>
                      <a:off x="0" y="0"/>
                      <a:ext cx="5476891" cy="4195439"/>
                    </a:xfrm>
                    <a:prstGeom prst="rect">
                      <a:avLst/>
                    </a:prstGeom>
                  </pic:spPr>
                </pic:pic>
              </a:graphicData>
            </a:graphic>
          </wp:inline>
        </w:drawing>
      </w:r>
    </w:p>
    <w:p w14:paraId="6820802C" w14:textId="071C2628" w:rsidR="00216FF7" w:rsidRPr="00476F6D" w:rsidRDefault="00216FF7" w:rsidP="00476F6D">
      <w:pPr>
        <w:pStyle w:val="Caption"/>
        <w:rPr>
          <w:rFonts w:ascii="Times New Roman" w:hAnsi="Times New Roman" w:cs="Times New Roman"/>
          <w:i w:val="0"/>
          <w:iCs w:val="0"/>
          <w:color w:val="auto"/>
          <w:sz w:val="24"/>
          <w:szCs w:val="24"/>
        </w:rPr>
      </w:pPr>
      <w:bookmarkStart w:id="123" w:name="_Toc184062923"/>
      <w:r w:rsidRPr="00216FF7">
        <w:rPr>
          <w:rFonts w:ascii="Times New Roman" w:hAnsi="Times New Roman" w:cs="Times New Roman"/>
          <w:i w:val="0"/>
          <w:iCs w:val="0"/>
          <w:color w:val="auto"/>
          <w:sz w:val="24"/>
          <w:szCs w:val="24"/>
        </w:rPr>
        <w:t>Figure</w:t>
      </w:r>
      <w:r w:rsidR="00640395">
        <w:rPr>
          <w:rFonts w:ascii="Times New Roman" w:hAnsi="Times New Roman" w:cs="Times New Roman"/>
          <w:i w:val="0"/>
          <w:iCs w:val="0"/>
          <w:color w:val="auto"/>
          <w:sz w:val="24"/>
          <w:szCs w:val="24"/>
        </w:rPr>
        <w:t xml:space="preserve"> </w:t>
      </w:r>
      <w:r w:rsidRPr="00216FF7">
        <w:rPr>
          <w:rFonts w:ascii="Times New Roman" w:hAnsi="Times New Roman" w:cs="Times New Roman"/>
          <w:i w:val="0"/>
          <w:iCs w:val="0"/>
          <w:color w:val="auto"/>
          <w:sz w:val="24"/>
          <w:szCs w:val="24"/>
        </w:rPr>
        <w:t>S</w:t>
      </w:r>
      <w:r w:rsidR="00F11A53">
        <w:rPr>
          <w:rFonts w:ascii="Times New Roman" w:hAnsi="Times New Roman" w:cs="Times New Roman"/>
          <w:i w:val="0"/>
          <w:iCs w:val="0"/>
          <w:color w:val="auto"/>
          <w:sz w:val="24"/>
          <w:szCs w:val="24"/>
        </w:rPr>
        <w:t>2</w:t>
      </w:r>
      <w:r w:rsidRPr="00216FF7">
        <w:rPr>
          <w:rFonts w:ascii="Times New Roman" w:hAnsi="Times New Roman" w:cs="Times New Roman"/>
          <w:i w:val="0"/>
          <w:iCs w:val="0"/>
          <w:color w:val="auto"/>
          <w:sz w:val="24"/>
          <w:szCs w:val="24"/>
        </w:rPr>
        <w:t>.6. The difference between aggregated PRISM precipitation (1.9x1.9 degree) and modeled CAM-chem precipitation (1.9x1.9 degree) over the US in 2010. The greatest differences are in coastal areas.</w:t>
      </w:r>
      <w:bookmarkEnd w:id="123"/>
    </w:p>
    <w:p w14:paraId="65C4506E" w14:textId="6CE4AFFC" w:rsidR="00DD6148" w:rsidRPr="00216FF7" w:rsidRDefault="00DD6148" w:rsidP="00216FF7">
      <w:pPr>
        <w:pStyle w:val="Caption"/>
        <w:rPr>
          <w:rFonts w:ascii="Times New Roman" w:hAnsi="Times New Roman" w:cs="Times New Roman"/>
          <w:i w:val="0"/>
          <w:iCs w:val="0"/>
          <w:color w:val="auto"/>
          <w:sz w:val="24"/>
          <w:szCs w:val="24"/>
        </w:rPr>
      </w:pPr>
      <w:r w:rsidRPr="00216FF7">
        <w:rPr>
          <w:rFonts w:ascii="Times New Roman" w:hAnsi="Times New Roman" w:cs="Times New Roman"/>
          <w:i w:val="0"/>
          <w:iCs w:val="0"/>
          <w:noProof/>
          <w:color w:val="auto"/>
          <w:sz w:val="24"/>
          <w:szCs w:val="24"/>
        </w:rPr>
        <w:drawing>
          <wp:inline distT="0" distB="0" distL="0" distR="0" wp14:anchorId="4934B177" wp14:editId="05890D3B">
            <wp:extent cx="5943600" cy="2668270"/>
            <wp:effectExtent l="0" t="0" r="0" b="0"/>
            <wp:docPr id="1996376651"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76651" name="Picture 1" descr="A map of the united states&#10;&#10;Description automatically generated"/>
                    <pic:cNvPicPr/>
                  </pic:nvPicPr>
                  <pic:blipFill>
                    <a:blip r:embed="rId70"/>
                    <a:stretch>
                      <a:fillRect/>
                    </a:stretch>
                  </pic:blipFill>
                  <pic:spPr>
                    <a:xfrm>
                      <a:off x="0" y="0"/>
                      <a:ext cx="5943600" cy="2668270"/>
                    </a:xfrm>
                    <a:prstGeom prst="rect">
                      <a:avLst/>
                    </a:prstGeom>
                  </pic:spPr>
                </pic:pic>
              </a:graphicData>
            </a:graphic>
          </wp:inline>
        </w:drawing>
      </w:r>
      <w:r w:rsidRPr="00216FF7">
        <w:rPr>
          <w:rFonts w:ascii="Times New Roman" w:hAnsi="Times New Roman" w:cs="Times New Roman"/>
          <w:i w:val="0"/>
          <w:iCs w:val="0"/>
          <w:color w:val="auto"/>
          <w:sz w:val="24"/>
          <w:szCs w:val="24"/>
        </w:rPr>
        <w:t>Figure S</w:t>
      </w:r>
      <w:r w:rsidR="00F11A53">
        <w:rPr>
          <w:rFonts w:ascii="Times New Roman" w:hAnsi="Times New Roman" w:cs="Times New Roman"/>
          <w:i w:val="0"/>
          <w:iCs w:val="0"/>
          <w:color w:val="auto"/>
          <w:sz w:val="24"/>
          <w:szCs w:val="24"/>
        </w:rPr>
        <w:t>3</w:t>
      </w:r>
      <w:r w:rsidRPr="00216FF7">
        <w:rPr>
          <w:rFonts w:ascii="Times New Roman" w:hAnsi="Times New Roman" w:cs="Times New Roman"/>
          <w:i w:val="0"/>
          <w:iCs w:val="0"/>
          <w:color w:val="auto"/>
          <w:sz w:val="24"/>
          <w:szCs w:val="24"/>
        </w:rPr>
        <w:t>.</w:t>
      </w:r>
      <w:r w:rsidR="00F11A53">
        <w:rPr>
          <w:rFonts w:ascii="Times New Roman" w:hAnsi="Times New Roman" w:cs="Times New Roman"/>
          <w:i w:val="0"/>
          <w:iCs w:val="0"/>
          <w:color w:val="auto"/>
          <w:sz w:val="24"/>
          <w:szCs w:val="24"/>
        </w:rPr>
        <w:t>1</w:t>
      </w:r>
      <w:r w:rsidRPr="00216FF7">
        <w:rPr>
          <w:rFonts w:ascii="Times New Roman" w:hAnsi="Times New Roman" w:cs="Times New Roman"/>
          <w:i w:val="0"/>
          <w:iCs w:val="0"/>
          <w:color w:val="auto"/>
          <w:sz w:val="24"/>
          <w:szCs w:val="24"/>
        </w:rPr>
        <w:t>. Modeled wet NO</w:t>
      </w:r>
      <w:r w:rsidRPr="00216FF7">
        <w:rPr>
          <w:rFonts w:ascii="Times New Roman" w:hAnsi="Times New Roman" w:cs="Times New Roman"/>
          <w:i w:val="0"/>
          <w:iCs w:val="0"/>
          <w:color w:val="auto"/>
          <w:sz w:val="24"/>
          <w:szCs w:val="24"/>
          <w:vertAlign w:val="subscript"/>
        </w:rPr>
        <w:t>3</w:t>
      </w:r>
      <w:r w:rsidRPr="00216FF7">
        <w:rPr>
          <w:rFonts w:ascii="Times New Roman" w:hAnsi="Times New Roman" w:cs="Times New Roman"/>
          <w:i w:val="0"/>
          <w:iCs w:val="0"/>
          <w:color w:val="auto"/>
          <w:sz w:val="24"/>
          <w:szCs w:val="24"/>
        </w:rPr>
        <w:t xml:space="preserve"> deposition in January 2010 from the STRF model. Missing areas over the Rocky Mountains and the northern Midwest indicate a lack of measurements from OMI for the month of January. </w:t>
      </w:r>
    </w:p>
    <w:p w14:paraId="374E740A" w14:textId="77777777" w:rsidR="00DD6148" w:rsidRPr="00216FF7" w:rsidRDefault="00DD6148" w:rsidP="00ED686E">
      <w:pPr>
        <w:spacing w:line="240" w:lineRule="auto"/>
        <w:jc w:val="center"/>
        <w:rPr>
          <w:rFonts w:ascii="Times New Roman" w:hAnsi="Times New Roman" w:cs="Times New Roman"/>
          <w:sz w:val="24"/>
          <w:szCs w:val="24"/>
        </w:rPr>
      </w:pPr>
      <w:r w:rsidRPr="00216FF7">
        <w:rPr>
          <w:rFonts w:ascii="Times New Roman" w:hAnsi="Times New Roman" w:cs="Times New Roman"/>
          <w:noProof/>
          <w:sz w:val="24"/>
          <w:szCs w:val="24"/>
        </w:rPr>
        <w:lastRenderedPageBreak/>
        <w:drawing>
          <wp:inline distT="0" distB="0" distL="0" distR="0" wp14:anchorId="75CD5298" wp14:editId="60E679F8">
            <wp:extent cx="2943636" cy="2638793"/>
            <wp:effectExtent l="0" t="0" r="9525" b="9525"/>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71"/>
                    <a:stretch>
                      <a:fillRect/>
                    </a:stretch>
                  </pic:blipFill>
                  <pic:spPr>
                    <a:xfrm>
                      <a:off x="0" y="0"/>
                      <a:ext cx="2943636" cy="2638793"/>
                    </a:xfrm>
                    <a:prstGeom prst="rect">
                      <a:avLst/>
                    </a:prstGeom>
                  </pic:spPr>
                </pic:pic>
              </a:graphicData>
            </a:graphic>
          </wp:inline>
        </w:drawing>
      </w:r>
    </w:p>
    <w:p w14:paraId="201511CB" w14:textId="38003F71" w:rsidR="00216FF7" w:rsidRDefault="00216FF7" w:rsidP="00216FF7">
      <w:pPr>
        <w:pStyle w:val="Caption"/>
        <w:rPr>
          <w:color w:val="auto"/>
        </w:rPr>
      </w:pPr>
      <w:bookmarkStart w:id="124" w:name="_Toc184062924"/>
      <w:r w:rsidRPr="00216FF7">
        <w:rPr>
          <w:rFonts w:ascii="Times New Roman" w:hAnsi="Times New Roman" w:cs="Times New Roman"/>
          <w:i w:val="0"/>
          <w:iCs w:val="0"/>
          <w:color w:val="auto"/>
          <w:sz w:val="24"/>
          <w:szCs w:val="24"/>
        </w:rPr>
        <w:t>Figure S4.1. The trajectory of the G6Sulfur scenario. Copied from GeoMIP at Rutgers University (http://climate.envsci.rutgers.edu/geomip/geomip6.html).</w:t>
      </w:r>
      <w:r w:rsidR="00DD6148" w:rsidRPr="00216FF7">
        <w:rPr>
          <w:rFonts w:ascii="Times New Roman" w:hAnsi="Times New Roman" w:cs="Times New Roman"/>
          <w:i w:val="0"/>
          <w:iCs w:val="0"/>
          <w:noProof/>
          <w:color w:val="auto"/>
          <w:sz w:val="24"/>
          <w:szCs w:val="24"/>
        </w:rPr>
        <w:lastRenderedPageBreak/>
        <w:drawing>
          <wp:inline distT="0" distB="0" distL="0" distR="0" wp14:anchorId="04E1F68A" wp14:editId="44084084">
            <wp:extent cx="4448433" cy="3886200"/>
            <wp:effectExtent l="0" t="0" r="9525" b="0"/>
            <wp:docPr id="979747106" name="Picture 1" descr="A picture containing text, diagram, pl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47106" name="Picture 1" descr="A picture containing text, diagram, plot, map&#10;&#10;Description automatically generated"/>
                    <pic:cNvPicPr/>
                  </pic:nvPicPr>
                  <pic:blipFill>
                    <a:blip r:embed="rId72"/>
                    <a:stretch>
                      <a:fillRect/>
                    </a:stretch>
                  </pic:blipFill>
                  <pic:spPr>
                    <a:xfrm>
                      <a:off x="0" y="0"/>
                      <a:ext cx="4465427" cy="3901046"/>
                    </a:xfrm>
                    <a:prstGeom prst="rect">
                      <a:avLst/>
                    </a:prstGeom>
                  </pic:spPr>
                </pic:pic>
              </a:graphicData>
            </a:graphic>
          </wp:inline>
        </w:drawing>
      </w:r>
      <w:r w:rsidR="00DD6148" w:rsidRPr="00216FF7">
        <w:rPr>
          <w:rFonts w:ascii="Times New Roman" w:hAnsi="Times New Roman" w:cs="Times New Roman"/>
          <w:i w:val="0"/>
          <w:iCs w:val="0"/>
          <w:noProof/>
          <w:color w:val="auto"/>
          <w:sz w:val="24"/>
          <w:szCs w:val="24"/>
        </w:rPr>
        <w:drawing>
          <wp:inline distT="0" distB="0" distL="0" distR="0" wp14:anchorId="1C8D3707" wp14:editId="61127CDF">
            <wp:extent cx="4581525" cy="3856115"/>
            <wp:effectExtent l="0" t="0" r="0" b="0"/>
            <wp:docPr id="1457838510" name="Picture 1" descr="A picture containing text, diagram, plo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38510" name="Picture 1" descr="A picture containing text, diagram, plot, screenshot&#10;&#10;Description automatically generated"/>
                    <pic:cNvPicPr/>
                  </pic:nvPicPr>
                  <pic:blipFill>
                    <a:blip r:embed="rId73"/>
                    <a:stretch>
                      <a:fillRect/>
                    </a:stretch>
                  </pic:blipFill>
                  <pic:spPr>
                    <a:xfrm>
                      <a:off x="0" y="0"/>
                      <a:ext cx="4611238" cy="3881124"/>
                    </a:xfrm>
                    <a:prstGeom prst="rect">
                      <a:avLst/>
                    </a:prstGeom>
                  </pic:spPr>
                </pic:pic>
              </a:graphicData>
            </a:graphic>
          </wp:inline>
        </w:drawing>
      </w:r>
      <w:bookmarkEnd w:id="124"/>
      <w:r w:rsidRPr="00216FF7">
        <w:rPr>
          <w:color w:val="auto"/>
        </w:rPr>
        <w:t xml:space="preserve"> </w:t>
      </w:r>
    </w:p>
    <w:p w14:paraId="35FB7DF0" w14:textId="7C8EB541" w:rsidR="00216FF7" w:rsidRPr="00216FF7" w:rsidRDefault="00216FF7" w:rsidP="00216FF7">
      <w:pPr>
        <w:pStyle w:val="Caption"/>
        <w:rPr>
          <w:rFonts w:ascii="Times New Roman" w:hAnsi="Times New Roman" w:cs="Times New Roman"/>
          <w:i w:val="0"/>
          <w:iCs w:val="0"/>
          <w:color w:val="auto"/>
          <w:sz w:val="24"/>
          <w:szCs w:val="24"/>
        </w:rPr>
      </w:pPr>
      <w:bookmarkStart w:id="125" w:name="_Toc184062925"/>
      <w:r w:rsidRPr="00216FF7">
        <w:rPr>
          <w:rFonts w:ascii="Times New Roman" w:hAnsi="Times New Roman" w:cs="Times New Roman"/>
          <w:i w:val="0"/>
          <w:iCs w:val="0"/>
          <w:color w:val="auto"/>
          <w:sz w:val="24"/>
          <w:szCs w:val="24"/>
        </w:rPr>
        <w:t>Figure S4.2.  Historical and projected A) G6Sulfur, B) SSP2-4.5, and C) SSP5-8.5 dry SO2 and SO42- deposition flux.</w:t>
      </w:r>
      <w:bookmarkEnd w:id="125"/>
    </w:p>
    <w:p w14:paraId="70C06B0E" w14:textId="0C1B2101" w:rsidR="00DD6148" w:rsidRPr="00216FF7" w:rsidRDefault="00DD6148" w:rsidP="00216FF7">
      <w:pPr>
        <w:pStyle w:val="Caption"/>
        <w:rPr>
          <w:rFonts w:ascii="Times New Roman" w:hAnsi="Times New Roman" w:cs="Times New Roman"/>
          <w:i w:val="0"/>
          <w:iCs w:val="0"/>
          <w:color w:val="auto"/>
          <w:sz w:val="24"/>
          <w:szCs w:val="24"/>
        </w:rPr>
      </w:pPr>
    </w:p>
    <w:p w14:paraId="20D7E722" w14:textId="77777777" w:rsidR="00DD6148" w:rsidRDefault="00DD6148" w:rsidP="00ED686E">
      <w:pPr>
        <w:spacing w:line="240" w:lineRule="auto"/>
        <w:rPr>
          <w:rFonts w:ascii="Times New Roman" w:hAnsi="Times New Roman" w:cs="Times New Roman"/>
          <w:sz w:val="24"/>
          <w:szCs w:val="24"/>
        </w:rPr>
      </w:pPr>
      <w:r w:rsidRPr="00216FF7">
        <w:rPr>
          <w:rFonts w:ascii="Times New Roman" w:hAnsi="Times New Roman" w:cs="Times New Roman"/>
          <w:noProof/>
          <w:sz w:val="24"/>
          <w:szCs w:val="24"/>
        </w:rPr>
        <w:drawing>
          <wp:inline distT="0" distB="0" distL="0" distR="0" wp14:anchorId="3140A6E2" wp14:editId="184EFB27">
            <wp:extent cx="4629150" cy="4005501"/>
            <wp:effectExtent l="0" t="0" r="0" b="0"/>
            <wp:docPr id="1807072694" name="Picture 1" descr="A picture containing text, diagram, pl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72694" name="Picture 1" descr="A picture containing text, diagram, plot, map&#10;&#10;Description automatically generated"/>
                    <pic:cNvPicPr/>
                  </pic:nvPicPr>
                  <pic:blipFill>
                    <a:blip r:embed="rId74"/>
                    <a:stretch>
                      <a:fillRect/>
                    </a:stretch>
                  </pic:blipFill>
                  <pic:spPr>
                    <a:xfrm>
                      <a:off x="0" y="0"/>
                      <a:ext cx="4640205" cy="4015066"/>
                    </a:xfrm>
                    <a:prstGeom prst="rect">
                      <a:avLst/>
                    </a:prstGeom>
                  </pic:spPr>
                </pic:pic>
              </a:graphicData>
            </a:graphic>
          </wp:inline>
        </w:drawing>
      </w:r>
    </w:p>
    <w:p w14:paraId="747A0F04" w14:textId="32048249" w:rsidR="00216FF7" w:rsidRPr="00216FF7" w:rsidRDefault="00216FF7" w:rsidP="00216FF7">
      <w:pPr>
        <w:pStyle w:val="Caption"/>
        <w:rPr>
          <w:rFonts w:ascii="Times New Roman" w:hAnsi="Times New Roman" w:cs="Times New Roman"/>
          <w:i w:val="0"/>
          <w:iCs w:val="0"/>
          <w:color w:val="auto"/>
          <w:sz w:val="24"/>
          <w:szCs w:val="24"/>
        </w:rPr>
      </w:pPr>
      <w:r w:rsidRPr="00216FF7">
        <w:rPr>
          <w:rFonts w:ascii="Times New Roman" w:hAnsi="Times New Roman" w:cs="Times New Roman"/>
          <w:i w:val="0"/>
          <w:iCs w:val="0"/>
          <w:color w:val="auto"/>
          <w:sz w:val="24"/>
          <w:szCs w:val="24"/>
        </w:rPr>
        <w:t>Figure S4.2</w:t>
      </w:r>
      <w:r>
        <w:rPr>
          <w:rFonts w:ascii="Times New Roman" w:hAnsi="Times New Roman" w:cs="Times New Roman"/>
          <w:i w:val="0"/>
          <w:iCs w:val="0"/>
          <w:color w:val="auto"/>
          <w:sz w:val="24"/>
          <w:szCs w:val="24"/>
        </w:rPr>
        <w:t xml:space="preserve"> </w:t>
      </w:r>
      <w:r w:rsidR="00574360">
        <w:rPr>
          <w:rFonts w:ascii="Times New Roman" w:hAnsi="Times New Roman" w:cs="Times New Roman"/>
          <w:i w:val="0"/>
          <w:iCs w:val="0"/>
          <w:color w:val="auto"/>
          <w:sz w:val="24"/>
          <w:szCs w:val="24"/>
        </w:rPr>
        <w:t>(C</w:t>
      </w:r>
      <w:r>
        <w:rPr>
          <w:rFonts w:ascii="Times New Roman" w:hAnsi="Times New Roman" w:cs="Times New Roman"/>
          <w:i w:val="0"/>
          <w:iCs w:val="0"/>
          <w:color w:val="auto"/>
          <w:sz w:val="24"/>
          <w:szCs w:val="24"/>
        </w:rPr>
        <w:t>ontinued</w:t>
      </w:r>
      <w:r w:rsidR="00574360">
        <w:rPr>
          <w:rFonts w:ascii="Times New Roman" w:hAnsi="Times New Roman" w:cs="Times New Roman"/>
          <w:i w:val="0"/>
          <w:iCs w:val="0"/>
          <w:color w:val="auto"/>
          <w:sz w:val="24"/>
          <w:szCs w:val="24"/>
        </w:rPr>
        <w:t>)</w:t>
      </w:r>
    </w:p>
    <w:p w14:paraId="004BE925" w14:textId="77777777" w:rsidR="00216FF7" w:rsidRDefault="00216FF7" w:rsidP="00ED686E">
      <w:pPr>
        <w:spacing w:line="240" w:lineRule="auto"/>
        <w:rPr>
          <w:rFonts w:ascii="Times New Roman" w:hAnsi="Times New Roman" w:cs="Times New Roman"/>
          <w:sz w:val="24"/>
          <w:szCs w:val="24"/>
        </w:rPr>
      </w:pPr>
    </w:p>
    <w:p w14:paraId="435023CC" w14:textId="77777777" w:rsidR="00216FF7" w:rsidRPr="00216FF7" w:rsidRDefault="00216FF7" w:rsidP="00ED686E">
      <w:pPr>
        <w:spacing w:line="240" w:lineRule="auto"/>
        <w:rPr>
          <w:rFonts w:ascii="Times New Roman" w:hAnsi="Times New Roman" w:cs="Times New Roman"/>
          <w:sz w:val="24"/>
          <w:szCs w:val="24"/>
        </w:rPr>
      </w:pPr>
    </w:p>
    <w:p w14:paraId="1C27B545" w14:textId="77777777" w:rsidR="00C12D8F" w:rsidRDefault="00DD6148" w:rsidP="00C12D8F">
      <w:pPr>
        <w:pStyle w:val="Caption"/>
        <w:rPr>
          <w:rFonts w:ascii="Times New Roman" w:hAnsi="Times New Roman" w:cs="Times New Roman"/>
          <w:i w:val="0"/>
          <w:iCs w:val="0"/>
          <w:color w:val="auto"/>
          <w:sz w:val="24"/>
          <w:szCs w:val="24"/>
        </w:rPr>
      </w:pPr>
      <w:r w:rsidRPr="00216FF7">
        <w:rPr>
          <w:rFonts w:ascii="Times New Roman" w:hAnsi="Times New Roman" w:cs="Times New Roman"/>
          <w:i w:val="0"/>
          <w:iCs w:val="0"/>
          <w:noProof/>
          <w:color w:val="auto"/>
          <w:sz w:val="24"/>
          <w:szCs w:val="24"/>
        </w:rPr>
        <w:lastRenderedPageBreak/>
        <w:drawing>
          <wp:inline distT="0" distB="0" distL="0" distR="0" wp14:anchorId="2905D2D9" wp14:editId="11887407">
            <wp:extent cx="5638800" cy="3594735"/>
            <wp:effectExtent l="0" t="0" r="0" b="5715"/>
            <wp:docPr id="1055788134"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88134" name="Picture 1" descr="A graph of different colored lines&#10;&#10;Description automatically generated"/>
                    <pic:cNvPicPr/>
                  </pic:nvPicPr>
                  <pic:blipFill>
                    <a:blip r:embed="rId75"/>
                    <a:stretch>
                      <a:fillRect/>
                    </a:stretch>
                  </pic:blipFill>
                  <pic:spPr>
                    <a:xfrm>
                      <a:off x="0" y="0"/>
                      <a:ext cx="5644872" cy="3598606"/>
                    </a:xfrm>
                    <a:prstGeom prst="rect">
                      <a:avLst/>
                    </a:prstGeom>
                  </pic:spPr>
                </pic:pic>
              </a:graphicData>
            </a:graphic>
          </wp:inline>
        </w:drawing>
      </w:r>
      <w:bookmarkStart w:id="126" w:name="_Toc184062926"/>
      <w:r w:rsidR="00216FF7" w:rsidRPr="00216FF7">
        <w:rPr>
          <w:rFonts w:ascii="Times New Roman" w:hAnsi="Times New Roman" w:cs="Times New Roman"/>
          <w:i w:val="0"/>
          <w:iCs w:val="0"/>
          <w:color w:val="auto"/>
          <w:sz w:val="24"/>
          <w:szCs w:val="24"/>
        </w:rPr>
        <w:t>Figure S4.3. Precipitation flux from G6Sulfur GCM projections.</w:t>
      </w:r>
    </w:p>
    <w:p w14:paraId="76206FFC" w14:textId="77777777" w:rsidR="00C12D8F" w:rsidRDefault="00DD6148" w:rsidP="00C12D8F">
      <w:pPr>
        <w:pStyle w:val="Caption"/>
        <w:rPr>
          <w:rFonts w:ascii="Times New Roman" w:hAnsi="Times New Roman" w:cs="Times New Roman"/>
          <w:i w:val="0"/>
          <w:iCs w:val="0"/>
          <w:color w:val="auto"/>
          <w:sz w:val="24"/>
          <w:szCs w:val="24"/>
        </w:rPr>
      </w:pPr>
      <w:r w:rsidRPr="00216FF7">
        <w:rPr>
          <w:rFonts w:ascii="Times New Roman" w:hAnsi="Times New Roman" w:cs="Times New Roman"/>
          <w:i w:val="0"/>
          <w:iCs w:val="0"/>
          <w:noProof/>
          <w:color w:val="auto"/>
          <w:sz w:val="24"/>
          <w:szCs w:val="24"/>
        </w:rPr>
        <w:drawing>
          <wp:inline distT="0" distB="0" distL="0" distR="0" wp14:anchorId="6312841B" wp14:editId="0FC7E230">
            <wp:extent cx="5838825" cy="3293837"/>
            <wp:effectExtent l="0" t="0" r="0" b="1905"/>
            <wp:docPr id="1893354017" name="Picture 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54017" name="Picture 4" descr="A graph of different colored lines&#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38825" cy="3293837"/>
                    </a:xfrm>
                    <a:prstGeom prst="rect">
                      <a:avLst/>
                    </a:prstGeom>
                    <a:noFill/>
                  </pic:spPr>
                </pic:pic>
              </a:graphicData>
            </a:graphic>
          </wp:inline>
        </w:drawing>
      </w:r>
      <w:bookmarkStart w:id="127" w:name="_Toc184062927"/>
      <w:bookmarkEnd w:id="126"/>
      <w:r w:rsidR="00216FF7" w:rsidRPr="00C12D8F">
        <w:rPr>
          <w:rFonts w:ascii="Times New Roman" w:hAnsi="Times New Roman" w:cs="Times New Roman"/>
          <w:i w:val="0"/>
          <w:iCs w:val="0"/>
          <w:color w:val="auto"/>
          <w:sz w:val="24"/>
          <w:szCs w:val="24"/>
        </w:rPr>
        <w:t>Figure S4.4. Projected total S deposition (wet SO2, wet SO42-, dry SO2, dry SO42-) from each</w:t>
      </w:r>
      <w:r w:rsidR="00C12D8F">
        <w:rPr>
          <w:rFonts w:ascii="Times New Roman" w:hAnsi="Times New Roman" w:cs="Times New Roman"/>
          <w:i w:val="0"/>
          <w:iCs w:val="0"/>
          <w:color w:val="auto"/>
          <w:sz w:val="24"/>
          <w:szCs w:val="24"/>
        </w:rPr>
        <w:t xml:space="preserve"> </w:t>
      </w:r>
      <w:r w:rsidR="00216FF7" w:rsidRPr="00C12D8F">
        <w:rPr>
          <w:rFonts w:ascii="Times New Roman" w:hAnsi="Times New Roman" w:cs="Times New Roman"/>
          <w:i w:val="0"/>
          <w:iCs w:val="0"/>
          <w:color w:val="auto"/>
          <w:sz w:val="24"/>
          <w:szCs w:val="24"/>
        </w:rPr>
        <w:t>G6Sulfur model averaged over 20-year slices.</w:t>
      </w:r>
    </w:p>
    <w:p w14:paraId="05CF6074" w14:textId="4AC4ACA7" w:rsidR="00104753" w:rsidRDefault="00DD6148" w:rsidP="00C12D8F">
      <w:pPr>
        <w:pStyle w:val="Caption"/>
        <w:rPr>
          <w:rFonts w:ascii="Times New Roman" w:hAnsi="Times New Roman" w:cs="Times New Roman"/>
          <w:i w:val="0"/>
          <w:iCs w:val="0"/>
          <w:color w:val="auto"/>
          <w:sz w:val="24"/>
          <w:szCs w:val="24"/>
        </w:rPr>
      </w:pPr>
      <w:r w:rsidRPr="00216FF7">
        <w:rPr>
          <w:rFonts w:ascii="Times New Roman" w:hAnsi="Times New Roman" w:cs="Times New Roman"/>
          <w:i w:val="0"/>
          <w:iCs w:val="0"/>
          <w:noProof/>
          <w:color w:val="auto"/>
          <w:sz w:val="24"/>
          <w:szCs w:val="24"/>
        </w:rPr>
        <w:lastRenderedPageBreak/>
        <w:drawing>
          <wp:inline distT="0" distB="0" distL="0" distR="0" wp14:anchorId="6829CE97" wp14:editId="4923E955">
            <wp:extent cx="5815481" cy="6629400"/>
            <wp:effectExtent l="0" t="0" r="0" b="0"/>
            <wp:docPr id="1027263257" name="Picture 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63257" name="Picture 1" descr="A graph of different colored bars&#10;&#10;Description automatically generated with medium confidence"/>
                    <pic:cNvPicPr/>
                  </pic:nvPicPr>
                  <pic:blipFill>
                    <a:blip r:embed="rId77"/>
                    <a:stretch>
                      <a:fillRect/>
                    </a:stretch>
                  </pic:blipFill>
                  <pic:spPr>
                    <a:xfrm>
                      <a:off x="0" y="0"/>
                      <a:ext cx="5817856" cy="6632107"/>
                    </a:xfrm>
                    <a:prstGeom prst="rect">
                      <a:avLst/>
                    </a:prstGeom>
                  </pic:spPr>
                </pic:pic>
              </a:graphicData>
            </a:graphic>
          </wp:inline>
        </w:drawing>
      </w:r>
      <w:bookmarkEnd w:id="127"/>
    </w:p>
    <w:p w14:paraId="7FB3EB46" w14:textId="3472C045" w:rsidR="00104753" w:rsidRPr="00216FF7" w:rsidRDefault="00104753" w:rsidP="00104753">
      <w:pPr>
        <w:pStyle w:val="Caption"/>
        <w:rPr>
          <w:rFonts w:ascii="Times New Roman" w:hAnsi="Times New Roman" w:cs="Times New Roman"/>
          <w:i w:val="0"/>
          <w:iCs w:val="0"/>
          <w:color w:val="auto"/>
          <w:sz w:val="24"/>
          <w:szCs w:val="24"/>
        </w:rPr>
      </w:pPr>
      <w:bookmarkStart w:id="128" w:name="_Toc184062928"/>
      <w:r w:rsidRPr="00216FF7">
        <w:rPr>
          <w:rFonts w:ascii="Times New Roman" w:hAnsi="Times New Roman" w:cs="Times New Roman"/>
          <w:i w:val="0"/>
          <w:iCs w:val="0"/>
          <w:color w:val="auto"/>
          <w:sz w:val="24"/>
          <w:szCs w:val="24"/>
        </w:rPr>
        <w:t xml:space="preserve">Figure S4.5. The </w:t>
      </w:r>
      <w:proofErr w:type="gramStart"/>
      <w:r w:rsidRPr="00216FF7">
        <w:rPr>
          <w:rFonts w:ascii="Times New Roman" w:hAnsi="Times New Roman" w:cs="Times New Roman"/>
          <w:i w:val="0"/>
          <w:iCs w:val="0"/>
          <w:color w:val="auto"/>
          <w:sz w:val="24"/>
          <w:szCs w:val="24"/>
        </w:rPr>
        <w:t>percent</w:t>
      </w:r>
      <w:proofErr w:type="gramEnd"/>
      <w:r w:rsidRPr="00216FF7">
        <w:rPr>
          <w:rFonts w:ascii="Times New Roman" w:hAnsi="Times New Roman" w:cs="Times New Roman"/>
          <w:i w:val="0"/>
          <w:iCs w:val="0"/>
          <w:color w:val="auto"/>
          <w:sz w:val="24"/>
          <w:szCs w:val="24"/>
        </w:rPr>
        <w:t xml:space="preserve"> change from SSP5-8.5 to G6Sulfur for CESM2-WACCM and UKESM1-0-LL SO2 and SO42- deposition by ecoregion, calculated as a difference in total deposition in Tg-S/yr.</w:t>
      </w:r>
      <w:bookmarkEnd w:id="128"/>
    </w:p>
    <w:p w14:paraId="485509EA" w14:textId="01BB343B" w:rsidR="00DD6148" w:rsidRPr="00216FF7" w:rsidRDefault="00DD6148" w:rsidP="00216FF7">
      <w:pPr>
        <w:pStyle w:val="Caption"/>
        <w:rPr>
          <w:rFonts w:ascii="Times New Roman" w:hAnsi="Times New Roman" w:cs="Times New Roman"/>
          <w:i w:val="0"/>
          <w:iCs w:val="0"/>
          <w:color w:val="auto"/>
          <w:sz w:val="24"/>
          <w:szCs w:val="24"/>
        </w:rPr>
      </w:pPr>
      <w:r w:rsidRPr="00216FF7">
        <w:rPr>
          <w:rFonts w:ascii="Times New Roman" w:hAnsi="Times New Roman" w:cs="Times New Roman"/>
          <w:i w:val="0"/>
          <w:iCs w:val="0"/>
          <w:noProof/>
          <w:color w:val="auto"/>
          <w:sz w:val="24"/>
          <w:szCs w:val="24"/>
        </w:rPr>
        <w:lastRenderedPageBreak/>
        <w:drawing>
          <wp:inline distT="0" distB="0" distL="0" distR="0" wp14:anchorId="13EFC440" wp14:editId="7048961A">
            <wp:extent cx="1955367" cy="2305050"/>
            <wp:effectExtent l="0" t="0" r="6985" b="0"/>
            <wp:docPr id="727880615" name="Picture 1"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25939" name="Picture 1" descr="A white paper with black text&#10;&#10;Description automatically generated"/>
                    <pic:cNvPicPr/>
                  </pic:nvPicPr>
                  <pic:blipFill>
                    <a:blip r:embed="rId42"/>
                    <a:stretch>
                      <a:fillRect/>
                    </a:stretch>
                  </pic:blipFill>
                  <pic:spPr>
                    <a:xfrm>
                      <a:off x="0" y="0"/>
                      <a:ext cx="1961241" cy="2311974"/>
                    </a:xfrm>
                    <a:prstGeom prst="rect">
                      <a:avLst/>
                    </a:prstGeom>
                  </pic:spPr>
                </pic:pic>
              </a:graphicData>
            </a:graphic>
          </wp:inline>
        </w:drawing>
      </w:r>
    </w:p>
    <w:p w14:paraId="7C662111" w14:textId="02671D5A" w:rsidR="00104753" w:rsidRDefault="00104753" w:rsidP="00ED686E">
      <w:pPr>
        <w:spacing w:line="240" w:lineRule="auto"/>
        <w:rPr>
          <w:rFonts w:ascii="Times New Roman" w:hAnsi="Times New Roman" w:cs="Times New Roman"/>
          <w:sz w:val="24"/>
          <w:szCs w:val="24"/>
        </w:rPr>
      </w:pPr>
      <w:r>
        <w:rPr>
          <w:rFonts w:ascii="Times New Roman" w:hAnsi="Times New Roman" w:cs="Times New Roman"/>
          <w:sz w:val="24"/>
          <w:szCs w:val="24"/>
        </w:rPr>
        <w:t xml:space="preserve">Figure S4.5 </w:t>
      </w:r>
      <w:r w:rsidR="00574360">
        <w:rPr>
          <w:rFonts w:ascii="Times New Roman" w:hAnsi="Times New Roman" w:cs="Times New Roman"/>
          <w:sz w:val="24"/>
          <w:szCs w:val="24"/>
        </w:rPr>
        <w:t>(C</w:t>
      </w:r>
      <w:r>
        <w:rPr>
          <w:rFonts w:ascii="Times New Roman" w:hAnsi="Times New Roman" w:cs="Times New Roman"/>
          <w:sz w:val="24"/>
          <w:szCs w:val="24"/>
        </w:rPr>
        <w:t>ontinued</w:t>
      </w:r>
      <w:r w:rsidR="00574360">
        <w:rPr>
          <w:rFonts w:ascii="Times New Roman" w:hAnsi="Times New Roman" w:cs="Times New Roman"/>
          <w:sz w:val="24"/>
          <w:szCs w:val="24"/>
        </w:rPr>
        <w:t>)</w:t>
      </w:r>
      <w:r>
        <w:rPr>
          <w:rFonts w:ascii="Times New Roman" w:hAnsi="Times New Roman" w:cs="Times New Roman"/>
          <w:sz w:val="24"/>
          <w:szCs w:val="24"/>
        </w:rPr>
        <w:br/>
      </w:r>
    </w:p>
    <w:p w14:paraId="6CC86389" w14:textId="7F911882" w:rsidR="00DD6148" w:rsidRPr="00216FF7" w:rsidRDefault="00104753" w:rsidP="00ED686E">
      <w:pPr>
        <w:spacing w:line="240" w:lineRule="auto"/>
        <w:rPr>
          <w:rFonts w:ascii="Times New Roman" w:hAnsi="Times New Roman" w:cs="Times New Roman"/>
          <w:sz w:val="24"/>
          <w:szCs w:val="24"/>
        </w:rPr>
      </w:pPr>
      <w:r>
        <w:rPr>
          <w:rFonts w:ascii="Times New Roman" w:hAnsi="Times New Roman" w:cs="Times New Roman"/>
          <w:sz w:val="24"/>
          <w:szCs w:val="24"/>
        </w:rPr>
        <w:br/>
      </w:r>
      <w:r w:rsidR="00DD6148" w:rsidRPr="00216FF7">
        <w:rPr>
          <w:rFonts w:ascii="Times New Roman" w:hAnsi="Times New Roman" w:cs="Times New Roman"/>
          <w:noProof/>
          <w:sz w:val="24"/>
          <w:szCs w:val="24"/>
        </w:rPr>
        <w:drawing>
          <wp:inline distT="0" distB="0" distL="0" distR="0" wp14:anchorId="2BB34EE5" wp14:editId="18E66CF4">
            <wp:extent cx="5943600" cy="3831590"/>
            <wp:effectExtent l="0" t="0" r="0" b="0"/>
            <wp:docPr id="486386229" name="Picture 1" descr="A graph with numbers and a gri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86229" name="Picture 1" descr="A graph with numbers and a grid&#10;&#10;Description automatically generated with medium confidence"/>
                    <pic:cNvPicPr/>
                  </pic:nvPicPr>
                  <pic:blipFill>
                    <a:blip r:embed="rId78"/>
                    <a:stretch>
                      <a:fillRect/>
                    </a:stretch>
                  </pic:blipFill>
                  <pic:spPr>
                    <a:xfrm>
                      <a:off x="0" y="0"/>
                      <a:ext cx="5943600" cy="3831590"/>
                    </a:xfrm>
                    <a:prstGeom prst="rect">
                      <a:avLst/>
                    </a:prstGeom>
                  </pic:spPr>
                </pic:pic>
              </a:graphicData>
            </a:graphic>
          </wp:inline>
        </w:drawing>
      </w:r>
    </w:p>
    <w:p w14:paraId="23FA14B2" w14:textId="3146F2DB" w:rsidR="00DD6148" w:rsidRPr="00216FF7" w:rsidRDefault="00216FF7" w:rsidP="00216FF7">
      <w:pPr>
        <w:pStyle w:val="Caption"/>
        <w:rPr>
          <w:rFonts w:ascii="Times New Roman" w:hAnsi="Times New Roman" w:cs="Times New Roman"/>
          <w:i w:val="0"/>
          <w:iCs w:val="0"/>
          <w:color w:val="auto"/>
          <w:sz w:val="24"/>
          <w:szCs w:val="24"/>
        </w:rPr>
      </w:pPr>
      <w:bookmarkStart w:id="129" w:name="_Toc184062929"/>
      <w:r w:rsidRPr="00216FF7">
        <w:rPr>
          <w:rFonts w:ascii="Times New Roman" w:hAnsi="Times New Roman" w:cs="Times New Roman"/>
          <w:i w:val="0"/>
          <w:iCs w:val="0"/>
          <w:color w:val="auto"/>
          <w:sz w:val="24"/>
          <w:szCs w:val="24"/>
        </w:rPr>
        <w:t>Figure S4.6. Percent of total land area by ecoregion for CESM2-WACCM.</w:t>
      </w:r>
      <w:bookmarkEnd w:id="129"/>
    </w:p>
    <w:p w14:paraId="4BF8A8DC" w14:textId="77777777" w:rsidR="00DD6148" w:rsidRPr="00216FF7" w:rsidRDefault="00DD6148" w:rsidP="00ED686E">
      <w:pPr>
        <w:spacing w:line="240" w:lineRule="auto"/>
        <w:rPr>
          <w:rFonts w:ascii="Times New Roman" w:hAnsi="Times New Roman" w:cs="Times New Roman"/>
          <w:sz w:val="24"/>
          <w:szCs w:val="24"/>
        </w:rPr>
      </w:pPr>
      <w:r w:rsidRPr="00216FF7">
        <w:rPr>
          <w:rFonts w:ascii="Times New Roman" w:hAnsi="Times New Roman" w:cs="Times New Roman"/>
          <w:noProof/>
          <w:sz w:val="24"/>
          <w:szCs w:val="24"/>
        </w:rPr>
        <w:lastRenderedPageBreak/>
        <w:drawing>
          <wp:inline distT="0" distB="0" distL="0" distR="0" wp14:anchorId="5AEE843C" wp14:editId="0B53E976">
            <wp:extent cx="5943600" cy="4723130"/>
            <wp:effectExtent l="0" t="0" r="0" b="1270"/>
            <wp:docPr id="2134558069"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58069" name="Picture 1" descr="A map of the world&#10;&#10;Description automatically generated"/>
                    <pic:cNvPicPr/>
                  </pic:nvPicPr>
                  <pic:blipFill>
                    <a:blip r:embed="rId79"/>
                    <a:stretch>
                      <a:fillRect/>
                    </a:stretch>
                  </pic:blipFill>
                  <pic:spPr>
                    <a:xfrm>
                      <a:off x="0" y="0"/>
                      <a:ext cx="5943600" cy="4723130"/>
                    </a:xfrm>
                    <a:prstGeom prst="rect">
                      <a:avLst/>
                    </a:prstGeom>
                  </pic:spPr>
                </pic:pic>
              </a:graphicData>
            </a:graphic>
          </wp:inline>
        </w:drawing>
      </w:r>
    </w:p>
    <w:p w14:paraId="04D51E3E" w14:textId="6214347C" w:rsidR="00104753" w:rsidRDefault="00216FF7" w:rsidP="00216FF7">
      <w:pPr>
        <w:pStyle w:val="Caption"/>
        <w:rPr>
          <w:rFonts w:ascii="Times New Roman" w:hAnsi="Times New Roman" w:cs="Times New Roman"/>
          <w:i w:val="0"/>
          <w:iCs w:val="0"/>
          <w:color w:val="auto"/>
          <w:sz w:val="24"/>
          <w:szCs w:val="24"/>
        </w:rPr>
      </w:pPr>
      <w:bookmarkStart w:id="130" w:name="_Toc184062930"/>
      <w:r w:rsidRPr="00216FF7">
        <w:rPr>
          <w:rFonts w:ascii="Times New Roman" w:hAnsi="Times New Roman" w:cs="Times New Roman"/>
          <w:i w:val="0"/>
          <w:iCs w:val="0"/>
          <w:color w:val="auto"/>
          <w:sz w:val="24"/>
          <w:szCs w:val="24"/>
        </w:rPr>
        <w:t xml:space="preserve">Figure </w:t>
      </w:r>
      <w:r w:rsidR="00640395">
        <w:rPr>
          <w:rFonts w:ascii="Times New Roman" w:hAnsi="Times New Roman" w:cs="Times New Roman"/>
          <w:i w:val="0"/>
          <w:iCs w:val="0"/>
          <w:color w:val="auto"/>
          <w:sz w:val="24"/>
          <w:szCs w:val="24"/>
        </w:rPr>
        <w:t>S</w:t>
      </w:r>
      <w:r w:rsidRPr="00216FF7">
        <w:rPr>
          <w:rFonts w:ascii="Times New Roman" w:hAnsi="Times New Roman" w:cs="Times New Roman"/>
          <w:i w:val="0"/>
          <w:iCs w:val="0"/>
          <w:color w:val="auto"/>
          <w:sz w:val="24"/>
          <w:szCs w:val="24"/>
        </w:rPr>
        <w:t>4.7 Ecoregion 3 (deciduous needleleaf forests) in orange and 8 in pink (woody savannas) according to the A) CESM-WACCM and B) UKESM1-0-LL IGBP ecoregion maps.</w:t>
      </w:r>
      <w:bookmarkEnd w:id="130"/>
    </w:p>
    <w:p w14:paraId="5B6C1040" w14:textId="6042FC47" w:rsidR="00DD6148" w:rsidRPr="00216FF7" w:rsidRDefault="00DD6148" w:rsidP="00216FF7">
      <w:pPr>
        <w:pStyle w:val="Caption"/>
        <w:rPr>
          <w:rFonts w:ascii="Times New Roman" w:hAnsi="Times New Roman" w:cs="Times New Roman"/>
          <w:i w:val="0"/>
          <w:iCs w:val="0"/>
          <w:color w:val="auto"/>
          <w:sz w:val="24"/>
          <w:szCs w:val="24"/>
        </w:rPr>
      </w:pPr>
      <w:r w:rsidRPr="00216FF7">
        <w:rPr>
          <w:rFonts w:ascii="Times New Roman" w:hAnsi="Times New Roman" w:cs="Times New Roman"/>
          <w:i w:val="0"/>
          <w:iCs w:val="0"/>
          <w:noProof/>
          <w:color w:val="auto"/>
          <w:sz w:val="24"/>
          <w:szCs w:val="24"/>
        </w:rPr>
        <w:lastRenderedPageBreak/>
        <w:drawing>
          <wp:inline distT="0" distB="0" distL="0" distR="0" wp14:anchorId="2D300A6B" wp14:editId="270C6757">
            <wp:extent cx="5943600" cy="4780915"/>
            <wp:effectExtent l="0" t="0" r="0" b="635"/>
            <wp:docPr id="2024108435"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08435" name="Picture 1" descr="A screenshot of a map&#10;&#10;Description automatically generated"/>
                    <pic:cNvPicPr/>
                  </pic:nvPicPr>
                  <pic:blipFill>
                    <a:blip r:embed="rId80"/>
                    <a:stretch>
                      <a:fillRect/>
                    </a:stretch>
                  </pic:blipFill>
                  <pic:spPr>
                    <a:xfrm>
                      <a:off x="0" y="0"/>
                      <a:ext cx="5943600" cy="4780915"/>
                    </a:xfrm>
                    <a:prstGeom prst="rect">
                      <a:avLst/>
                    </a:prstGeom>
                  </pic:spPr>
                </pic:pic>
              </a:graphicData>
            </a:graphic>
          </wp:inline>
        </w:drawing>
      </w:r>
    </w:p>
    <w:p w14:paraId="38B77701" w14:textId="3C2E51D6" w:rsidR="00104753" w:rsidRDefault="00216FF7" w:rsidP="00216FF7">
      <w:pPr>
        <w:pStyle w:val="Caption"/>
        <w:rPr>
          <w:rFonts w:ascii="Times New Roman" w:hAnsi="Times New Roman" w:cs="Times New Roman"/>
          <w:i w:val="0"/>
          <w:iCs w:val="0"/>
          <w:color w:val="auto"/>
          <w:sz w:val="24"/>
          <w:szCs w:val="24"/>
        </w:rPr>
      </w:pPr>
      <w:bookmarkStart w:id="131" w:name="_Toc184062931"/>
      <w:r w:rsidRPr="00216FF7">
        <w:rPr>
          <w:rFonts w:ascii="Times New Roman" w:hAnsi="Times New Roman" w:cs="Times New Roman"/>
          <w:i w:val="0"/>
          <w:iCs w:val="0"/>
          <w:color w:val="auto"/>
          <w:sz w:val="24"/>
          <w:szCs w:val="24"/>
        </w:rPr>
        <w:t>Figure S4.8 The difference in precipitation flux from 2020-2040 to 2080-2100 under G6 Sulfur according to the A) CESM-WACCM and B) UKESM1-0-LL IGBP models.</w:t>
      </w:r>
      <w:bookmarkEnd w:id="131"/>
    </w:p>
    <w:p w14:paraId="4871CC56" w14:textId="7EF5D9F5" w:rsidR="00DD6148" w:rsidRPr="00216FF7" w:rsidRDefault="00DD6148" w:rsidP="00216FF7">
      <w:pPr>
        <w:pStyle w:val="Caption"/>
        <w:rPr>
          <w:rFonts w:ascii="Times New Roman" w:hAnsi="Times New Roman" w:cs="Times New Roman"/>
          <w:i w:val="0"/>
          <w:iCs w:val="0"/>
          <w:color w:val="auto"/>
          <w:sz w:val="24"/>
          <w:szCs w:val="24"/>
        </w:rPr>
      </w:pPr>
      <w:r w:rsidRPr="00216FF7">
        <w:rPr>
          <w:rFonts w:ascii="Times New Roman" w:hAnsi="Times New Roman" w:cs="Times New Roman"/>
          <w:i w:val="0"/>
          <w:iCs w:val="0"/>
          <w:noProof/>
          <w:color w:val="auto"/>
          <w:sz w:val="24"/>
          <w:szCs w:val="24"/>
        </w:rPr>
        <w:lastRenderedPageBreak/>
        <w:drawing>
          <wp:inline distT="0" distB="0" distL="0" distR="0" wp14:anchorId="21E53E7D" wp14:editId="729AF8A1">
            <wp:extent cx="5943600" cy="3256280"/>
            <wp:effectExtent l="0" t="0" r="0" b="1270"/>
            <wp:docPr id="126935925" name="Picture 3" descr="A graph with different colored squares&#10;&#10;Description automatically generated">
              <a:extLst xmlns:a="http://schemas.openxmlformats.org/drawingml/2006/main">
                <a:ext uri="{FF2B5EF4-FFF2-40B4-BE49-F238E27FC236}">
                  <a16:creationId xmlns:a16="http://schemas.microsoft.com/office/drawing/2014/main" id="{221B1440-A9C0-478C-AC4A-595E95C0B1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5925" name="Picture 3" descr="A graph with different colored squares&#10;&#10;Description automatically generated">
                      <a:extLst>
                        <a:ext uri="{FF2B5EF4-FFF2-40B4-BE49-F238E27FC236}">
                          <a16:creationId xmlns:a16="http://schemas.microsoft.com/office/drawing/2014/main" id="{221B1440-A9C0-478C-AC4A-595E95C0B175}"/>
                        </a:ext>
                      </a:extLst>
                    </pic:cNvPr>
                    <pic:cNvPicPr>
                      <a:picLocks noChangeAspect="1"/>
                    </pic:cNvPicPr>
                  </pic:nvPicPr>
                  <pic:blipFill>
                    <a:blip r:embed="rId81"/>
                    <a:stretch>
                      <a:fillRect/>
                    </a:stretch>
                  </pic:blipFill>
                  <pic:spPr>
                    <a:xfrm>
                      <a:off x="0" y="0"/>
                      <a:ext cx="5943600" cy="3256280"/>
                    </a:xfrm>
                    <a:prstGeom prst="rect">
                      <a:avLst/>
                    </a:prstGeom>
                  </pic:spPr>
                </pic:pic>
              </a:graphicData>
            </a:graphic>
          </wp:inline>
        </w:drawing>
      </w:r>
    </w:p>
    <w:p w14:paraId="5D47997E" w14:textId="580661F2" w:rsidR="00DD6148" w:rsidRDefault="00216FF7" w:rsidP="00216FF7">
      <w:pPr>
        <w:pStyle w:val="Caption"/>
        <w:rPr>
          <w:rFonts w:ascii="Times New Roman" w:hAnsi="Times New Roman" w:cs="Times New Roman"/>
          <w:i w:val="0"/>
          <w:iCs w:val="0"/>
          <w:color w:val="auto"/>
          <w:sz w:val="24"/>
          <w:szCs w:val="24"/>
        </w:rPr>
      </w:pPr>
      <w:bookmarkStart w:id="132" w:name="_Toc184062932"/>
      <w:r w:rsidRPr="00216FF7">
        <w:rPr>
          <w:rFonts w:ascii="Times New Roman" w:hAnsi="Times New Roman" w:cs="Times New Roman"/>
          <w:i w:val="0"/>
          <w:iCs w:val="0"/>
          <w:color w:val="auto"/>
          <w:sz w:val="24"/>
          <w:szCs w:val="24"/>
        </w:rPr>
        <w:t>Figure S4.9. The difference in precipitation flux from 2020-2040 to 2080-2100 under G6 Sulfur according to the CESM-WACCM and UKESM1-0-LL models by IGBP ecoregion.</w:t>
      </w:r>
      <w:bookmarkEnd w:id="132"/>
    </w:p>
    <w:p w14:paraId="1D28B46F" w14:textId="77777777" w:rsidR="00104753" w:rsidRPr="00104753" w:rsidRDefault="00104753" w:rsidP="00104753"/>
    <w:p w14:paraId="1ED84E84" w14:textId="77777777" w:rsidR="00DD6148" w:rsidRPr="00216FF7" w:rsidRDefault="00DD6148" w:rsidP="00ED686E">
      <w:pPr>
        <w:spacing w:before="240" w:line="240" w:lineRule="auto"/>
        <w:jc w:val="center"/>
        <w:rPr>
          <w:rFonts w:ascii="Times New Roman" w:eastAsia="Times New Roman" w:hAnsi="Times New Roman" w:cs="Times New Roman"/>
          <w:sz w:val="24"/>
          <w:szCs w:val="24"/>
        </w:rPr>
      </w:pPr>
      <w:r w:rsidRPr="00216FF7">
        <w:rPr>
          <w:rFonts w:ascii="Times New Roman" w:eastAsia="Times New Roman" w:hAnsi="Times New Roman" w:cs="Times New Roman"/>
          <w:noProof/>
          <w:sz w:val="24"/>
          <w:szCs w:val="24"/>
        </w:rPr>
        <w:drawing>
          <wp:inline distT="0" distB="0" distL="0" distR="0" wp14:anchorId="3E4133AC" wp14:editId="666818A3">
            <wp:extent cx="5725324" cy="3096057"/>
            <wp:effectExtent l="0" t="0" r="8890" b="9525"/>
            <wp:docPr id="1987684153" name="Picture 198768415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pic:nvPicPr>
                  <pic:blipFill>
                    <a:blip r:embed="rId82"/>
                    <a:stretch>
                      <a:fillRect/>
                    </a:stretch>
                  </pic:blipFill>
                  <pic:spPr>
                    <a:xfrm>
                      <a:off x="0" y="0"/>
                      <a:ext cx="5725324" cy="3096057"/>
                    </a:xfrm>
                    <a:prstGeom prst="rect">
                      <a:avLst/>
                    </a:prstGeom>
                  </pic:spPr>
                </pic:pic>
              </a:graphicData>
            </a:graphic>
          </wp:inline>
        </w:drawing>
      </w:r>
    </w:p>
    <w:p w14:paraId="679F2C34" w14:textId="07E86DA4" w:rsidR="00DD6148" w:rsidRPr="00216FF7" w:rsidRDefault="00216FF7" w:rsidP="00216FF7">
      <w:pPr>
        <w:pStyle w:val="Caption"/>
        <w:rPr>
          <w:rFonts w:ascii="Times New Roman" w:eastAsia="Times New Roman" w:hAnsi="Times New Roman" w:cs="Times New Roman"/>
          <w:i w:val="0"/>
          <w:iCs w:val="0"/>
          <w:color w:val="auto"/>
          <w:sz w:val="24"/>
          <w:szCs w:val="24"/>
        </w:rPr>
      </w:pPr>
      <w:bookmarkStart w:id="133" w:name="_Toc184062933"/>
      <w:r w:rsidRPr="00216FF7">
        <w:rPr>
          <w:rFonts w:ascii="Times New Roman" w:hAnsi="Times New Roman" w:cs="Times New Roman"/>
          <w:i w:val="0"/>
          <w:iCs w:val="0"/>
          <w:color w:val="auto"/>
          <w:sz w:val="24"/>
          <w:szCs w:val="24"/>
        </w:rPr>
        <w:t>Figure S5.1. Study Area: The Conterminous US (CONUS). National Center for Environmental Information (NCEI) climate regions in the USA.</w:t>
      </w:r>
      <w:bookmarkEnd w:id="133"/>
    </w:p>
    <w:p w14:paraId="606FB110" w14:textId="77777777" w:rsidR="00DD6148" w:rsidRPr="00216FF7" w:rsidRDefault="00DD6148" w:rsidP="00ED686E">
      <w:pPr>
        <w:spacing w:line="240" w:lineRule="auto"/>
        <w:rPr>
          <w:rFonts w:ascii="Times New Roman" w:eastAsia="Times New Roman" w:hAnsi="Times New Roman" w:cs="Times New Roman"/>
          <w:sz w:val="24"/>
          <w:szCs w:val="24"/>
        </w:rPr>
      </w:pPr>
    </w:p>
    <w:p w14:paraId="22FCF07D" w14:textId="77777777" w:rsidR="00216FF7" w:rsidRPr="00216FF7" w:rsidRDefault="00DD6148" w:rsidP="00ED686E">
      <w:pPr>
        <w:spacing w:line="240" w:lineRule="auto"/>
        <w:rPr>
          <w:rFonts w:ascii="Times New Roman" w:eastAsia="Times New Roman" w:hAnsi="Times New Roman" w:cs="Times New Roman"/>
          <w:sz w:val="24"/>
          <w:szCs w:val="24"/>
        </w:rPr>
      </w:pPr>
      <w:r w:rsidRPr="00216FF7">
        <w:rPr>
          <w:rFonts w:ascii="Times New Roman" w:eastAsia="Times New Roman" w:hAnsi="Times New Roman" w:cs="Times New Roman"/>
          <w:noProof/>
          <w:sz w:val="24"/>
          <w:szCs w:val="24"/>
        </w:rPr>
        <w:lastRenderedPageBreak/>
        <w:drawing>
          <wp:inline distT="114300" distB="114300" distL="114300" distR="114300" wp14:anchorId="4286062C" wp14:editId="2AA7A179">
            <wp:extent cx="5943600" cy="2984500"/>
            <wp:effectExtent l="0" t="0" r="0" b="0"/>
            <wp:docPr id="195047887" name="image2.png" descr="Chart, histogram,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Chart, histogram, scatter chart&#10;&#10;Description automatically generated"/>
                    <pic:cNvPicPr preferRelativeResize="0"/>
                  </pic:nvPicPr>
                  <pic:blipFill>
                    <a:blip r:embed="rId83"/>
                    <a:srcRect/>
                    <a:stretch>
                      <a:fillRect/>
                    </a:stretch>
                  </pic:blipFill>
                  <pic:spPr>
                    <a:xfrm>
                      <a:off x="0" y="0"/>
                      <a:ext cx="5943600" cy="2984500"/>
                    </a:xfrm>
                    <a:prstGeom prst="rect">
                      <a:avLst/>
                    </a:prstGeom>
                    <a:ln/>
                  </pic:spPr>
                </pic:pic>
              </a:graphicData>
            </a:graphic>
          </wp:inline>
        </w:drawing>
      </w:r>
    </w:p>
    <w:p w14:paraId="37E89B6A" w14:textId="7AC2CF31" w:rsidR="00DD6148" w:rsidRPr="00216FF7" w:rsidRDefault="00216FF7" w:rsidP="00216FF7">
      <w:pPr>
        <w:pStyle w:val="Caption"/>
        <w:rPr>
          <w:rFonts w:ascii="Times New Roman" w:eastAsia="Times New Roman" w:hAnsi="Times New Roman" w:cs="Times New Roman"/>
          <w:i w:val="0"/>
          <w:iCs w:val="0"/>
          <w:color w:val="auto"/>
          <w:sz w:val="24"/>
          <w:szCs w:val="24"/>
        </w:rPr>
      </w:pPr>
      <w:bookmarkStart w:id="134" w:name="_Toc184062934"/>
      <w:r w:rsidRPr="00216FF7">
        <w:rPr>
          <w:rFonts w:ascii="Times New Roman" w:hAnsi="Times New Roman" w:cs="Times New Roman"/>
          <w:i w:val="0"/>
          <w:iCs w:val="0"/>
          <w:color w:val="auto"/>
          <w:sz w:val="24"/>
          <w:szCs w:val="24"/>
        </w:rPr>
        <w:t>Figure S5.2. Predicted start day of the longest and hottest heat wave by threshold and window for each year in the US.</w:t>
      </w:r>
      <w:bookmarkEnd w:id="134"/>
      <w:r w:rsidR="00DD6148" w:rsidRPr="00216FF7">
        <w:rPr>
          <w:rFonts w:ascii="Times New Roman" w:eastAsia="Times New Roman" w:hAnsi="Times New Roman" w:cs="Times New Roman"/>
          <w:i w:val="0"/>
          <w:iCs w:val="0"/>
          <w:color w:val="auto"/>
          <w:sz w:val="24"/>
          <w:szCs w:val="24"/>
        </w:rPr>
        <w:t xml:space="preserve"> </w:t>
      </w:r>
    </w:p>
    <w:p w14:paraId="7B0AC374" w14:textId="6466DD2A" w:rsidR="00DD6148" w:rsidRPr="00216FF7" w:rsidRDefault="00DD6148" w:rsidP="00ED686E">
      <w:pPr>
        <w:spacing w:line="240" w:lineRule="auto"/>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br w:type="page"/>
      </w:r>
    </w:p>
    <w:p w14:paraId="66F92AF4" w14:textId="77777777" w:rsidR="00DD6148" w:rsidRPr="00216FF7" w:rsidRDefault="00DD6148" w:rsidP="00ED686E">
      <w:pPr>
        <w:spacing w:line="240" w:lineRule="auto"/>
        <w:rPr>
          <w:rFonts w:ascii="Times New Roman" w:eastAsia="Times New Roman" w:hAnsi="Times New Roman" w:cs="Times New Roman"/>
          <w:sz w:val="24"/>
          <w:szCs w:val="24"/>
        </w:rPr>
      </w:pPr>
      <w:r w:rsidRPr="00216FF7">
        <w:rPr>
          <w:rFonts w:ascii="Times New Roman" w:eastAsia="Times New Roman" w:hAnsi="Times New Roman" w:cs="Times New Roman"/>
          <w:noProof/>
          <w:sz w:val="24"/>
          <w:szCs w:val="24"/>
        </w:rPr>
        <w:lastRenderedPageBreak/>
        <w:drawing>
          <wp:inline distT="0" distB="0" distL="0" distR="0" wp14:anchorId="7BEA707A" wp14:editId="6BE9EA22">
            <wp:extent cx="5943600" cy="3626485"/>
            <wp:effectExtent l="0" t="0" r="0" b="0"/>
            <wp:docPr id="1994583691" name="Picture 199458369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84"/>
                    <a:stretch>
                      <a:fillRect/>
                    </a:stretch>
                  </pic:blipFill>
                  <pic:spPr>
                    <a:xfrm>
                      <a:off x="0" y="0"/>
                      <a:ext cx="5943600" cy="3626485"/>
                    </a:xfrm>
                    <a:prstGeom prst="rect">
                      <a:avLst/>
                    </a:prstGeom>
                  </pic:spPr>
                </pic:pic>
              </a:graphicData>
            </a:graphic>
          </wp:inline>
        </w:drawing>
      </w:r>
    </w:p>
    <w:p w14:paraId="7FF1CF8B" w14:textId="0CA96845" w:rsidR="00DD6148" w:rsidRPr="00216FF7" w:rsidRDefault="00216FF7" w:rsidP="00216FF7">
      <w:pPr>
        <w:pStyle w:val="Caption"/>
        <w:rPr>
          <w:rFonts w:ascii="Times New Roman" w:eastAsia="Times New Roman" w:hAnsi="Times New Roman" w:cs="Times New Roman"/>
          <w:i w:val="0"/>
          <w:iCs w:val="0"/>
          <w:color w:val="auto"/>
          <w:sz w:val="24"/>
          <w:szCs w:val="24"/>
        </w:rPr>
      </w:pPr>
      <w:bookmarkStart w:id="135" w:name="_Toc184062935"/>
      <w:r w:rsidRPr="00216FF7">
        <w:rPr>
          <w:rFonts w:ascii="Times New Roman" w:hAnsi="Times New Roman" w:cs="Times New Roman"/>
          <w:i w:val="0"/>
          <w:iCs w:val="0"/>
          <w:color w:val="auto"/>
          <w:sz w:val="24"/>
          <w:szCs w:val="24"/>
        </w:rPr>
        <w:t>Figure S5.3. Average annual maximum temperature trends in the US.</w:t>
      </w:r>
      <w:r w:rsidR="001034F3">
        <w:rPr>
          <w:rFonts w:ascii="Times New Roman" w:hAnsi="Times New Roman" w:cs="Times New Roman"/>
          <w:i w:val="0"/>
          <w:iCs w:val="0"/>
          <w:color w:val="auto"/>
          <w:sz w:val="24"/>
          <w:szCs w:val="24"/>
        </w:rPr>
        <w:t xml:space="preserve"> </w:t>
      </w:r>
      <w:proofErr w:type="gramStart"/>
      <w:r w:rsidR="00DD6148" w:rsidRPr="00216FF7">
        <w:rPr>
          <w:rFonts w:ascii="Times New Roman" w:eastAsia="Times New Roman" w:hAnsi="Times New Roman" w:cs="Times New Roman"/>
          <w:i w:val="0"/>
          <w:iCs w:val="0"/>
          <w:color w:val="auto"/>
          <w:sz w:val="24"/>
          <w:szCs w:val="24"/>
        </w:rPr>
        <w:t>The</w:t>
      </w:r>
      <w:proofErr w:type="gramEnd"/>
      <w:r w:rsidR="00DD6148" w:rsidRPr="00216FF7">
        <w:rPr>
          <w:rFonts w:ascii="Times New Roman" w:eastAsia="Times New Roman" w:hAnsi="Times New Roman" w:cs="Times New Roman"/>
          <w:i w:val="0"/>
          <w:iCs w:val="0"/>
          <w:color w:val="auto"/>
          <w:sz w:val="24"/>
          <w:szCs w:val="24"/>
        </w:rPr>
        <w:t xml:space="preserve"> daily maximum temperature is averaged by region for each year from 1980–2059. The y-axes vary by region. The shaded regions are the 95% confidence interval for the corresponding scenario. Daymet reference data were used for both the statistical (DBCCA) and dynamical (RegCM4) downscaling. The average annual minimum temperature is shown in Figure S</w:t>
      </w:r>
      <w:r w:rsidR="00F11A53">
        <w:rPr>
          <w:rFonts w:ascii="Times New Roman" w:eastAsia="Times New Roman" w:hAnsi="Times New Roman" w:cs="Times New Roman"/>
          <w:i w:val="0"/>
          <w:iCs w:val="0"/>
          <w:color w:val="auto"/>
          <w:sz w:val="24"/>
          <w:szCs w:val="24"/>
        </w:rPr>
        <w:t>5.4</w:t>
      </w:r>
      <w:r w:rsidR="00DD6148" w:rsidRPr="00216FF7">
        <w:rPr>
          <w:rFonts w:ascii="Times New Roman" w:eastAsia="Times New Roman" w:hAnsi="Times New Roman" w:cs="Times New Roman"/>
          <w:i w:val="0"/>
          <w:iCs w:val="0"/>
          <w:color w:val="auto"/>
          <w:sz w:val="24"/>
          <w:szCs w:val="24"/>
        </w:rPr>
        <w:t>.</w:t>
      </w:r>
      <w:bookmarkEnd w:id="135"/>
      <w:r w:rsidR="00DD6148" w:rsidRPr="00216FF7">
        <w:rPr>
          <w:rFonts w:ascii="Times New Roman" w:eastAsia="Times New Roman" w:hAnsi="Times New Roman" w:cs="Times New Roman"/>
          <w:i w:val="0"/>
          <w:iCs w:val="0"/>
          <w:color w:val="auto"/>
          <w:sz w:val="24"/>
          <w:szCs w:val="24"/>
        </w:rPr>
        <w:t xml:space="preserve"> </w:t>
      </w:r>
    </w:p>
    <w:p w14:paraId="7AB3FFD4" w14:textId="77777777" w:rsidR="00DD6148" w:rsidRPr="00216FF7" w:rsidRDefault="00DD6148" w:rsidP="00ED686E">
      <w:pPr>
        <w:spacing w:line="240" w:lineRule="auto"/>
        <w:rPr>
          <w:rFonts w:ascii="Times New Roman" w:hAnsi="Times New Roman" w:cs="Times New Roman"/>
          <w:sz w:val="24"/>
          <w:szCs w:val="24"/>
        </w:rPr>
      </w:pPr>
      <w:r w:rsidRPr="00216FF7">
        <w:rPr>
          <w:rFonts w:ascii="Times New Roman" w:hAnsi="Times New Roman" w:cs="Times New Roman"/>
          <w:noProof/>
          <w:sz w:val="24"/>
          <w:szCs w:val="24"/>
        </w:rPr>
        <w:lastRenderedPageBreak/>
        <w:drawing>
          <wp:inline distT="0" distB="0" distL="0" distR="0" wp14:anchorId="07C81743" wp14:editId="22311106">
            <wp:extent cx="5943600" cy="3649345"/>
            <wp:effectExtent l="0" t="0" r="0" b="8255"/>
            <wp:docPr id="297317359" name="Picture 29731735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85"/>
                    <a:stretch>
                      <a:fillRect/>
                    </a:stretch>
                  </pic:blipFill>
                  <pic:spPr>
                    <a:xfrm>
                      <a:off x="0" y="0"/>
                      <a:ext cx="5943600" cy="3649345"/>
                    </a:xfrm>
                    <a:prstGeom prst="rect">
                      <a:avLst/>
                    </a:prstGeom>
                  </pic:spPr>
                </pic:pic>
              </a:graphicData>
            </a:graphic>
          </wp:inline>
        </w:drawing>
      </w:r>
    </w:p>
    <w:p w14:paraId="666A5D6D" w14:textId="4EC12BD1" w:rsidR="00DD6148" w:rsidRPr="00216FF7" w:rsidRDefault="00216FF7" w:rsidP="00216FF7">
      <w:pPr>
        <w:pStyle w:val="Caption"/>
        <w:rPr>
          <w:rFonts w:ascii="Times New Roman" w:eastAsia="Times New Roman" w:hAnsi="Times New Roman" w:cs="Times New Roman"/>
          <w:i w:val="0"/>
          <w:iCs w:val="0"/>
          <w:color w:val="auto"/>
          <w:sz w:val="24"/>
          <w:szCs w:val="24"/>
        </w:rPr>
      </w:pPr>
      <w:bookmarkStart w:id="136" w:name="_Toc184062936"/>
      <w:r w:rsidRPr="00216FF7">
        <w:rPr>
          <w:rFonts w:ascii="Times New Roman" w:hAnsi="Times New Roman" w:cs="Times New Roman"/>
          <w:i w:val="0"/>
          <w:iCs w:val="0"/>
          <w:color w:val="auto"/>
          <w:sz w:val="24"/>
          <w:szCs w:val="24"/>
        </w:rPr>
        <w:t>Figure S5.4. Average annual minimum temperature trends in the US.</w:t>
      </w:r>
      <w:r w:rsidR="00FE3C56">
        <w:rPr>
          <w:rFonts w:ascii="Times New Roman" w:hAnsi="Times New Roman" w:cs="Times New Roman"/>
          <w:i w:val="0"/>
          <w:iCs w:val="0"/>
          <w:color w:val="auto"/>
          <w:sz w:val="24"/>
          <w:szCs w:val="24"/>
        </w:rPr>
        <w:t xml:space="preserve"> </w:t>
      </w:r>
      <w:r w:rsidR="00DD6148" w:rsidRPr="00216FF7">
        <w:rPr>
          <w:rFonts w:ascii="Times New Roman" w:eastAsia="Times New Roman" w:hAnsi="Times New Roman" w:cs="Times New Roman"/>
          <w:i w:val="0"/>
          <w:iCs w:val="0"/>
          <w:color w:val="auto"/>
          <w:sz w:val="24"/>
          <w:szCs w:val="24"/>
        </w:rPr>
        <w:t>Daily minimum temperature is averaged by region for each year from 1980-2059. The y-axes vary by region. The shaded regions are the 95% confidence interval for the corresponding scenario. Daymet reference data were used for both the statistical (DBCCA) and dynamical (RegCM4) downscaling.</w:t>
      </w:r>
      <w:bookmarkEnd w:id="136"/>
      <w:r w:rsidR="00DD6148" w:rsidRPr="00216FF7">
        <w:rPr>
          <w:rFonts w:ascii="Times New Roman" w:eastAsia="Times New Roman" w:hAnsi="Times New Roman" w:cs="Times New Roman"/>
          <w:i w:val="0"/>
          <w:iCs w:val="0"/>
          <w:color w:val="auto"/>
          <w:sz w:val="24"/>
          <w:szCs w:val="24"/>
        </w:rPr>
        <w:t xml:space="preserve"> </w:t>
      </w:r>
    </w:p>
    <w:p w14:paraId="198F10B7" w14:textId="77777777" w:rsidR="00DD6148" w:rsidRPr="00216FF7" w:rsidRDefault="00DD6148" w:rsidP="00ED686E">
      <w:pPr>
        <w:spacing w:line="240" w:lineRule="auto"/>
        <w:rPr>
          <w:rFonts w:ascii="Times New Roman" w:hAnsi="Times New Roman" w:cs="Times New Roman"/>
          <w:sz w:val="24"/>
          <w:szCs w:val="24"/>
        </w:rPr>
      </w:pPr>
    </w:p>
    <w:p w14:paraId="20810876" w14:textId="77777777" w:rsidR="00DD6148" w:rsidRPr="00216FF7" w:rsidRDefault="00DD6148" w:rsidP="00ED686E">
      <w:pPr>
        <w:spacing w:line="240" w:lineRule="auto"/>
        <w:rPr>
          <w:rFonts w:ascii="Times New Roman" w:hAnsi="Times New Roman" w:cs="Times New Roman"/>
          <w:sz w:val="24"/>
          <w:szCs w:val="24"/>
        </w:rPr>
      </w:pPr>
      <w:r w:rsidRPr="00216FF7">
        <w:rPr>
          <w:rFonts w:ascii="Times New Roman" w:hAnsi="Times New Roman" w:cs="Times New Roman"/>
          <w:sz w:val="24"/>
          <w:szCs w:val="24"/>
        </w:rPr>
        <w:br w:type="page"/>
      </w:r>
    </w:p>
    <w:p w14:paraId="112E5164" w14:textId="6880EE1F" w:rsidR="00DD6148" w:rsidRPr="00216FF7" w:rsidRDefault="00216FF7" w:rsidP="00216FF7">
      <w:pPr>
        <w:pStyle w:val="Caption"/>
        <w:rPr>
          <w:rFonts w:ascii="Times New Roman" w:eastAsia="Times New Roman" w:hAnsi="Times New Roman" w:cs="Times New Roman"/>
          <w:i w:val="0"/>
          <w:iCs w:val="0"/>
          <w:color w:val="auto"/>
          <w:sz w:val="24"/>
          <w:szCs w:val="24"/>
        </w:rPr>
      </w:pPr>
      <w:bookmarkStart w:id="137" w:name="_Toc184062963"/>
      <w:r w:rsidRPr="00216FF7">
        <w:rPr>
          <w:rFonts w:ascii="Times New Roman" w:hAnsi="Times New Roman" w:cs="Times New Roman"/>
          <w:i w:val="0"/>
          <w:iCs w:val="0"/>
          <w:color w:val="auto"/>
          <w:sz w:val="24"/>
          <w:szCs w:val="24"/>
        </w:rPr>
        <w:lastRenderedPageBreak/>
        <w:t>Table S5.1. The six CMIP6 global climate models used in this work (Rastogi et al., 2022).</w:t>
      </w:r>
      <w:bookmarkEnd w:id="137"/>
    </w:p>
    <w:tbl>
      <w:tblPr>
        <w:tblStyle w:val="PlainTable4"/>
        <w:tblW w:w="0" w:type="auto"/>
        <w:tblLook w:val="04A0" w:firstRow="1" w:lastRow="0" w:firstColumn="1" w:lastColumn="0" w:noHBand="0" w:noVBand="1"/>
      </w:tblPr>
      <w:tblGrid>
        <w:gridCol w:w="1890"/>
        <w:gridCol w:w="1800"/>
        <w:gridCol w:w="5660"/>
      </w:tblGrid>
      <w:tr w:rsidR="00216FF7" w:rsidRPr="00216FF7" w14:paraId="6D177D3A" w14:textId="77777777" w:rsidTr="00A313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top w:val="single" w:sz="12" w:space="0" w:color="auto"/>
              <w:bottom w:val="single" w:sz="6" w:space="0" w:color="auto"/>
            </w:tcBorders>
            <w:shd w:val="clear" w:color="auto" w:fill="FFFFFF" w:themeFill="background1"/>
          </w:tcPr>
          <w:p w14:paraId="38F5177C" w14:textId="77777777" w:rsidR="00DD6148" w:rsidRPr="00216FF7" w:rsidRDefault="00DD6148" w:rsidP="00ED686E">
            <w:pPr>
              <w:spacing w:before="120" w:after="12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GCM Name</w:t>
            </w:r>
          </w:p>
        </w:tc>
        <w:tc>
          <w:tcPr>
            <w:tcW w:w="1800" w:type="dxa"/>
            <w:tcBorders>
              <w:top w:val="single" w:sz="12" w:space="0" w:color="auto"/>
              <w:bottom w:val="single" w:sz="6" w:space="0" w:color="auto"/>
            </w:tcBorders>
            <w:shd w:val="clear" w:color="auto" w:fill="FFFFFF" w:themeFill="background1"/>
          </w:tcPr>
          <w:p w14:paraId="2D92C5B1" w14:textId="77777777" w:rsidR="00DD6148" w:rsidRPr="00216FF7" w:rsidRDefault="00DD6148" w:rsidP="00ED686E">
            <w:pPr>
              <w:spacing w:before="120" w:after="12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Spatial Resolution</w:t>
            </w:r>
          </w:p>
        </w:tc>
        <w:tc>
          <w:tcPr>
            <w:tcW w:w="5660" w:type="dxa"/>
            <w:tcBorders>
              <w:top w:val="single" w:sz="12" w:space="0" w:color="auto"/>
              <w:bottom w:val="single" w:sz="6" w:space="0" w:color="auto"/>
            </w:tcBorders>
            <w:shd w:val="clear" w:color="auto" w:fill="FFFFFF" w:themeFill="background1"/>
          </w:tcPr>
          <w:p w14:paraId="72B6E260" w14:textId="77777777" w:rsidR="00DD6148" w:rsidRPr="00216FF7" w:rsidRDefault="00DD6148" w:rsidP="00ED686E">
            <w:pPr>
              <w:spacing w:before="120" w:after="12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 xml:space="preserve"> GCM Institute</w:t>
            </w:r>
          </w:p>
        </w:tc>
      </w:tr>
      <w:tr w:rsidR="00216FF7" w:rsidRPr="00216FF7" w14:paraId="2F28E0DC" w14:textId="77777777" w:rsidTr="00A313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top w:val="single" w:sz="6" w:space="0" w:color="auto"/>
            </w:tcBorders>
            <w:shd w:val="clear" w:color="auto" w:fill="FFFFFF" w:themeFill="background1"/>
          </w:tcPr>
          <w:p w14:paraId="392BF9C1" w14:textId="77777777" w:rsidR="00DD6148" w:rsidRPr="00216FF7" w:rsidRDefault="00DD6148" w:rsidP="00ED686E">
            <w:pPr>
              <w:spacing w:after="24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ACCESS-CM2</w:t>
            </w:r>
          </w:p>
        </w:tc>
        <w:tc>
          <w:tcPr>
            <w:tcW w:w="1800" w:type="dxa"/>
            <w:tcBorders>
              <w:top w:val="single" w:sz="6" w:space="0" w:color="auto"/>
            </w:tcBorders>
            <w:shd w:val="clear" w:color="auto" w:fill="FFFFFF" w:themeFill="background1"/>
          </w:tcPr>
          <w:p w14:paraId="6719394D" w14:textId="77777777" w:rsidR="00DD6148" w:rsidRPr="00216FF7" w:rsidRDefault="00DD6148" w:rsidP="00ED686E">
            <w:pPr>
              <w:spacing w:after="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144x192</w:t>
            </w:r>
          </w:p>
        </w:tc>
        <w:tc>
          <w:tcPr>
            <w:tcW w:w="5660" w:type="dxa"/>
            <w:tcBorders>
              <w:top w:val="single" w:sz="6" w:space="0" w:color="auto"/>
            </w:tcBorders>
            <w:shd w:val="clear" w:color="auto" w:fill="FFFFFF" w:themeFill="background1"/>
          </w:tcPr>
          <w:p w14:paraId="4DB83728" w14:textId="77777777" w:rsidR="00DD6148" w:rsidRPr="00216FF7" w:rsidRDefault="00DD6148" w:rsidP="00ED686E">
            <w:pPr>
              <w:spacing w:after="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The commonwealth Scientific and Industrial Research Organization, Australia</w:t>
            </w:r>
          </w:p>
        </w:tc>
      </w:tr>
      <w:tr w:rsidR="00216FF7" w:rsidRPr="00216FF7" w14:paraId="3A2B86AD" w14:textId="77777777" w:rsidTr="00A3132A">
        <w:tc>
          <w:tcPr>
            <w:cnfStyle w:val="001000000000" w:firstRow="0" w:lastRow="0" w:firstColumn="1" w:lastColumn="0" w:oddVBand="0" w:evenVBand="0" w:oddHBand="0" w:evenHBand="0" w:firstRowFirstColumn="0" w:firstRowLastColumn="0" w:lastRowFirstColumn="0" w:lastRowLastColumn="0"/>
            <w:tcW w:w="1890" w:type="dxa"/>
            <w:shd w:val="clear" w:color="auto" w:fill="FFFFFF" w:themeFill="background1"/>
          </w:tcPr>
          <w:p w14:paraId="4E471DE8" w14:textId="77777777" w:rsidR="00DD6148" w:rsidRPr="00216FF7" w:rsidRDefault="00DD6148" w:rsidP="00ED686E">
            <w:pPr>
              <w:spacing w:after="24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BCC-CSM2-MR</w:t>
            </w:r>
          </w:p>
        </w:tc>
        <w:tc>
          <w:tcPr>
            <w:tcW w:w="1800" w:type="dxa"/>
            <w:shd w:val="clear" w:color="auto" w:fill="FFFFFF" w:themeFill="background1"/>
          </w:tcPr>
          <w:p w14:paraId="195319C9" w14:textId="77777777" w:rsidR="00DD6148" w:rsidRPr="00216FF7" w:rsidRDefault="00DD6148" w:rsidP="00ED686E">
            <w:pPr>
              <w:spacing w:after="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160x320</w:t>
            </w:r>
          </w:p>
        </w:tc>
        <w:tc>
          <w:tcPr>
            <w:tcW w:w="5660" w:type="dxa"/>
            <w:shd w:val="clear" w:color="auto" w:fill="FFFFFF" w:themeFill="background1"/>
          </w:tcPr>
          <w:p w14:paraId="2410F8F5" w14:textId="77777777" w:rsidR="00DD6148" w:rsidRPr="00216FF7" w:rsidRDefault="00DD6148" w:rsidP="00ED686E">
            <w:pPr>
              <w:spacing w:after="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Beijing Climate Center</w:t>
            </w:r>
          </w:p>
        </w:tc>
      </w:tr>
      <w:tr w:rsidR="00216FF7" w:rsidRPr="00216FF7" w14:paraId="27686EC8" w14:textId="77777777" w:rsidTr="00A313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shd w:val="clear" w:color="auto" w:fill="FFFFFF" w:themeFill="background1"/>
          </w:tcPr>
          <w:p w14:paraId="32DA731D" w14:textId="77777777" w:rsidR="00DD6148" w:rsidRPr="00216FF7" w:rsidRDefault="00DD6148" w:rsidP="00ED686E">
            <w:pPr>
              <w:spacing w:after="24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CNRM-ESM2-1</w:t>
            </w:r>
          </w:p>
        </w:tc>
        <w:tc>
          <w:tcPr>
            <w:tcW w:w="1800" w:type="dxa"/>
            <w:shd w:val="clear" w:color="auto" w:fill="FFFFFF" w:themeFill="background1"/>
          </w:tcPr>
          <w:p w14:paraId="017EF854" w14:textId="77777777" w:rsidR="00DD6148" w:rsidRPr="00216FF7" w:rsidRDefault="00DD6148" w:rsidP="00ED686E">
            <w:pPr>
              <w:spacing w:after="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256x128</w:t>
            </w:r>
          </w:p>
        </w:tc>
        <w:tc>
          <w:tcPr>
            <w:tcW w:w="5660" w:type="dxa"/>
            <w:shd w:val="clear" w:color="auto" w:fill="FFFFFF" w:themeFill="background1"/>
          </w:tcPr>
          <w:p w14:paraId="7F096B5B" w14:textId="77777777" w:rsidR="00DD6148" w:rsidRPr="00216FF7" w:rsidRDefault="00DD6148" w:rsidP="00ED686E">
            <w:pPr>
              <w:spacing w:after="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 xml:space="preserve">French Centre National de la Recherche </w:t>
            </w:r>
            <w:proofErr w:type="spellStart"/>
            <w:r w:rsidRPr="00216FF7">
              <w:rPr>
                <w:rFonts w:ascii="Times New Roman" w:eastAsia="Times New Roman" w:hAnsi="Times New Roman" w:cs="Times New Roman"/>
                <w:sz w:val="24"/>
                <w:szCs w:val="24"/>
              </w:rPr>
              <w:t>Scientifique</w:t>
            </w:r>
            <w:proofErr w:type="spellEnd"/>
            <w:r w:rsidRPr="00216FF7">
              <w:rPr>
                <w:rFonts w:ascii="Times New Roman" w:eastAsia="Times New Roman" w:hAnsi="Times New Roman" w:cs="Times New Roman"/>
                <w:sz w:val="24"/>
                <w:szCs w:val="24"/>
              </w:rPr>
              <w:t xml:space="preserve"> </w:t>
            </w:r>
          </w:p>
        </w:tc>
      </w:tr>
      <w:tr w:rsidR="00216FF7" w:rsidRPr="00216FF7" w14:paraId="4EC96FF6" w14:textId="77777777" w:rsidTr="00A3132A">
        <w:tc>
          <w:tcPr>
            <w:cnfStyle w:val="001000000000" w:firstRow="0" w:lastRow="0" w:firstColumn="1" w:lastColumn="0" w:oddVBand="0" w:evenVBand="0" w:oddHBand="0" w:evenHBand="0" w:firstRowFirstColumn="0" w:firstRowLastColumn="0" w:lastRowFirstColumn="0" w:lastRowLastColumn="0"/>
            <w:tcW w:w="1890" w:type="dxa"/>
            <w:shd w:val="clear" w:color="auto" w:fill="FFFFFF" w:themeFill="background1"/>
          </w:tcPr>
          <w:p w14:paraId="6C6EC33F" w14:textId="77777777" w:rsidR="00DD6148" w:rsidRPr="00216FF7" w:rsidRDefault="00DD6148" w:rsidP="00ED686E">
            <w:pPr>
              <w:spacing w:after="24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MRI-ESM2-0</w:t>
            </w:r>
          </w:p>
        </w:tc>
        <w:tc>
          <w:tcPr>
            <w:tcW w:w="1800" w:type="dxa"/>
            <w:shd w:val="clear" w:color="auto" w:fill="FFFFFF" w:themeFill="background1"/>
          </w:tcPr>
          <w:p w14:paraId="70454ADC" w14:textId="77777777" w:rsidR="00DD6148" w:rsidRPr="00216FF7" w:rsidRDefault="00DD6148" w:rsidP="00ED686E">
            <w:pPr>
              <w:spacing w:after="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160x320</w:t>
            </w:r>
          </w:p>
        </w:tc>
        <w:tc>
          <w:tcPr>
            <w:tcW w:w="5660" w:type="dxa"/>
            <w:shd w:val="clear" w:color="auto" w:fill="FFFFFF" w:themeFill="background1"/>
          </w:tcPr>
          <w:p w14:paraId="2D55C73E" w14:textId="77777777" w:rsidR="00DD6148" w:rsidRPr="00216FF7" w:rsidRDefault="00DD6148" w:rsidP="00ED686E">
            <w:pPr>
              <w:spacing w:after="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Meteorological Research Institute Japan</w:t>
            </w:r>
          </w:p>
        </w:tc>
      </w:tr>
      <w:tr w:rsidR="00216FF7" w:rsidRPr="00216FF7" w14:paraId="05BD5F94" w14:textId="77777777" w:rsidTr="00A313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shd w:val="clear" w:color="auto" w:fill="FFFFFF" w:themeFill="background1"/>
          </w:tcPr>
          <w:p w14:paraId="20D9136D" w14:textId="77777777" w:rsidR="00DD6148" w:rsidRPr="00216FF7" w:rsidRDefault="00DD6148" w:rsidP="00ED686E">
            <w:pPr>
              <w:spacing w:after="24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MPI-ESM1-2-HR</w:t>
            </w:r>
          </w:p>
        </w:tc>
        <w:tc>
          <w:tcPr>
            <w:tcW w:w="1800" w:type="dxa"/>
            <w:shd w:val="clear" w:color="auto" w:fill="FFFFFF" w:themeFill="background1"/>
          </w:tcPr>
          <w:p w14:paraId="42CAF505" w14:textId="77777777" w:rsidR="00DD6148" w:rsidRPr="00216FF7" w:rsidRDefault="00DD6148" w:rsidP="00ED686E">
            <w:pPr>
              <w:spacing w:after="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192x384</w:t>
            </w:r>
          </w:p>
        </w:tc>
        <w:tc>
          <w:tcPr>
            <w:tcW w:w="5660" w:type="dxa"/>
            <w:shd w:val="clear" w:color="auto" w:fill="FFFFFF" w:themeFill="background1"/>
          </w:tcPr>
          <w:p w14:paraId="7F269209" w14:textId="77777777" w:rsidR="00DD6148" w:rsidRPr="00216FF7" w:rsidRDefault="00DD6148" w:rsidP="00ED686E">
            <w:pPr>
              <w:spacing w:after="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The German Climate Computing Center</w:t>
            </w:r>
          </w:p>
        </w:tc>
      </w:tr>
      <w:tr w:rsidR="00216FF7" w:rsidRPr="00216FF7" w14:paraId="3138C480" w14:textId="77777777" w:rsidTr="00A3132A">
        <w:tc>
          <w:tcPr>
            <w:cnfStyle w:val="001000000000" w:firstRow="0" w:lastRow="0" w:firstColumn="1" w:lastColumn="0" w:oddVBand="0" w:evenVBand="0" w:oddHBand="0" w:evenHBand="0" w:firstRowFirstColumn="0" w:firstRowLastColumn="0" w:lastRowFirstColumn="0" w:lastRowLastColumn="0"/>
            <w:tcW w:w="1890" w:type="dxa"/>
            <w:tcBorders>
              <w:bottom w:val="single" w:sz="12" w:space="0" w:color="auto"/>
            </w:tcBorders>
            <w:shd w:val="clear" w:color="auto" w:fill="FFFFFF" w:themeFill="background1"/>
          </w:tcPr>
          <w:p w14:paraId="4D08716E" w14:textId="77777777" w:rsidR="00DD6148" w:rsidRPr="00216FF7" w:rsidRDefault="00DD6148" w:rsidP="00ED686E">
            <w:pPr>
              <w:spacing w:after="24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NorESM2-MM</w:t>
            </w:r>
          </w:p>
        </w:tc>
        <w:tc>
          <w:tcPr>
            <w:tcW w:w="1800" w:type="dxa"/>
            <w:tcBorders>
              <w:bottom w:val="single" w:sz="12" w:space="0" w:color="auto"/>
            </w:tcBorders>
            <w:shd w:val="clear" w:color="auto" w:fill="FFFFFF" w:themeFill="background1"/>
          </w:tcPr>
          <w:p w14:paraId="57F4596F" w14:textId="77777777" w:rsidR="00DD6148" w:rsidRPr="00216FF7" w:rsidRDefault="00DD6148" w:rsidP="00ED686E">
            <w:pPr>
              <w:spacing w:after="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192x288</w:t>
            </w:r>
          </w:p>
        </w:tc>
        <w:tc>
          <w:tcPr>
            <w:tcW w:w="5660" w:type="dxa"/>
            <w:tcBorders>
              <w:bottom w:val="single" w:sz="12" w:space="0" w:color="auto"/>
            </w:tcBorders>
            <w:shd w:val="clear" w:color="auto" w:fill="FFFFFF" w:themeFill="background1"/>
          </w:tcPr>
          <w:p w14:paraId="5417D44F" w14:textId="77777777" w:rsidR="00DD6148" w:rsidRPr="00216FF7" w:rsidRDefault="00DD6148" w:rsidP="00ED686E">
            <w:pPr>
              <w:spacing w:after="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Multi-institutional, Coordinated Climate Research Project in Norway</w:t>
            </w:r>
          </w:p>
        </w:tc>
      </w:tr>
    </w:tbl>
    <w:p w14:paraId="69D72842" w14:textId="77777777" w:rsidR="00DD6148" w:rsidRPr="00216FF7" w:rsidRDefault="00DD6148" w:rsidP="00ED686E">
      <w:pPr>
        <w:spacing w:after="0" w:line="240" w:lineRule="auto"/>
        <w:rPr>
          <w:rFonts w:ascii="Times New Roman" w:eastAsia="Times New Roman" w:hAnsi="Times New Roman" w:cs="Times New Roman"/>
          <w:sz w:val="24"/>
          <w:szCs w:val="24"/>
        </w:rPr>
      </w:pPr>
    </w:p>
    <w:p w14:paraId="7E3049EF" w14:textId="77777777" w:rsidR="00DD6148" w:rsidRPr="00216FF7" w:rsidRDefault="00DD6148" w:rsidP="00ED686E">
      <w:pPr>
        <w:spacing w:after="0" w:line="240" w:lineRule="auto"/>
        <w:rPr>
          <w:rFonts w:ascii="Times New Roman" w:eastAsia="Times New Roman" w:hAnsi="Times New Roman" w:cs="Times New Roman"/>
          <w:sz w:val="24"/>
          <w:szCs w:val="24"/>
        </w:rPr>
      </w:pPr>
    </w:p>
    <w:p w14:paraId="1D914D7D" w14:textId="77777777" w:rsidR="00DD6148" w:rsidRPr="00216FF7" w:rsidRDefault="00DD6148" w:rsidP="00ED686E">
      <w:pPr>
        <w:spacing w:line="240" w:lineRule="auto"/>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br w:type="page"/>
      </w:r>
    </w:p>
    <w:p w14:paraId="6A566B08" w14:textId="353BFBFF" w:rsidR="00DD6148" w:rsidRPr="00216FF7" w:rsidRDefault="00216FF7" w:rsidP="00216FF7">
      <w:pPr>
        <w:pStyle w:val="Caption"/>
        <w:rPr>
          <w:rFonts w:ascii="Times New Roman" w:eastAsia="Times New Roman" w:hAnsi="Times New Roman" w:cs="Times New Roman"/>
          <w:i w:val="0"/>
          <w:iCs w:val="0"/>
          <w:color w:val="auto"/>
          <w:sz w:val="24"/>
          <w:szCs w:val="24"/>
        </w:rPr>
      </w:pPr>
      <w:bookmarkStart w:id="138" w:name="_Toc184062964"/>
      <w:r w:rsidRPr="00216FF7">
        <w:rPr>
          <w:rFonts w:ascii="Times New Roman" w:hAnsi="Times New Roman" w:cs="Times New Roman"/>
          <w:i w:val="0"/>
          <w:iCs w:val="0"/>
          <w:color w:val="auto"/>
          <w:sz w:val="24"/>
          <w:szCs w:val="24"/>
        </w:rPr>
        <w:lastRenderedPageBreak/>
        <w:t xml:space="preserve">Table S5.2. The 8 models and observations compared in Figure </w:t>
      </w:r>
      <w:r w:rsidR="00FF0282">
        <w:rPr>
          <w:rFonts w:ascii="Times New Roman" w:hAnsi="Times New Roman" w:cs="Times New Roman"/>
          <w:i w:val="0"/>
          <w:iCs w:val="0"/>
          <w:color w:val="auto"/>
          <w:sz w:val="24"/>
          <w:szCs w:val="24"/>
        </w:rPr>
        <w:t>5.</w:t>
      </w:r>
      <w:r w:rsidRPr="00216FF7">
        <w:rPr>
          <w:rFonts w:ascii="Times New Roman" w:hAnsi="Times New Roman" w:cs="Times New Roman"/>
          <w:i w:val="0"/>
          <w:iCs w:val="0"/>
          <w:color w:val="auto"/>
          <w:sz w:val="24"/>
          <w:szCs w:val="24"/>
        </w:rPr>
        <w:t>2.</w:t>
      </w:r>
      <w:bookmarkEnd w:id="138"/>
    </w:p>
    <w:tbl>
      <w:tblPr>
        <w:tblStyle w:val="PlainTable4"/>
        <w:tblW w:w="0" w:type="auto"/>
        <w:tblLook w:val="0620" w:firstRow="1" w:lastRow="0" w:firstColumn="0" w:lastColumn="0" w:noHBand="1" w:noVBand="1"/>
      </w:tblPr>
      <w:tblGrid>
        <w:gridCol w:w="1440"/>
        <w:gridCol w:w="3374"/>
        <w:gridCol w:w="3113"/>
        <w:gridCol w:w="1433"/>
      </w:tblGrid>
      <w:tr w:rsidR="00216FF7" w:rsidRPr="00216FF7" w14:paraId="63B5D03A" w14:textId="77777777" w:rsidTr="00A3132A">
        <w:trPr>
          <w:cnfStyle w:val="100000000000" w:firstRow="1" w:lastRow="0" w:firstColumn="0" w:lastColumn="0" w:oddVBand="0" w:evenVBand="0" w:oddHBand="0" w:evenHBand="0" w:firstRowFirstColumn="0" w:firstRowLastColumn="0" w:lastRowFirstColumn="0" w:lastRowLastColumn="0"/>
          <w:trHeight w:val="300"/>
        </w:trPr>
        <w:tc>
          <w:tcPr>
            <w:tcW w:w="1440" w:type="dxa"/>
            <w:tcBorders>
              <w:top w:val="single" w:sz="12" w:space="0" w:color="auto"/>
              <w:bottom w:val="single" w:sz="8" w:space="0" w:color="auto"/>
            </w:tcBorders>
            <w:noWrap/>
            <w:hideMark/>
          </w:tcPr>
          <w:p w14:paraId="1054FBB5" w14:textId="77777777" w:rsidR="00DD6148" w:rsidRPr="00216FF7" w:rsidRDefault="00DD6148" w:rsidP="00ED686E">
            <w:pPr>
              <w:spacing w:before="120" w:after="12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Dataset</w:t>
            </w:r>
          </w:p>
        </w:tc>
        <w:tc>
          <w:tcPr>
            <w:tcW w:w="3374" w:type="dxa"/>
            <w:tcBorders>
              <w:top w:val="single" w:sz="12" w:space="0" w:color="auto"/>
              <w:bottom w:val="single" w:sz="8" w:space="0" w:color="auto"/>
            </w:tcBorders>
            <w:noWrap/>
            <w:hideMark/>
          </w:tcPr>
          <w:p w14:paraId="27491484" w14:textId="77777777" w:rsidR="00DD6148" w:rsidRPr="00216FF7" w:rsidRDefault="00DD6148" w:rsidP="00ED686E">
            <w:pPr>
              <w:spacing w:before="120" w:after="12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Description</w:t>
            </w:r>
          </w:p>
        </w:tc>
        <w:tc>
          <w:tcPr>
            <w:tcW w:w="3113" w:type="dxa"/>
            <w:tcBorders>
              <w:top w:val="single" w:sz="12" w:space="0" w:color="auto"/>
              <w:bottom w:val="single" w:sz="8" w:space="0" w:color="auto"/>
            </w:tcBorders>
            <w:noWrap/>
            <w:hideMark/>
          </w:tcPr>
          <w:p w14:paraId="39A4C38D" w14:textId="77777777" w:rsidR="00DD6148" w:rsidRPr="00216FF7" w:rsidRDefault="00DD6148" w:rsidP="00ED686E">
            <w:pPr>
              <w:spacing w:before="120" w:after="12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Source</w:t>
            </w:r>
          </w:p>
        </w:tc>
        <w:tc>
          <w:tcPr>
            <w:tcW w:w="1433" w:type="dxa"/>
            <w:tcBorders>
              <w:top w:val="single" w:sz="12" w:space="0" w:color="auto"/>
              <w:bottom w:val="single" w:sz="8" w:space="0" w:color="auto"/>
            </w:tcBorders>
            <w:noWrap/>
            <w:hideMark/>
          </w:tcPr>
          <w:p w14:paraId="00EEC986" w14:textId="77777777" w:rsidR="00DD6148" w:rsidRPr="00216FF7" w:rsidRDefault="00DD6148" w:rsidP="00ED686E">
            <w:pPr>
              <w:spacing w:before="120" w:after="120"/>
              <w:rPr>
                <w:rFonts w:ascii="Times New Roman" w:eastAsia="Times New Roman" w:hAnsi="Times New Roman" w:cs="Times New Roman"/>
                <w:b w:val="0"/>
                <w:bCs w:val="0"/>
                <w:sz w:val="24"/>
                <w:szCs w:val="24"/>
              </w:rPr>
            </w:pPr>
            <w:r w:rsidRPr="00216FF7">
              <w:rPr>
                <w:rFonts w:ascii="Times New Roman" w:eastAsia="Times New Roman" w:hAnsi="Times New Roman" w:cs="Times New Roman"/>
                <w:b w:val="0"/>
                <w:bCs w:val="0"/>
                <w:sz w:val="24"/>
                <w:szCs w:val="24"/>
              </w:rPr>
              <w:t>Horizontal Grid Spacing</w:t>
            </w:r>
          </w:p>
        </w:tc>
      </w:tr>
      <w:tr w:rsidR="00216FF7" w:rsidRPr="00216FF7" w14:paraId="5980E939" w14:textId="77777777" w:rsidTr="00A3132A">
        <w:trPr>
          <w:trHeight w:val="300"/>
        </w:trPr>
        <w:tc>
          <w:tcPr>
            <w:tcW w:w="1440" w:type="dxa"/>
            <w:tcBorders>
              <w:top w:val="single" w:sz="8" w:space="0" w:color="auto"/>
            </w:tcBorders>
            <w:noWrap/>
            <w:hideMark/>
          </w:tcPr>
          <w:p w14:paraId="510223E7"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CMIP6-Raw</w:t>
            </w:r>
          </w:p>
        </w:tc>
        <w:tc>
          <w:tcPr>
            <w:tcW w:w="3374" w:type="dxa"/>
            <w:tcBorders>
              <w:top w:val="single" w:sz="8" w:space="0" w:color="auto"/>
            </w:tcBorders>
            <w:noWrap/>
            <w:hideMark/>
          </w:tcPr>
          <w:p w14:paraId="5A282A43" w14:textId="6B40D466"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 xml:space="preserve">6-model ensemble (See Table </w:t>
            </w:r>
            <w:r w:rsidR="00FE3C56">
              <w:rPr>
                <w:rFonts w:ascii="Times New Roman" w:eastAsia="Times New Roman" w:hAnsi="Times New Roman" w:cs="Times New Roman"/>
                <w:sz w:val="24"/>
                <w:szCs w:val="24"/>
              </w:rPr>
              <w:t>S</w:t>
            </w:r>
            <w:r w:rsidR="00FF0282">
              <w:rPr>
                <w:rFonts w:ascii="Times New Roman" w:eastAsia="Times New Roman" w:hAnsi="Times New Roman" w:cs="Times New Roman"/>
                <w:sz w:val="24"/>
                <w:szCs w:val="24"/>
              </w:rPr>
              <w:t>5.</w:t>
            </w:r>
            <w:r w:rsidRPr="00216FF7">
              <w:rPr>
                <w:rFonts w:ascii="Times New Roman" w:eastAsia="Times New Roman" w:hAnsi="Times New Roman" w:cs="Times New Roman"/>
                <w:sz w:val="24"/>
                <w:szCs w:val="24"/>
              </w:rPr>
              <w:t>1)</w:t>
            </w:r>
          </w:p>
        </w:tc>
        <w:tc>
          <w:tcPr>
            <w:tcW w:w="3113" w:type="dxa"/>
            <w:tcBorders>
              <w:top w:val="single" w:sz="8" w:space="0" w:color="auto"/>
            </w:tcBorders>
            <w:noWrap/>
            <w:hideMark/>
          </w:tcPr>
          <w:p w14:paraId="51EA21E8"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World Climate Research Program</w:t>
            </w:r>
          </w:p>
        </w:tc>
        <w:tc>
          <w:tcPr>
            <w:tcW w:w="1433" w:type="dxa"/>
            <w:tcBorders>
              <w:top w:val="single" w:sz="8" w:space="0" w:color="auto"/>
            </w:tcBorders>
            <w:noWrap/>
            <w:hideMark/>
          </w:tcPr>
          <w:p w14:paraId="1E23ABC2"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1⁰</w:t>
            </w:r>
          </w:p>
        </w:tc>
      </w:tr>
      <w:tr w:rsidR="00216FF7" w:rsidRPr="00216FF7" w14:paraId="12700091" w14:textId="77777777" w:rsidTr="00A3132A">
        <w:trPr>
          <w:trHeight w:val="300"/>
        </w:trPr>
        <w:tc>
          <w:tcPr>
            <w:tcW w:w="1440" w:type="dxa"/>
            <w:noWrap/>
            <w:hideMark/>
          </w:tcPr>
          <w:p w14:paraId="41800EF1"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Daymet</w:t>
            </w:r>
          </w:p>
        </w:tc>
        <w:tc>
          <w:tcPr>
            <w:tcW w:w="3374" w:type="dxa"/>
            <w:noWrap/>
            <w:hideMark/>
          </w:tcPr>
          <w:p w14:paraId="68CA0838"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 xml:space="preserve">Daily surface meteorological summaries </w:t>
            </w:r>
          </w:p>
        </w:tc>
        <w:tc>
          <w:tcPr>
            <w:tcW w:w="3113" w:type="dxa"/>
            <w:noWrap/>
            <w:hideMark/>
          </w:tcPr>
          <w:p w14:paraId="29AA2FED"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Oak Ridge National Lab Distributed Active Archive Center</w:t>
            </w:r>
          </w:p>
        </w:tc>
        <w:tc>
          <w:tcPr>
            <w:tcW w:w="1433" w:type="dxa"/>
            <w:noWrap/>
            <w:hideMark/>
          </w:tcPr>
          <w:p w14:paraId="00FD59F0"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 km</w:t>
            </w:r>
          </w:p>
        </w:tc>
      </w:tr>
      <w:tr w:rsidR="00216FF7" w:rsidRPr="00216FF7" w14:paraId="62CF5639" w14:textId="77777777" w:rsidTr="00A3132A">
        <w:trPr>
          <w:trHeight w:val="300"/>
        </w:trPr>
        <w:tc>
          <w:tcPr>
            <w:tcW w:w="1440" w:type="dxa"/>
            <w:noWrap/>
            <w:hideMark/>
          </w:tcPr>
          <w:p w14:paraId="6DD26CE0"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CMIP6-DBCCA</w:t>
            </w:r>
          </w:p>
        </w:tc>
        <w:tc>
          <w:tcPr>
            <w:tcW w:w="3374" w:type="dxa"/>
            <w:noWrap/>
            <w:hideMark/>
          </w:tcPr>
          <w:p w14:paraId="3CA7CD8A"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Statistical downscaling of CMIP6 with DBCCA and Daymet meteorology</w:t>
            </w:r>
          </w:p>
        </w:tc>
        <w:tc>
          <w:tcPr>
            <w:tcW w:w="3113" w:type="dxa"/>
            <w:noWrap/>
            <w:hideMark/>
          </w:tcPr>
          <w:p w14:paraId="0C85089E"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Werner &amp; Cannon, 2016</w:t>
            </w:r>
          </w:p>
        </w:tc>
        <w:tc>
          <w:tcPr>
            <w:tcW w:w="1433" w:type="dxa"/>
            <w:noWrap/>
            <w:hideMark/>
          </w:tcPr>
          <w:p w14:paraId="66A854F0"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1/24⁰</w:t>
            </w:r>
          </w:p>
        </w:tc>
      </w:tr>
      <w:tr w:rsidR="00216FF7" w:rsidRPr="00216FF7" w14:paraId="31E4FEFD" w14:textId="77777777" w:rsidTr="00A3132A">
        <w:trPr>
          <w:trHeight w:val="300"/>
        </w:trPr>
        <w:tc>
          <w:tcPr>
            <w:tcW w:w="1440" w:type="dxa"/>
            <w:noWrap/>
            <w:hideMark/>
          </w:tcPr>
          <w:p w14:paraId="472BBD25" w14:textId="77777777" w:rsidR="00DD6148" w:rsidRPr="00216FF7" w:rsidRDefault="00DD6148" w:rsidP="00ED686E">
            <w:pPr>
              <w:spacing w:before="120" w:after="120"/>
              <w:rPr>
                <w:rFonts w:ascii="Times New Roman" w:eastAsia="Times New Roman" w:hAnsi="Times New Roman" w:cs="Times New Roman"/>
                <w:sz w:val="24"/>
                <w:szCs w:val="24"/>
              </w:rPr>
            </w:pPr>
            <w:proofErr w:type="spellStart"/>
            <w:r w:rsidRPr="00216FF7">
              <w:rPr>
                <w:rFonts w:ascii="Times New Roman" w:eastAsia="Times New Roman" w:hAnsi="Times New Roman" w:cs="Times New Roman"/>
                <w:sz w:val="24"/>
                <w:szCs w:val="24"/>
              </w:rPr>
              <w:t>NClimGrid</w:t>
            </w:r>
            <w:proofErr w:type="spellEnd"/>
          </w:p>
        </w:tc>
        <w:tc>
          <w:tcPr>
            <w:tcW w:w="3374" w:type="dxa"/>
            <w:noWrap/>
            <w:hideMark/>
          </w:tcPr>
          <w:p w14:paraId="7404189E"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Monthly global climate observations</w:t>
            </w:r>
          </w:p>
        </w:tc>
        <w:tc>
          <w:tcPr>
            <w:tcW w:w="3113" w:type="dxa"/>
            <w:noWrap/>
            <w:hideMark/>
          </w:tcPr>
          <w:p w14:paraId="5C315FFB"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 xml:space="preserve">Global Historical Climatology Network </w:t>
            </w:r>
          </w:p>
        </w:tc>
        <w:tc>
          <w:tcPr>
            <w:tcW w:w="1433" w:type="dxa"/>
            <w:noWrap/>
            <w:hideMark/>
          </w:tcPr>
          <w:p w14:paraId="6D3C0050"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1/24⁰</w:t>
            </w:r>
          </w:p>
        </w:tc>
      </w:tr>
      <w:tr w:rsidR="00216FF7" w:rsidRPr="00216FF7" w14:paraId="2F020E8C" w14:textId="77777777" w:rsidTr="00A3132A">
        <w:trPr>
          <w:trHeight w:val="300"/>
        </w:trPr>
        <w:tc>
          <w:tcPr>
            <w:tcW w:w="1440" w:type="dxa"/>
            <w:noWrap/>
            <w:hideMark/>
          </w:tcPr>
          <w:p w14:paraId="3917088D"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PRISM</w:t>
            </w:r>
          </w:p>
        </w:tc>
        <w:tc>
          <w:tcPr>
            <w:tcW w:w="3374" w:type="dxa"/>
            <w:noWrap/>
            <w:hideMark/>
          </w:tcPr>
          <w:p w14:paraId="43AFDE7E"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Daily climate estimates based on observations</w:t>
            </w:r>
          </w:p>
        </w:tc>
        <w:tc>
          <w:tcPr>
            <w:tcW w:w="3113" w:type="dxa"/>
            <w:noWrap/>
            <w:hideMark/>
          </w:tcPr>
          <w:p w14:paraId="4CF7565F"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PRISM Climate Group, Oregon State University</w:t>
            </w:r>
          </w:p>
        </w:tc>
        <w:tc>
          <w:tcPr>
            <w:tcW w:w="1433" w:type="dxa"/>
            <w:noWrap/>
            <w:hideMark/>
          </w:tcPr>
          <w:p w14:paraId="47B9691B"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1/24⁰</w:t>
            </w:r>
          </w:p>
        </w:tc>
      </w:tr>
      <w:tr w:rsidR="00216FF7" w:rsidRPr="00216FF7" w14:paraId="67F1B9B5" w14:textId="77777777" w:rsidTr="00A3132A">
        <w:trPr>
          <w:trHeight w:val="300"/>
        </w:trPr>
        <w:tc>
          <w:tcPr>
            <w:tcW w:w="1440" w:type="dxa"/>
            <w:tcBorders>
              <w:bottom w:val="single" w:sz="18" w:space="0" w:color="auto"/>
            </w:tcBorders>
            <w:noWrap/>
            <w:hideMark/>
          </w:tcPr>
          <w:p w14:paraId="7CF4CD40"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CMIP6-RegCM4</w:t>
            </w:r>
          </w:p>
        </w:tc>
        <w:tc>
          <w:tcPr>
            <w:tcW w:w="3374" w:type="dxa"/>
            <w:tcBorders>
              <w:bottom w:val="single" w:sz="18" w:space="0" w:color="auto"/>
            </w:tcBorders>
            <w:noWrap/>
            <w:hideMark/>
          </w:tcPr>
          <w:p w14:paraId="5672F986"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Dynamical downscaling of CMIP6 with RegCM4 and Daymet meteorology</w:t>
            </w:r>
          </w:p>
        </w:tc>
        <w:tc>
          <w:tcPr>
            <w:tcW w:w="3113" w:type="dxa"/>
            <w:tcBorders>
              <w:bottom w:val="single" w:sz="18" w:space="0" w:color="auto"/>
            </w:tcBorders>
            <w:noWrap/>
            <w:hideMark/>
          </w:tcPr>
          <w:p w14:paraId="13DB6B77"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Giorgi et al. 2012</w:t>
            </w:r>
          </w:p>
        </w:tc>
        <w:tc>
          <w:tcPr>
            <w:tcW w:w="1433" w:type="dxa"/>
            <w:tcBorders>
              <w:bottom w:val="single" w:sz="18" w:space="0" w:color="auto"/>
            </w:tcBorders>
            <w:noWrap/>
            <w:hideMark/>
          </w:tcPr>
          <w:p w14:paraId="63B66947" w14:textId="77777777" w:rsidR="00DD6148" w:rsidRPr="00216FF7" w:rsidRDefault="00DD6148" w:rsidP="00ED686E">
            <w:pPr>
              <w:spacing w:before="120" w:after="120"/>
              <w:rPr>
                <w:rFonts w:ascii="Times New Roman" w:eastAsia="Times New Roman" w:hAnsi="Times New Roman" w:cs="Times New Roman"/>
                <w:sz w:val="24"/>
                <w:szCs w:val="24"/>
              </w:rPr>
            </w:pPr>
            <w:r w:rsidRPr="00216FF7">
              <w:rPr>
                <w:rFonts w:ascii="Times New Roman" w:eastAsia="Times New Roman" w:hAnsi="Times New Roman" w:cs="Times New Roman"/>
                <w:sz w:val="24"/>
                <w:szCs w:val="24"/>
              </w:rPr>
              <w:t>1/24⁰</w:t>
            </w:r>
          </w:p>
        </w:tc>
      </w:tr>
    </w:tbl>
    <w:p w14:paraId="3F6E4AB1" w14:textId="77777777" w:rsidR="00DD6148" w:rsidRPr="00216FF7" w:rsidRDefault="00DD6148" w:rsidP="00ED686E">
      <w:pPr>
        <w:spacing w:after="0" w:line="240" w:lineRule="auto"/>
        <w:rPr>
          <w:rFonts w:ascii="Times New Roman" w:eastAsia="Times New Roman" w:hAnsi="Times New Roman" w:cs="Times New Roman"/>
          <w:sz w:val="24"/>
          <w:szCs w:val="24"/>
        </w:rPr>
      </w:pPr>
    </w:p>
    <w:p w14:paraId="52A2FC2A" w14:textId="77777777" w:rsidR="00DD6148" w:rsidRPr="00216FF7" w:rsidRDefault="00DD6148" w:rsidP="00ED686E">
      <w:pPr>
        <w:spacing w:line="240" w:lineRule="auto"/>
        <w:rPr>
          <w:rFonts w:ascii="Times New Roman" w:hAnsi="Times New Roman" w:cs="Times New Roman"/>
          <w:sz w:val="24"/>
          <w:szCs w:val="24"/>
        </w:rPr>
      </w:pPr>
    </w:p>
    <w:p w14:paraId="51B0B9A3" w14:textId="77777777" w:rsidR="00DD6148" w:rsidRPr="00216FF7" w:rsidRDefault="00DD6148" w:rsidP="00ED686E">
      <w:pPr>
        <w:spacing w:line="240" w:lineRule="auto"/>
        <w:rPr>
          <w:rFonts w:ascii="Times New Roman" w:hAnsi="Times New Roman" w:cs="Times New Roman"/>
          <w:sz w:val="24"/>
          <w:szCs w:val="24"/>
        </w:rPr>
      </w:pPr>
      <w:r w:rsidRPr="00216FF7">
        <w:rPr>
          <w:rFonts w:ascii="Times New Roman" w:hAnsi="Times New Roman" w:cs="Times New Roman"/>
          <w:noProof/>
          <w:sz w:val="24"/>
          <w:szCs w:val="24"/>
        </w:rPr>
        <w:lastRenderedPageBreak/>
        <w:drawing>
          <wp:inline distT="0" distB="0" distL="0" distR="0" wp14:anchorId="45C86A98" wp14:editId="34AE29F4">
            <wp:extent cx="5476875" cy="3376821"/>
            <wp:effectExtent l="0" t="0" r="0" b="0"/>
            <wp:docPr id="57402521"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2521" name="Picture 1" descr="A map of the united states&#10;&#10;Description automatically generated"/>
                    <pic:cNvPicPr/>
                  </pic:nvPicPr>
                  <pic:blipFill>
                    <a:blip r:embed="rId86"/>
                    <a:stretch>
                      <a:fillRect/>
                    </a:stretch>
                  </pic:blipFill>
                  <pic:spPr>
                    <a:xfrm>
                      <a:off x="0" y="0"/>
                      <a:ext cx="5483772" cy="3381074"/>
                    </a:xfrm>
                    <a:prstGeom prst="rect">
                      <a:avLst/>
                    </a:prstGeom>
                  </pic:spPr>
                </pic:pic>
              </a:graphicData>
            </a:graphic>
          </wp:inline>
        </w:drawing>
      </w:r>
    </w:p>
    <w:p w14:paraId="03CE8F04" w14:textId="593F2C38" w:rsidR="00DD6148" w:rsidRPr="00216FF7" w:rsidRDefault="00DD6148" w:rsidP="00216FF7">
      <w:pPr>
        <w:pStyle w:val="Caption"/>
        <w:rPr>
          <w:rFonts w:ascii="Times New Roman" w:hAnsi="Times New Roman" w:cs="Times New Roman"/>
          <w:i w:val="0"/>
          <w:iCs w:val="0"/>
          <w:color w:val="auto"/>
          <w:sz w:val="24"/>
          <w:szCs w:val="24"/>
        </w:rPr>
      </w:pPr>
      <w:bookmarkStart w:id="139" w:name="_Toc184062937"/>
      <w:r w:rsidRPr="00216FF7">
        <w:rPr>
          <w:rFonts w:ascii="Times New Roman" w:hAnsi="Times New Roman" w:cs="Times New Roman"/>
          <w:i w:val="0"/>
          <w:iCs w:val="0"/>
          <w:noProof/>
          <w:color w:val="auto"/>
          <w:sz w:val="24"/>
          <w:szCs w:val="24"/>
        </w:rPr>
        <w:drawing>
          <wp:inline distT="0" distB="0" distL="0" distR="0" wp14:anchorId="188C3C3A" wp14:editId="56EF3497">
            <wp:extent cx="5553075" cy="3388206"/>
            <wp:effectExtent l="0" t="0" r="0" b="3175"/>
            <wp:docPr id="1979676572"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76572" name="Picture 1" descr="A map of the united states&#10;&#10;Description automatically generated"/>
                    <pic:cNvPicPr/>
                  </pic:nvPicPr>
                  <pic:blipFill>
                    <a:blip r:embed="rId87"/>
                    <a:stretch>
                      <a:fillRect/>
                    </a:stretch>
                  </pic:blipFill>
                  <pic:spPr>
                    <a:xfrm>
                      <a:off x="0" y="0"/>
                      <a:ext cx="5557048" cy="3390630"/>
                    </a:xfrm>
                    <a:prstGeom prst="rect">
                      <a:avLst/>
                    </a:prstGeom>
                  </pic:spPr>
                </pic:pic>
              </a:graphicData>
            </a:graphic>
          </wp:inline>
        </w:drawing>
      </w:r>
      <w:r w:rsidR="00216FF7" w:rsidRPr="00216FF7">
        <w:rPr>
          <w:rFonts w:ascii="Times New Roman" w:hAnsi="Times New Roman" w:cs="Times New Roman"/>
          <w:i w:val="0"/>
          <w:iCs w:val="0"/>
          <w:color w:val="auto"/>
          <w:sz w:val="24"/>
          <w:szCs w:val="24"/>
        </w:rPr>
        <w:t>Figure S6.1 A) Locations of the training dataset (80%). B) Locations of the validation dataset (20%).</w:t>
      </w:r>
      <w:bookmarkEnd w:id="139"/>
    </w:p>
    <w:p w14:paraId="2651360A" w14:textId="77777777" w:rsidR="00DD6148" w:rsidRPr="00216FF7" w:rsidRDefault="00DD6148" w:rsidP="00ED686E">
      <w:pPr>
        <w:spacing w:line="240" w:lineRule="auto"/>
        <w:rPr>
          <w:rFonts w:ascii="Times New Roman" w:hAnsi="Times New Roman" w:cs="Times New Roman"/>
          <w:sz w:val="24"/>
          <w:szCs w:val="24"/>
        </w:rPr>
      </w:pPr>
    </w:p>
    <w:p w14:paraId="1492F035" w14:textId="77777777" w:rsidR="00DD6148" w:rsidRPr="00216FF7" w:rsidRDefault="00DD6148" w:rsidP="00ED686E">
      <w:pPr>
        <w:spacing w:line="240" w:lineRule="auto"/>
        <w:rPr>
          <w:rFonts w:ascii="Times New Roman" w:hAnsi="Times New Roman" w:cs="Times New Roman"/>
          <w:sz w:val="24"/>
          <w:szCs w:val="24"/>
        </w:rPr>
      </w:pPr>
      <w:r w:rsidRPr="00216FF7">
        <w:rPr>
          <w:rFonts w:ascii="Times New Roman" w:hAnsi="Times New Roman" w:cs="Times New Roman"/>
          <w:noProof/>
          <w:sz w:val="24"/>
          <w:szCs w:val="24"/>
        </w:rPr>
        <w:lastRenderedPageBreak/>
        <w:drawing>
          <wp:inline distT="0" distB="0" distL="0" distR="0" wp14:anchorId="31C1758C" wp14:editId="65C75CE4">
            <wp:extent cx="5943600" cy="3645535"/>
            <wp:effectExtent l="0" t="0" r="0" b="0"/>
            <wp:docPr id="1482583917" name="Picture 1" descr="A graph of a number of numbers and a number of letters&#10;&#10;Description automatically generated with medium confidence">
              <a:extLst xmlns:a="http://schemas.openxmlformats.org/drawingml/2006/main">
                <a:ext uri="{FF2B5EF4-FFF2-40B4-BE49-F238E27FC236}">
                  <a16:creationId xmlns:a16="http://schemas.microsoft.com/office/drawing/2014/main" id="{BA9EF402-44BC-044F-0129-F483263B82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number of numbers and a number of letters&#10;&#10;Description automatically generated with medium confidence">
                      <a:extLst>
                        <a:ext uri="{FF2B5EF4-FFF2-40B4-BE49-F238E27FC236}">
                          <a16:creationId xmlns:a16="http://schemas.microsoft.com/office/drawing/2014/main" id="{BA9EF402-44BC-044F-0129-F483263B82C1}"/>
                        </a:ext>
                      </a:extLst>
                    </pic:cNvPr>
                    <pic:cNvPicPr>
                      <a:picLocks noChangeAspect="1"/>
                    </pic:cNvPicPr>
                  </pic:nvPicPr>
                  <pic:blipFill>
                    <a:blip r:embed="rId88"/>
                    <a:stretch>
                      <a:fillRect/>
                    </a:stretch>
                  </pic:blipFill>
                  <pic:spPr>
                    <a:xfrm>
                      <a:off x="0" y="0"/>
                      <a:ext cx="5943600" cy="3645535"/>
                    </a:xfrm>
                    <a:prstGeom prst="rect">
                      <a:avLst/>
                    </a:prstGeom>
                  </pic:spPr>
                </pic:pic>
              </a:graphicData>
            </a:graphic>
          </wp:inline>
        </w:drawing>
      </w:r>
    </w:p>
    <w:p w14:paraId="3586107C" w14:textId="67903E3A" w:rsidR="00DD6148" w:rsidRPr="00216FF7" w:rsidRDefault="00216FF7" w:rsidP="00216FF7">
      <w:pPr>
        <w:pStyle w:val="Caption"/>
        <w:rPr>
          <w:rFonts w:ascii="Times New Roman" w:hAnsi="Times New Roman" w:cs="Times New Roman"/>
          <w:i w:val="0"/>
          <w:iCs w:val="0"/>
          <w:color w:val="auto"/>
          <w:sz w:val="24"/>
          <w:szCs w:val="24"/>
        </w:rPr>
      </w:pPr>
      <w:bookmarkStart w:id="140" w:name="_Toc184062938"/>
      <w:r w:rsidRPr="00216FF7">
        <w:rPr>
          <w:rFonts w:ascii="Times New Roman" w:hAnsi="Times New Roman" w:cs="Times New Roman"/>
          <w:i w:val="0"/>
          <w:iCs w:val="0"/>
          <w:color w:val="auto"/>
          <w:sz w:val="24"/>
          <w:szCs w:val="24"/>
        </w:rPr>
        <w:t>Figure S6.2. Variable importance in the random forest model.</w:t>
      </w:r>
      <w:bookmarkEnd w:id="140"/>
    </w:p>
    <w:p w14:paraId="7333354B" w14:textId="77777777" w:rsidR="00DD6148" w:rsidRPr="00216FF7" w:rsidRDefault="00DD6148" w:rsidP="00ED686E">
      <w:pPr>
        <w:spacing w:line="240" w:lineRule="auto"/>
        <w:rPr>
          <w:rFonts w:ascii="Times New Roman" w:hAnsi="Times New Roman" w:cs="Times New Roman"/>
          <w:sz w:val="24"/>
          <w:szCs w:val="24"/>
        </w:rPr>
      </w:pPr>
      <w:r w:rsidRPr="00216FF7">
        <w:rPr>
          <w:rFonts w:ascii="Times New Roman" w:hAnsi="Times New Roman" w:cs="Times New Roman"/>
          <w:noProof/>
          <w:sz w:val="24"/>
          <w:szCs w:val="24"/>
        </w:rPr>
        <w:drawing>
          <wp:inline distT="0" distB="0" distL="0" distR="0" wp14:anchorId="2C437949" wp14:editId="3390B2EC">
            <wp:extent cx="5943600" cy="2727960"/>
            <wp:effectExtent l="0" t="0" r="0" b="0"/>
            <wp:docPr id="11" name="Picture 10" descr="A screenshot of a computer graphics&#10;&#10;Description automatically generated">
              <a:extLst xmlns:a="http://schemas.openxmlformats.org/drawingml/2006/main">
                <a:ext uri="{FF2B5EF4-FFF2-40B4-BE49-F238E27FC236}">
                  <a16:creationId xmlns:a16="http://schemas.microsoft.com/office/drawing/2014/main" id="{F83ADCE0-4641-1EBF-B16A-39A72E94B1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screenshot of a computer graphics&#10;&#10;Description automatically generated">
                      <a:extLst>
                        <a:ext uri="{FF2B5EF4-FFF2-40B4-BE49-F238E27FC236}">
                          <a16:creationId xmlns:a16="http://schemas.microsoft.com/office/drawing/2014/main" id="{F83ADCE0-4641-1EBF-B16A-39A72E94B1DC}"/>
                        </a:ext>
                      </a:extLst>
                    </pic:cNvPr>
                    <pic:cNvPicPr>
                      <a:picLocks noChangeAspect="1"/>
                    </pic:cNvPicPr>
                  </pic:nvPicPr>
                  <pic:blipFill>
                    <a:blip r:embed="rId89"/>
                    <a:stretch>
                      <a:fillRect/>
                    </a:stretch>
                  </pic:blipFill>
                  <pic:spPr>
                    <a:xfrm>
                      <a:off x="0" y="0"/>
                      <a:ext cx="5943600" cy="2727960"/>
                    </a:xfrm>
                    <a:prstGeom prst="rect">
                      <a:avLst/>
                    </a:prstGeom>
                  </pic:spPr>
                </pic:pic>
              </a:graphicData>
            </a:graphic>
          </wp:inline>
        </w:drawing>
      </w:r>
    </w:p>
    <w:p w14:paraId="55A69240" w14:textId="23B027C4" w:rsidR="00DD6148" w:rsidRPr="00216FF7" w:rsidRDefault="00216FF7" w:rsidP="00216FF7">
      <w:pPr>
        <w:pStyle w:val="Caption"/>
        <w:rPr>
          <w:rFonts w:ascii="Times New Roman" w:hAnsi="Times New Roman" w:cs="Times New Roman"/>
          <w:i w:val="0"/>
          <w:iCs w:val="0"/>
          <w:color w:val="auto"/>
          <w:sz w:val="24"/>
          <w:szCs w:val="24"/>
        </w:rPr>
      </w:pPr>
      <w:bookmarkStart w:id="141" w:name="_Toc184062939"/>
      <w:r w:rsidRPr="00216FF7">
        <w:rPr>
          <w:rFonts w:ascii="Times New Roman" w:hAnsi="Times New Roman" w:cs="Times New Roman"/>
          <w:i w:val="0"/>
          <w:iCs w:val="0"/>
          <w:color w:val="auto"/>
          <w:sz w:val="24"/>
          <w:szCs w:val="24"/>
        </w:rPr>
        <w:t>Figure S6.3. The fit of the random forest model.</w:t>
      </w:r>
      <w:bookmarkEnd w:id="141"/>
    </w:p>
    <w:p w14:paraId="724573D1" w14:textId="77777777" w:rsidR="00DD6148" w:rsidRPr="00216FF7" w:rsidRDefault="00DD6148" w:rsidP="00ED686E">
      <w:pPr>
        <w:spacing w:line="240" w:lineRule="auto"/>
        <w:rPr>
          <w:rFonts w:ascii="Times New Roman" w:hAnsi="Times New Roman" w:cs="Times New Roman"/>
          <w:sz w:val="24"/>
          <w:szCs w:val="24"/>
        </w:rPr>
      </w:pPr>
      <w:r w:rsidRPr="00216FF7">
        <w:rPr>
          <w:rFonts w:ascii="Times New Roman" w:hAnsi="Times New Roman" w:cs="Times New Roman"/>
          <w:noProof/>
          <w:sz w:val="24"/>
          <w:szCs w:val="24"/>
        </w:rPr>
        <w:lastRenderedPageBreak/>
        <w:drawing>
          <wp:inline distT="0" distB="0" distL="0" distR="0" wp14:anchorId="512CD390" wp14:editId="3FBD0E42">
            <wp:extent cx="5943600" cy="2900045"/>
            <wp:effectExtent l="0" t="0" r="0" b="0"/>
            <wp:docPr id="165790822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908222" name="Picture 1" descr="A screenshot of a graph&#10;&#10;Description automatically generated"/>
                    <pic:cNvPicPr/>
                  </pic:nvPicPr>
                  <pic:blipFill>
                    <a:blip r:embed="rId90"/>
                    <a:stretch>
                      <a:fillRect/>
                    </a:stretch>
                  </pic:blipFill>
                  <pic:spPr>
                    <a:xfrm>
                      <a:off x="0" y="0"/>
                      <a:ext cx="5943600" cy="2900045"/>
                    </a:xfrm>
                    <a:prstGeom prst="rect">
                      <a:avLst/>
                    </a:prstGeom>
                  </pic:spPr>
                </pic:pic>
              </a:graphicData>
            </a:graphic>
          </wp:inline>
        </w:drawing>
      </w:r>
    </w:p>
    <w:p w14:paraId="6D791F92" w14:textId="37F244DF" w:rsidR="00DD6148" w:rsidRPr="00216FF7" w:rsidRDefault="00216FF7" w:rsidP="00216FF7">
      <w:pPr>
        <w:pStyle w:val="Caption"/>
        <w:rPr>
          <w:rFonts w:ascii="Times New Roman" w:hAnsi="Times New Roman" w:cs="Times New Roman"/>
          <w:i w:val="0"/>
          <w:iCs w:val="0"/>
          <w:color w:val="auto"/>
          <w:sz w:val="24"/>
          <w:szCs w:val="24"/>
        </w:rPr>
      </w:pPr>
      <w:bookmarkStart w:id="142" w:name="_Toc184062940"/>
      <w:r w:rsidRPr="00216FF7">
        <w:rPr>
          <w:rFonts w:ascii="Times New Roman" w:hAnsi="Times New Roman" w:cs="Times New Roman"/>
          <w:i w:val="0"/>
          <w:iCs w:val="0"/>
          <w:color w:val="auto"/>
          <w:sz w:val="24"/>
          <w:szCs w:val="24"/>
        </w:rPr>
        <w:t xml:space="preserve">Figure S6.4. The change in annual SOC (kg/m2) in CONUS regions experiencing a wildfire, one year before the fire, one year after the fire, the year of the fire, and 5 years after the fire. </w:t>
      </w:r>
      <w:r w:rsidR="00DD6148" w:rsidRPr="00216FF7">
        <w:rPr>
          <w:rFonts w:ascii="Times New Roman" w:hAnsi="Times New Roman" w:cs="Times New Roman"/>
          <w:i w:val="0"/>
          <w:iCs w:val="0"/>
          <w:color w:val="auto"/>
          <w:sz w:val="24"/>
          <w:szCs w:val="24"/>
        </w:rPr>
        <w:t xml:space="preserve">Regions experiencing </w:t>
      </w:r>
      <w:proofErr w:type="gramStart"/>
      <w:r w:rsidR="00DD6148" w:rsidRPr="00216FF7">
        <w:rPr>
          <w:rFonts w:ascii="Times New Roman" w:hAnsi="Times New Roman" w:cs="Times New Roman"/>
          <w:i w:val="0"/>
          <w:iCs w:val="0"/>
          <w:color w:val="auto"/>
          <w:sz w:val="24"/>
          <w:szCs w:val="24"/>
        </w:rPr>
        <w:t>a wildfire</w:t>
      </w:r>
      <w:proofErr w:type="gramEnd"/>
      <w:r w:rsidR="00DD6148" w:rsidRPr="00216FF7">
        <w:rPr>
          <w:rFonts w:ascii="Times New Roman" w:hAnsi="Times New Roman" w:cs="Times New Roman"/>
          <w:i w:val="0"/>
          <w:iCs w:val="0"/>
          <w:color w:val="auto"/>
          <w:sz w:val="24"/>
          <w:szCs w:val="24"/>
        </w:rPr>
        <w:t xml:space="preserve"> were delineated using the USGS’s Monitoring Trends in Burn Severity (MTBS) dataset of annual burned area boundaries.</w:t>
      </w:r>
      <w:bookmarkEnd w:id="142"/>
      <w:r w:rsidR="00DD6148" w:rsidRPr="00216FF7">
        <w:rPr>
          <w:rFonts w:ascii="Times New Roman" w:hAnsi="Times New Roman" w:cs="Times New Roman"/>
          <w:i w:val="0"/>
          <w:iCs w:val="0"/>
          <w:color w:val="auto"/>
          <w:sz w:val="24"/>
          <w:szCs w:val="24"/>
        </w:rPr>
        <w:t xml:space="preserve"> </w:t>
      </w:r>
    </w:p>
    <w:p w14:paraId="6C4AF2A7" w14:textId="64490177" w:rsidR="0001156B" w:rsidRPr="00216FF7" w:rsidRDefault="00DD6148" w:rsidP="00104753">
      <w:pPr>
        <w:pStyle w:val="Caption"/>
        <w:rPr>
          <w:rFonts w:ascii="Times New Roman" w:hAnsi="Times New Roman" w:cs="Times New Roman"/>
          <w:i w:val="0"/>
          <w:iCs w:val="0"/>
          <w:color w:val="auto"/>
          <w:sz w:val="24"/>
          <w:szCs w:val="24"/>
        </w:rPr>
      </w:pPr>
      <w:bookmarkStart w:id="143" w:name="_Toc184062941"/>
      <w:r w:rsidRPr="00216FF7">
        <w:rPr>
          <w:rFonts w:ascii="Times New Roman" w:hAnsi="Times New Roman" w:cs="Times New Roman"/>
          <w:i w:val="0"/>
          <w:iCs w:val="0"/>
          <w:noProof/>
          <w:color w:val="auto"/>
          <w:sz w:val="24"/>
          <w:szCs w:val="24"/>
        </w:rPr>
        <w:lastRenderedPageBreak/>
        <w:drawing>
          <wp:inline distT="0" distB="0" distL="0" distR="0" wp14:anchorId="52D8D6BD" wp14:editId="63B2E58D">
            <wp:extent cx="5620534" cy="7240010"/>
            <wp:effectExtent l="0" t="0" r="0" b="0"/>
            <wp:docPr id="1028317389"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17389" name="Picture 1" descr="A map of the united states&#10;&#10;Description automatically generated"/>
                    <pic:cNvPicPr/>
                  </pic:nvPicPr>
                  <pic:blipFill>
                    <a:blip r:embed="rId91"/>
                    <a:stretch>
                      <a:fillRect/>
                    </a:stretch>
                  </pic:blipFill>
                  <pic:spPr>
                    <a:xfrm>
                      <a:off x="0" y="0"/>
                      <a:ext cx="5620534" cy="7240010"/>
                    </a:xfrm>
                    <a:prstGeom prst="rect">
                      <a:avLst/>
                    </a:prstGeom>
                  </pic:spPr>
                </pic:pic>
              </a:graphicData>
            </a:graphic>
          </wp:inline>
        </w:drawing>
      </w:r>
      <w:r w:rsidR="00216FF7" w:rsidRPr="00216FF7">
        <w:rPr>
          <w:rFonts w:ascii="Times New Roman" w:hAnsi="Times New Roman" w:cs="Times New Roman"/>
          <w:i w:val="0"/>
          <w:iCs w:val="0"/>
          <w:color w:val="auto"/>
          <w:sz w:val="24"/>
          <w:szCs w:val="24"/>
        </w:rPr>
        <w:t xml:space="preserve"> Figure S6.5. The percentage of farmland in each USDA farm resource region </w:t>
      </w:r>
      <w:proofErr w:type="gramStart"/>
      <w:r w:rsidR="00216FF7" w:rsidRPr="00216FF7">
        <w:rPr>
          <w:rFonts w:ascii="Times New Roman" w:hAnsi="Times New Roman" w:cs="Times New Roman"/>
          <w:i w:val="0"/>
          <w:iCs w:val="0"/>
          <w:color w:val="auto"/>
          <w:sz w:val="24"/>
          <w:szCs w:val="24"/>
        </w:rPr>
        <w:t>under</w:t>
      </w:r>
      <w:proofErr w:type="gramEnd"/>
      <w:r w:rsidR="00216FF7" w:rsidRPr="00216FF7">
        <w:rPr>
          <w:rFonts w:ascii="Times New Roman" w:hAnsi="Times New Roman" w:cs="Times New Roman"/>
          <w:i w:val="0"/>
          <w:iCs w:val="0"/>
          <w:color w:val="auto"/>
          <w:sz w:val="24"/>
          <w:szCs w:val="24"/>
        </w:rPr>
        <w:t xml:space="preserve"> intensive tilling for all crops for 8 select years.</w:t>
      </w:r>
      <w:r w:rsidRPr="00216FF7">
        <w:rPr>
          <w:rFonts w:ascii="Times New Roman" w:hAnsi="Times New Roman" w:cs="Times New Roman"/>
          <w:i w:val="0"/>
          <w:iCs w:val="0"/>
          <w:color w:val="auto"/>
          <w:sz w:val="24"/>
          <w:szCs w:val="24"/>
        </w:rPr>
        <w:t xml:space="preserve"> Regions not managed with intensive tilling are instead managed with either reduced tillage or conservation tillage which includes no-till, mulch, and ridge tillage.</w:t>
      </w:r>
      <w:bookmarkEnd w:id="143"/>
      <w:r w:rsidRPr="00216FF7">
        <w:rPr>
          <w:rFonts w:ascii="Times New Roman" w:hAnsi="Times New Roman" w:cs="Times New Roman"/>
          <w:i w:val="0"/>
          <w:iCs w:val="0"/>
          <w:color w:val="auto"/>
          <w:sz w:val="24"/>
          <w:szCs w:val="24"/>
        </w:rPr>
        <w:t xml:space="preserve"> </w:t>
      </w:r>
      <w:r w:rsidR="0001156B" w:rsidRPr="00216FF7">
        <w:rPr>
          <w:rFonts w:ascii="Times New Roman" w:hAnsi="Times New Roman" w:cs="Times New Roman"/>
          <w:i w:val="0"/>
          <w:iCs w:val="0"/>
          <w:color w:val="auto"/>
          <w:sz w:val="24"/>
          <w:szCs w:val="24"/>
        </w:rPr>
        <w:br w:type="page"/>
      </w:r>
    </w:p>
    <w:p w14:paraId="2DB2832A" w14:textId="1B633210" w:rsidR="00590FC1" w:rsidRPr="008E4EFB" w:rsidRDefault="0001156B" w:rsidP="003D389F">
      <w:pPr>
        <w:pStyle w:val="Style1"/>
        <w:numPr>
          <w:ilvl w:val="0"/>
          <w:numId w:val="0"/>
        </w:numPr>
        <w:spacing w:before="0" w:line="360" w:lineRule="auto"/>
        <w:rPr>
          <w:color w:val="auto"/>
          <w:sz w:val="24"/>
          <w:szCs w:val="24"/>
        </w:rPr>
      </w:pPr>
      <w:bookmarkStart w:id="144" w:name="_Toc179918005"/>
      <w:r w:rsidRPr="008E4EFB">
        <w:rPr>
          <w:color w:val="auto"/>
          <w:sz w:val="24"/>
          <w:szCs w:val="24"/>
        </w:rPr>
        <w:lastRenderedPageBreak/>
        <w:t>Vita</w:t>
      </w:r>
      <w:bookmarkEnd w:id="144"/>
    </w:p>
    <w:p w14:paraId="15BDBD40" w14:textId="6395E030" w:rsidR="00716844" w:rsidRPr="008E4EFB" w:rsidRDefault="00C00AC9" w:rsidP="003D389F">
      <w:pPr>
        <w:spacing w:after="0" w:line="360" w:lineRule="auto"/>
        <w:rPr>
          <w:rFonts w:ascii="Times New Roman" w:hAnsi="Times New Roman" w:cs="Times New Roman"/>
          <w:sz w:val="24"/>
          <w:szCs w:val="24"/>
        </w:rPr>
      </w:pPr>
      <w:r w:rsidRPr="008E4EFB">
        <w:rPr>
          <w:rFonts w:ascii="Times New Roman" w:hAnsi="Times New Roman" w:cs="Times New Roman"/>
          <w:sz w:val="24"/>
          <w:szCs w:val="24"/>
        </w:rPr>
        <w:t>Hannah Rubin was born in Knoxville, Tennessee but grew up in Bangor</w:t>
      </w:r>
      <w:r w:rsidR="0046739F" w:rsidRPr="008E4EFB">
        <w:rPr>
          <w:rFonts w:ascii="Times New Roman" w:hAnsi="Times New Roman" w:cs="Times New Roman"/>
          <w:sz w:val="24"/>
          <w:szCs w:val="24"/>
        </w:rPr>
        <w:t xml:space="preserve">, </w:t>
      </w:r>
      <w:r w:rsidRPr="008E4EFB">
        <w:rPr>
          <w:rFonts w:ascii="Times New Roman" w:hAnsi="Times New Roman" w:cs="Times New Roman"/>
          <w:sz w:val="24"/>
          <w:szCs w:val="24"/>
        </w:rPr>
        <w:t xml:space="preserve">Maine. She </w:t>
      </w:r>
      <w:r w:rsidR="009361F7" w:rsidRPr="008E4EFB">
        <w:rPr>
          <w:rFonts w:ascii="Times New Roman" w:hAnsi="Times New Roman" w:cs="Times New Roman"/>
          <w:sz w:val="24"/>
          <w:szCs w:val="24"/>
        </w:rPr>
        <w:t xml:space="preserve">attended Dartmouth College </w:t>
      </w:r>
      <w:r w:rsidR="00136F99" w:rsidRPr="008E4EFB">
        <w:rPr>
          <w:rFonts w:ascii="Times New Roman" w:hAnsi="Times New Roman" w:cs="Times New Roman"/>
          <w:sz w:val="24"/>
          <w:szCs w:val="24"/>
        </w:rPr>
        <w:t xml:space="preserve">in New Hampshire </w:t>
      </w:r>
      <w:r w:rsidR="009361F7" w:rsidRPr="008E4EFB">
        <w:rPr>
          <w:rFonts w:ascii="Times New Roman" w:hAnsi="Times New Roman" w:cs="Times New Roman"/>
          <w:sz w:val="24"/>
          <w:szCs w:val="24"/>
        </w:rPr>
        <w:t xml:space="preserve">and graduated with a bachelor's degree </w:t>
      </w:r>
      <w:r w:rsidR="0042733D" w:rsidRPr="008E4EFB">
        <w:rPr>
          <w:rFonts w:ascii="Times New Roman" w:hAnsi="Times New Roman" w:cs="Times New Roman"/>
          <w:sz w:val="24"/>
          <w:szCs w:val="24"/>
        </w:rPr>
        <w:t>in</w:t>
      </w:r>
      <w:r w:rsidR="009361F7" w:rsidRPr="008E4EFB">
        <w:rPr>
          <w:rFonts w:ascii="Times New Roman" w:hAnsi="Times New Roman" w:cs="Times New Roman"/>
          <w:sz w:val="24"/>
          <w:szCs w:val="24"/>
        </w:rPr>
        <w:t xml:space="preserve"> </w:t>
      </w:r>
      <w:r w:rsidR="0042733D" w:rsidRPr="008E4EFB">
        <w:rPr>
          <w:rFonts w:ascii="Times New Roman" w:hAnsi="Times New Roman" w:cs="Times New Roman"/>
          <w:sz w:val="24"/>
          <w:szCs w:val="24"/>
        </w:rPr>
        <w:t>E</w:t>
      </w:r>
      <w:r w:rsidR="009361F7" w:rsidRPr="008E4EFB">
        <w:rPr>
          <w:rFonts w:ascii="Times New Roman" w:hAnsi="Times New Roman" w:cs="Times New Roman"/>
          <w:sz w:val="24"/>
          <w:szCs w:val="24"/>
        </w:rPr>
        <w:t xml:space="preserve">arth </w:t>
      </w:r>
      <w:r w:rsidR="0042733D" w:rsidRPr="008E4EFB">
        <w:rPr>
          <w:rFonts w:ascii="Times New Roman" w:hAnsi="Times New Roman" w:cs="Times New Roman"/>
          <w:sz w:val="24"/>
          <w:szCs w:val="24"/>
        </w:rPr>
        <w:t>S</w:t>
      </w:r>
      <w:r w:rsidR="009361F7" w:rsidRPr="008E4EFB">
        <w:rPr>
          <w:rFonts w:ascii="Times New Roman" w:hAnsi="Times New Roman" w:cs="Times New Roman"/>
          <w:sz w:val="24"/>
          <w:szCs w:val="24"/>
        </w:rPr>
        <w:t xml:space="preserve">cience and </w:t>
      </w:r>
      <w:r w:rsidR="0042733D" w:rsidRPr="008E4EFB">
        <w:rPr>
          <w:rFonts w:ascii="Times New Roman" w:hAnsi="Times New Roman" w:cs="Times New Roman"/>
          <w:sz w:val="24"/>
          <w:szCs w:val="24"/>
        </w:rPr>
        <w:t>G</w:t>
      </w:r>
      <w:r w:rsidR="009361F7" w:rsidRPr="008E4EFB">
        <w:rPr>
          <w:rFonts w:ascii="Times New Roman" w:hAnsi="Times New Roman" w:cs="Times New Roman"/>
          <w:sz w:val="24"/>
          <w:szCs w:val="24"/>
        </w:rPr>
        <w:t>eography</w:t>
      </w:r>
      <w:r w:rsidR="004D6D0A" w:rsidRPr="008E4EFB">
        <w:rPr>
          <w:rFonts w:ascii="Times New Roman" w:hAnsi="Times New Roman" w:cs="Times New Roman"/>
          <w:sz w:val="24"/>
          <w:szCs w:val="24"/>
        </w:rPr>
        <w:t xml:space="preserve"> in 2020</w:t>
      </w:r>
      <w:r w:rsidR="009361F7" w:rsidRPr="008E4EFB">
        <w:rPr>
          <w:rFonts w:ascii="Times New Roman" w:hAnsi="Times New Roman" w:cs="Times New Roman"/>
          <w:sz w:val="24"/>
          <w:szCs w:val="24"/>
        </w:rPr>
        <w:t xml:space="preserve">. </w:t>
      </w:r>
      <w:r w:rsidR="0042733D" w:rsidRPr="008E4EFB">
        <w:rPr>
          <w:rFonts w:ascii="Times New Roman" w:hAnsi="Times New Roman" w:cs="Times New Roman"/>
          <w:sz w:val="24"/>
          <w:szCs w:val="24"/>
        </w:rPr>
        <w:t xml:space="preserve">She wrote her </w:t>
      </w:r>
      <w:r w:rsidR="00136F99" w:rsidRPr="008E4EFB">
        <w:rPr>
          <w:rFonts w:ascii="Times New Roman" w:hAnsi="Times New Roman" w:cs="Times New Roman"/>
          <w:sz w:val="24"/>
          <w:szCs w:val="24"/>
        </w:rPr>
        <w:t xml:space="preserve">senior </w:t>
      </w:r>
      <w:r w:rsidR="0042733D" w:rsidRPr="008E4EFB">
        <w:rPr>
          <w:rFonts w:ascii="Times New Roman" w:hAnsi="Times New Roman" w:cs="Times New Roman"/>
          <w:sz w:val="24"/>
          <w:szCs w:val="24"/>
        </w:rPr>
        <w:t>honors thesis on</w:t>
      </w:r>
      <w:r w:rsidR="00716844" w:rsidRPr="008E4EFB">
        <w:rPr>
          <w:rFonts w:ascii="Times New Roman" w:hAnsi="Times New Roman" w:cs="Times New Roman"/>
          <w:sz w:val="24"/>
          <w:szCs w:val="24"/>
        </w:rPr>
        <w:t xml:space="preserve"> improving remote sensing of lake water clarity with machine learning. </w:t>
      </w:r>
      <w:r w:rsidR="00C20E30" w:rsidRPr="008E4EFB">
        <w:rPr>
          <w:rFonts w:ascii="Times New Roman" w:hAnsi="Times New Roman" w:cs="Times New Roman"/>
          <w:sz w:val="24"/>
          <w:szCs w:val="24"/>
        </w:rPr>
        <w:t xml:space="preserve">She then pursued her </w:t>
      </w:r>
      <w:r w:rsidR="00136F99" w:rsidRPr="008E4EFB">
        <w:rPr>
          <w:rFonts w:ascii="Times New Roman" w:hAnsi="Times New Roman" w:cs="Times New Roman"/>
          <w:sz w:val="24"/>
          <w:szCs w:val="24"/>
        </w:rPr>
        <w:t xml:space="preserve">interest in human-environment connections by beginning a </w:t>
      </w:r>
      <w:r w:rsidR="00C20E30" w:rsidRPr="008E4EFB">
        <w:rPr>
          <w:rFonts w:ascii="Times New Roman" w:hAnsi="Times New Roman" w:cs="Times New Roman"/>
          <w:sz w:val="24"/>
          <w:szCs w:val="24"/>
        </w:rPr>
        <w:t>PhD in Civil and Environmental Engineering at the University of Tennessee in Knoxville</w:t>
      </w:r>
      <w:r w:rsidR="00136F99" w:rsidRPr="008E4EFB">
        <w:rPr>
          <w:rFonts w:ascii="Times New Roman" w:hAnsi="Times New Roman" w:cs="Times New Roman"/>
          <w:sz w:val="24"/>
          <w:szCs w:val="24"/>
        </w:rPr>
        <w:t xml:space="preserve">. </w:t>
      </w:r>
      <w:r w:rsidR="00AA430A" w:rsidRPr="008E4EFB">
        <w:rPr>
          <w:rFonts w:ascii="Times New Roman" w:hAnsi="Times New Roman" w:cs="Times New Roman"/>
          <w:sz w:val="24"/>
          <w:szCs w:val="24"/>
        </w:rPr>
        <w:t>Her research is on mapping</w:t>
      </w:r>
      <w:r w:rsidR="00136F99" w:rsidRPr="008E4EFB">
        <w:rPr>
          <w:rFonts w:ascii="Times New Roman" w:hAnsi="Times New Roman" w:cs="Times New Roman"/>
          <w:sz w:val="24"/>
          <w:szCs w:val="24"/>
        </w:rPr>
        <w:t xml:space="preserve"> climate</w:t>
      </w:r>
      <w:r w:rsidR="00AA430A" w:rsidRPr="008E4EFB">
        <w:rPr>
          <w:rFonts w:ascii="Times New Roman" w:hAnsi="Times New Roman" w:cs="Times New Roman"/>
          <w:sz w:val="24"/>
          <w:szCs w:val="24"/>
        </w:rPr>
        <w:t xml:space="preserve"> </w:t>
      </w:r>
      <w:r w:rsidR="009259AB" w:rsidRPr="008E4EFB">
        <w:rPr>
          <w:rFonts w:ascii="Times New Roman" w:hAnsi="Times New Roman" w:cs="Times New Roman"/>
          <w:sz w:val="24"/>
          <w:szCs w:val="24"/>
        </w:rPr>
        <w:t>change and air pollution</w:t>
      </w:r>
      <w:r w:rsidR="00AA430A" w:rsidRPr="008E4EFB">
        <w:rPr>
          <w:rFonts w:ascii="Times New Roman" w:hAnsi="Times New Roman" w:cs="Times New Roman"/>
          <w:sz w:val="24"/>
          <w:szCs w:val="24"/>
        </w:rPr>
        <w:t xml:space="preserve"> with machine learning. She now works as an environmental modeler </w:t>
      </w:r>
      <w:r w:rsidR="009259AB" w:rsidRPr="008E4EFB">
        <w:rPr>
          <w:rFonts w:ascii="Times New Roman" w:hAnsi="Times New Roman" w:cs="Times New Roman"/>
          <w:sz w:val="24"/>
          <w:szCs w:val="24"/>
        </w:rPr>
        <w:t xml:space="preserve">at a midsize environmental consulting firm in Vermont. </w:t>
      </w:r>
    </w:p>
    <w:p w14:paraId="31D170EB" w14:textId="6C8C1991" w:rsidR="0001156B" w:rsidRPr="008E4EFB" w:rsidRDefault="0001156B" w:rsidP="00ED686E">
      <w:pPr>
        <w:spacing w:before="240" w:line="240" w:lineRule="auto"/>
        <w:rPr>
          <w:rFonts w:ascii="Times New Roman" w:hAnsi="Times New Roman" w:cs="Times New Roman"/>
          <w:sz w:val="24"/>
          <w:szCs w:val="24"/>
        </w:rPr>
      </w:pPr>
    </w:p>
    <w:sectPr w:rsidR="0001156B" w:rsidRPr="008E4EFB" w:rsidSect="0016164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F9A595" w14:textId="77777777" w:rsidR="0089108F" w:rsidRDefault="0089108F" w:rsidP="00C87B9B">
      <w:pPr>
        <w:spacing w:after="0" w:line="240" w:lineRule="auto"/>
      </w:pPr>
      <w:r>
        <w:separator/>
      </w:r>
    </w:p>
    <w:p w14:paraId="0C522078" w14:textId="77777777" w:rsidR="0089108F" w:rsidRDefault="0089108F"/>
  </w:endnote>
  <w:endnote w:type="continuationSeparator" w:id="0">
    <w:p w14:paraId="33B43B68" w14:textId="77777777" w:rsidR="0089108F" w:rsidRDefault="0089108F" w:rsidP="00C87B9B">
      <w:pPr>
        <w:spacing w:after="0" w:line="240" w:lineRule="auto"/>
      </w:pPr>
      <w:r>
        <w:continuationSeparator/>
      </w:r>
    </w:p>
    <w:p w14:paraId="2457DA80" w14:textId="77777777" w:rsidR="0089108F" w:rsidRDefault="008910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28850932"/>
      <w:docPartObj>
        <w:docPartGallery w:val="Page Numbers (Bottom of Page)"/>
        <w:docPartUnique/>
      </w:docPartObj>
    </w:sdtPr>
    <w:sdtEndPr>
      <w:rPr>
        <w:noProof/>
      </w:rPr>
    </w:sdtEndPr>
    <w:sdtContent>
      <w:p w14:paraId="69FC2893" w14:textId="19DE755A" w:rsidR="00BC14C1" w:rsidRPr="00093E6F" w:rsidRDefault="00AC2049" w:rsidP="00C12D8F">
        <w:pPr>
          <w:pStyle w:val="Footer"/>
          <w:jc w:val="center"/>
          <w:rPr>
            <w:rFonts w:ascii="Times New Roman" w:hAnsi="Times New Roman" w:cs="Times New Roman"/>
            <w:sz w:val="24"/>
            <w:szCs w:val="24"/>
          </w:rPr>
        </w:pPr>
        <w:r w:rsidRPr="00093E6F">
          <w:rPr>
            <w:rFonts w:ascii="Times New Roman" w:hAnsi="Times New Roman" w:cs="Times New Roman"/>
            <w:sz w:val="24"/>
            <w:szCs w:val="24"/>
          </w:rPr>
          <w:fldChar w:fldCharType="begin"/>
        </w:r>
        <w:r w:rsidRPr="00093E6F">
          <w:rPr>
            <w:rFonts w:ascii="Times New Roman" w:hAnsi="Times New Roman" w:cs="Times New Roman"/>
            <w:sz w:val="24"/>
            <w:szCs w:val="24"/>
          </w:rPr>
          <w:instrText xml:space="preserve"> PAGE   \* MERGEFORMAT </w:instrText>
        </w:r>
        <w:r w:rsidRPr="00093E6F">
          <w:rPr>
            <w:rFonts w:ascii="Times New Roman" w:hAnsi="Times New Roman" w:cs="Times New Roman"/>
            <w:sz w:val="24"/>
            <w:szCs w:val="24"/>
          </w:rPr>
          <w:fldChar w:fldCharType="separate"/>
        </w:r>
        <w:r w:rsidRPr="00093E6F">
          <w:rPr>
            <w:rFonts w:ascii="Times New Roman" w:hAnsi="Times New Roman" w:cs="Times New Roman"/>
            <w:noProof/>
            <w:sz w:val="24"/>
            <w:szCs w:val="24"/>
          </w:rPr>
          <w:t>2</w:t>
        </w:r>
        <w:r w:rsidRPr="00093E6F">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699AF" w14:textId="77777777" w:rsidR="0089108F" w:rsidRDefault="0089108F" w:rsidP="00C87B9B">
      <w:pPr>
        <w:spacing w:after="0" w:line="240" w:lineRule="auto"/>
      </w:pPr>
      <w:r>
        <w:separator/>
      </w:r>
    </w:p>
    <w:p w14:paraId="3D42AB43" w14:textId="77777777" w:rsidR="0089108F" w:rsidRDefault="0089108F"/>
  </w:footnote>
  <w:footnote w:type="continuationSeparator" w:id="0">
    <w:p w14:paraId="3D0AC1F2" w14:textId="77777777" w:rsidR="0089108F" w:rsidRDefault="0089108F" w:rsidP="00C87B9B">
      <w:pPr>
        <w:spacing w:after="0" w:line="240" w:lineRule="auto"/>
      </w:pPr>
      <w:r>
        <w:continuationSeparator/>
      </w:r>
    </w:p>
    <w:p w14:paraId="60BF3D60" w14:textId="77777777" w:rsidR="0089108F" w:rsidRDefault="008910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837489F8"/>
    <w:lvl w:ilvl="0">
      <w:numFmt w:val="bullet"/>
      <w:lvlText w:val="*"/>
      <w:lvlJc w:val="left"/>
    </w:lvl>
  </w:abstractNum>
  <w:abstractNum w:abstractNumId="1" w15:restartNumberingAfterBreak="0">
    <w:nsid w:val="02C16225"/>
    <w:multiLevelType w:val="multilevel"/>
    <w:tmpl w:val="C110331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4E5C1D"/>
    <w:multiLevelType w:val="multilevel"/>
    <w:tmpl w:val="04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7F57264"/>
    <w:multiLevelType w:val="multilevel"/>
    <w:tmpl w:val="5B6210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346538"/>
    <w:multiLevelType w:val="multilevel"/>
    <w:tmpl w:val="CDB8C4D6"/>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92490E"/>
    <w:multiLevelType w:val="multilevel"/>
    <w:tmpl w:val="B9E89D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5B4077"/>
    <w:multiLevelType w:val="multilevel"/>
    <w:tmpl w:val="BC0A3E8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D05275"/>
    <w:multiLevelType w:val="multilevel"/>
    <w:tmpl w:val="54049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D16C9E"/>
    <w:multiLevelType w:val="hybridMultilevel"/>
    <w:tmpl w:val="78248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1E2362"/>
    <w:multiLevelType w:val="hybridMultilevel"/>
    <w:tmpl w:val="FC6670B4"/>
    <w:lvl w:ilvl="0" w:tplc="88E89314">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CED4493"/>
    <w:multiLevelType w:val="hybridMultilevel"/>
    <w:tmpl w:val="FFFFFFFF"/>
    <w:lvl w:ilvl="0" w:tplc="A5CAD3B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0CB2BC3"/>
    <w:multiLevelType w:val="hybridMultilevel"/>
    <w:tmpl w:val="12B4E61E"/>
    <w:lvl w:ilvl="0" w:tplc="B6E647F6">
      <w:start w:val="1"/>
      <w:numFmt w:val="decimal"/>
      <w:lvlText w:val="%1."/>
      <w:lvlJc w:val="left"/>
      <w:pPr>
        <w:ind w:left="1020" w:hanging="360"/>
      </w:pPr>
    </w:lvl>
    <w:lvl w:ilvl="1" w:tplc="1BF628E6">
      <w:start w:val="1"/>
      <w:numFmt w:val="decimal"/>
      <w:lvlText w:val="%2."/>
      <w:lvlJc w:val="left"/>
      <w:pPr>
        <w:ind w:left="1020" w:hanging="360"/>
      </w:pPr>
    </w:lvl>
    <w:lvl w:ilvl="2" w:tplc="50123F48">
      <w:start w:val="1"/>
      <w:numFmt w:val="decimal"/>
      <w:lvlText w:val="%3."/>
      <w:lvlJc w:val="left"/>
      <w:pPr>
        <w:ind w:left="1020" w:hanging="360"/>
      </w:pPr>
    </w:lvl>
    <w:lvl w:ilvl="3" w:tplc="214A5E86">
      <w:start w:val="1"/>
      <w:numFmt w:val="decimal"/>
      <w:lvlText w:val="%4."/>
      <w:lvlJc w:val="left"/>
      <w:pPr>
        <w:ind w:left="1020" w:hanging="360"/>
      </w:pPr>
    </w:lvl>
    <w:lvl w:ilvl="4" w:tplc="B3C039AC">
      <w:start w:val="1"/>
      <w:numFmt w:val="decimal"/>
      <w:lvlText w:val="%5."/>
      <w:lvlJc w:val="left"/>
      <w:pPr>
        <w:ind w:left="1020" w:hanging="360"/>
      </w:pPr>
    </w:lvl>
    <w:lvl w:ilvl="5" w:tplc="000C2BC8">
      <w:start w:val="1"/>
      <w:numFmt w:val="decimal"/>
      <w:lvlText w:val="%6."/>
      <w:lvlJc w:val="left"/>
      <w:pPr>
        <w:ind w:left="1020" w:hanging="360"/>
      </w:pPr>
    </w:lvl>
    <w:lvl w:ilvl="6" w:tplc="250222B0">
      <w:start w:val="1"/>
      <w:numFmt w:val="decimal"/>
      <w:lvlText w:val="%7."/>
      <w:lvlJc w:val="left"/>
      <w:pPr>
        <w:ind w:left="1020" w:hanging="360"/>
      </w:pPr>
    </w:lvl>
    <w:lvl w:ilvl="7" w:tplc="423A17DC">
      <w:start w:val="1"/>
      <w:numFmt w:val="decimal"/>
      <w:lvlText w:val="%8."/>
      <w:lvlJc w:val="left"/>
      <w:pPr>
        <w:ind w:left="1020" w:hanging="360"/>
      </w:pPr>
    </w:lvl>
    <w:lvl w:ilvl="8" w:tplc="930A8748">
      <w:start w:val="1"/>
      <w:numFmt w:val="decimal"/>
      <w:lvlText w:val="%9."/>
      <w:lvlJc w:val="left"/>
      <w:pPr>
        <w:ind w:left="1020" w:hanging="360"/>
      </w:pPr>
    </w:lvl>
  </w:abstractNum>
  <w:abstractNum w:abstractNumId="12" w15:restartNumberingAfterBreak="0">
    <w:nsid w:val="36A34AD6"/>
    <w:multiLevelType w:val="multilevel"/>
    <w:tmpl w:val="81AC370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D8D0747"/>
    <w:multiLevelType w:val="multilevel"/>
    <w:tmpl w:val="C78012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D96314"/>
    <w:multiLevelType w:val="multilevel"/>
    <w:tmpl w:val="966664D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34E4106"/>
    <w:multiLevelType w:val="multilevel"/>
    <w:tmpl w:val="7CDCA7F0"/>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5BD1497"/>
    <w:multiLevelType w:val="multilevel"/>
    <w:tmpl w:val="22EAAC7E"/>
    <w:lvl w:ilvl="0">
      <w:start w:val="4"/>
      <w:numFmt w:val="decimal"/>
      <w:lvlText w:val="%1"/>
      <w:lvlJc w:val="left"/>
      <w:pPr>
        <w:ind w:left="420" w:hanging="420"/>
      </w:pPr>
      <w:rPr>
        <w:rFonts w:hint="default"/>
      </w:rPr>
    </w:lvl>
    <w:lvl w:ilvl="1">
      <w:start w:val="7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AF5D7F"/>
    <w:multiLevelType w:val="hybridMultilevel"/>
    <w:tmpl w:val="A866C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986512"/>
    <w:multiLevelType w:val="multilevel"/>
    <w:tmpl w:val="40DA64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5D7C31"/>
    <w:multiLevelType w:val="hybridMultilevel"/>
    <w:tmpl w:val="691CE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2A0FF9"/>
    <w:multiLevelType w:val="multilevel"/>
    <w:tmpl w:val="DDEAD6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1CC3573"/>
    <w:multiLevelType w:val="hybridMultilevel"/>
    <w:tmpl w:val="86643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B3CFB"/>
    <w:multiLevelType w:val="multilevel"/>
    <w:tmpl w:val="6A84D7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6A29FD"/>
    <w:multiLevelType w:val="multilevel"/>
    <w:tmpl w:val="B06A40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A2E580E"/>
    <w:multiLevelType w:val="hybridMultilevel"/>
    <w:tmpl w:val="D3D42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63CBD"/>
    <w:multiLevelType w:val="multilevel"/>
    <w:tmpl w:val="DF60F3A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4E246B"/>
    <w:multiLevelType w:val="hybridMultilevel"/>
    <w:tmpl w:val="C592F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42721A"/>
    <w:multiLevelType w:val="multilevel"/>
    <w:tmpl w:val="64B03AC2"/>
    <w:lvl w:ilvl="0">
      <w:start w:val="4"/>
      <w:numFmt w:val="decimal"/>
      <w:lvlText w:val="%1"/>
      <w:lvlJc w:val="left"/>
      <w:pPr>
        <w:ind w:left="360" w:hanging="360"/>
      </w:pPr>
      <w:rPr>
        <w:rFonts w:eastAsiaTheme="majorEastAsia" w:hint="default"/>
        <w:b/>
      </w:rPr>
    </w:lvl>
    <w:lvl w:ilvl="1">
      <w:start w:val="6"/>
      <w:numFmt w:val="decimal"/>
      <w:lvlText w:val="%1.%2"/>
      <w:lvlJc w:val="left"/>
      <w:pPr>
        <w:ind w:left="360" w:hanging="360"/>
      </w:pPr>
      <w:rPr>
        <w:rFonts w:eastAsiaTheme="majorEastAsia" w:hint="default"/>
        <w:b/>
      </w:rPr>
    </w:lvl>
    <w:lvl w:ilvl="2">
      <w:start w:val="1"/>
      <w:numFmt w:val="decimal"/>
      <w:lvlText w:val="%1.%2.%3"/>
      <w:lvlJc w:val="left"/>
      <w:pPr>
        <w:ind w:left="720" w:hanging="720"/>
      </w:pPr>
      <w:rPr>
        <w:rFonts w:eastAsiaTheme="majorEastAsia" w:hint="default"/>
        <w:b/>
      </w:rPr>
    </w:lvl>
    <w:lvl w:ilvl="3">
      <w:start w:val="1"/>
      <w:numFmt w:val="decimal"/>
      <w:lvlText w:val="%1.%2.%3.%4"/>
      <w:lvlJc w:val="left"/>
      <w:pPr>
        <w:ind w:left="720" w:hanging="720"/>
      </w:pPr>
      <w:rPr>
        <w:rFonts w:eastAsiaTheme="majorEastAsia" w:hint="default"/>
        <w:b/>
      </w:rPr>
    </w:lvl>
    <w:lvl w:ilvl="4">
      <w:start w:val="1"/>
      <w:numFmt w:val="decimal"/>
      <w:lvlText w:val="%1.%2.%3.%4.%5"/>
      <w:lvlJc w:val="left"/>
      <w:pPr>
        <w:ind w:left="1080" w:hanging="1080"/>
      </w:pPr>
      <w:rPr>
        <w:rFonts w:eastAsiaTheme="majorEastAsia" w:hint="default"/>
        <w:b/>
      </w:rPr>
    </w:lvl>
    <w:lvl w:ilvl="5">
      <w:start w:val="1"/>
      <w:numFmt w:val="decimal"/>
      <w:lvlText w:val="%1.%2.%3.%4.%5.%6"/>
      <w:lvlJc w:val="left"/>
      <w:pPr>
        <w:ind w:left="1080" w:hanging="1080"/>
      </w:pPr>
      <w:rPr>
        <w:rFonts w:eastAsiaTheme="majorEastAsia" w:hint="default"/>
        <w:b/>
      </w:rPr>
    </w:lvl>
    <w:lvl w:ilvl="6">
      <w:start w:val="1"/>
      <w:numFmt w:val="decimal"/>
      <w:lvlText w:val="%1.%2.%3.%4.%5.%6.%7"/>
      <w:lvlJc w:val="left"/>
      <w:pPr>
        <w:ind w:left="1440" w:hanging="1440"/>
      </w:pPr>
      <w:rPr>
        <w:rFonts w:eastAsiaTheme="majorEastAsia" w:hint="default"/>
        <w:b/>
      </w:rPr>
    </w:lvl>
    <w:lvl w:ilvl="7">
      <w:start w:val="1"/>
      <w:numFmt w:val="decimal"/>
      <w:lvlText w:val="%1.%2.%3.%4.%5.%6.%7.%8"/>
      <w:lvlJc w:val="left"/>
      <w:pPr>
        <w:ind w:left="1440" w:hanging="1440"/>
      </w:pPr>
      <w:rPr>
        <w:rFonts w:eastAsiaTheme="majorEastAsia" w:hint="default"/>
        <w:b/>
      </w:rPr>
    </w:lvl>
    <w:lvl w:ilvl="8">
      <w:start w:val="1"/>
      <w:numFmt w:val="decimal"/>
      <w:lvlText w:val="%1.%2.%3.%4.%5.%6.%7.%8.%9"/>
      <w:lvlJc w:val="left"/>
      <w:pPr>
        <w:ind w:left="1800" w:hanging="1800"/>
      </w:pPr>
      <w:rPr>
        <w:rFonts w:eastAsiaTheme="majorEastAsia" w:hint="default"/>
        <w:b/>
      </w:rPr>
    </w:lvl>
  </w:abstractNum>
  <w:abstractNum w:abstractNumId="28" w15:restartNumberingAfterBreak="0">
    <w:nsid w:val="65F8376F"/>
    <w:multiLevelType w:val="multilevel"/>
    <w:tmpl w:val="AD0089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280569F"/>
    <w:multiLevelType w:val="multilevel"/>
    <w:tmpl w:val="8F705E7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6112B46"/>
    <w:multiLevelType w:val="multilevel"/>
    <w:tmpl w:val="918A0580"/>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6AA3483"/>
    <w:multiLevelType w:val="multilevel"/>
    <w:tmpl w:val="C4546C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2" w15:restartNumberingAfterBreak="0">
    <w:nsid w:val="79877B2F"/>
    <w:multiLevelType w:val="hybridMultilevel"/>
    <w:tmpl w:val="9E4EA1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A6274"/>
    <w:multiLevelType w:val="multilevel"/>
    <w:tmpl w:val="951CF76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1342842">
    <w:abstractNumId w:val="23"/>
  </w:num>
  <w:num w:numId="2" w16cid:durableId="1552768694">
    <w:abstractNumId w:val="9"/>
  </w:num>
  <w:num w:numId="3" w16cid:durableId="1899776917">
    <w:abstractNumId w:val="3"/>
  </w:num>
  <w:num w:numId="4" w16cid:durableId="480854509">
    <w:abstractNumId w:val="1"/>
  </w:num>
  <w:num w:numId="5" w16cid:durableId="680280103">
    <w:abstractNumId w:val="18"/>
  </w:num>
  <w:num w:numId="6" w16cid:durableId="880244585">
    <w:abstractNumId w:val="8"/>
  </w:num>
  <w:num w:numId="7" w16cid:durableId="317273296">
    <w:abstractNumId w:val="5"/>
  </w:num>
  <w:num w:numId="8" w16cid:durableId="622811450">
    <w:abstractNumId w:val="25"/>
  </w:num>
  <w:num w:numId="9" w16cid:durableId="458037841">
    <w:abstractNumId w:val="20"/>
  </w:num>
  <w:num w:numId="10" w16cid:durableId="114759457">
    <w:abstractNumId w:val="13"/>
  </w:num>
  <w:num w:numId="11" w16cid:durableId="920288909">
    <w:abstractNumId w:val="7"/>
  </w:num>
  <w:num w:numId="12" w16cid:durableId="1053306499">
    <w:abstractNumId w:val="11"/>
  </w:num>
  <w:num w:numId="13" w16cid:durableId="348525807">
    <w:abstractNumId w:val="24"/>
  </w:num>
  <w:num w:numId="14" w16cid:durableId="1237478876">
    <w:abstractNumId w:val="26"/>
  </w:num>
  <w:num w:numId="15" w16cid:durableId="743600132">
    <w:abstractNumId w:val="29"/>
  </w:num>
  <w:num w:numId="16" w16cid:durableId="2111468165">
    <w:abstractNumId w:val="33"/>
  </w:num>
  <w:num w:numId="17" w16cid:durableId="1437751826">
    <w:abstractNumId w:val="10"/>
  </w:num>
  <w:num w:numId="18" w16cid:durableId="1134759898">
    <w:abstractNumId w:val="14"/>
  </w:num>
  <w:num w:numId="19" w16cid:durableId="962812216">
    <w:abstractNumId w:val="27"/>
  </w:num>
  <w:num w:numId="20" w16cid:durableId="2018994126">
    <w:abstractNumId w:val="16"/>
  </w:num>
  <w:num w:numId="21" w16cid:durableId="628709887">
    <w:abstractNumId w:val="32"/>
  </w:num>
  <w:num w:numId="22" w16cid:durableId="1121875470">
    <w:abstractNumId w:val="17"/>
  </w:num>
  <w:num w:numId="23" w16cid:durableId="1687753436">
    <w:abstractNumId w:val="19"/>
  </w:num>
  <w:num w:numId="24" w16cid:durableId="719594776">
    <w:abstractNumId w:val="15"/>
  </w:num>
  <w:num w:numId="25" w16cid:durableId="892541781">
    <w:abstractNumId w:val="0"/>
    <w:lvlOverride w:ilvl="0">
      <w:lvl w:ilvl="0">
        <w:numFmt w:val="bullet"/>
        <w:lvlText w:val="•"/>
        <w:legacy w:legacy="1" w:legacySpace="0" w:legacyIndent="0"/>
        <w:lvlJc w:val="left"/>
        <w:rPr>
          <w:rFonts w:ascii="Arial" w:hAnsi="Arial" w:cs="Arial" w:hint="default"/>
          <w:sz w:val="36"/>
        </w:rPr>
      </w:lvl>
    </w:lvlOverride>
  </w:num>
  <w:num w:numId="26" w16cid:durableId="180356671">
    <w:abstractNumId w:val="21"/>
  </w:num>
  <w:num w:numId="27" w16cid:durableId="854536658">
    <w:abstractNumId w:val="31"/>
  </w:num>
  <w:num w:numId="28" w16cid:durableId="1254314855">
    <w:abstractNumId w:val="2"/>
  </w:num>
  <w:num w:numId="29" w16cid:durableId="129203528">
    <w:abstractNumId w:val="6"/>
  </w:num>
  <w:num w:numId="30" w16cid:durableId="921184831">
    <w:abstractNumId w:val="22"/>
  </w:num>
  <w:num w:numId="31" w16cid:durableId="1826512197">
    <w:abstractNumId w:val="12"/>
  </w:num>
  <w:num w:numId="32" w16cid:durableId="2100716145">
    <w:abstractNumId w:val="28"/>
  </w:num>
  <w:num w:numId="33" w16cid:durableId="927228264">
    <w:abstractNumId w:val="30"/>
  </w:num>
  <w:num w:numId="34" w16cid:durableId="19981444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A53"/>
    <w:rsid w:val="00003770"/>
    <w:rsid w:val="0001156B"/>
    <w:rsid w:val="000148B8"/>
    <w:rsid w:val="00014D75"/>
    <w:rsid w:val="000214BF"/>
    <w:rsid w:val="00025DA5"/>
    <w:rsid w:val="000313D0"/>
    <w:rsid w:val="0004467C"/>
    <w:rsid w:val="000458F3"/>
    <w:rsid w:val="000473E5"/>
    <w:rsid w:val="00050CC6"/>
    <w:rsid w:val="0005158F"/>
    <w:rsid w:val="00051A55"/>
    <w:rsid w:val="00051A6D"/>
    <w:rsid w:val="00066293"/>
    <w:rsid w:val="0007265F"/>
    <w:rsid w:val="000755C6"/>
    <w:rsid w:val="00081069"/>
    <w:rsid w:val="0008555D"/>
    <w:rsid w:val="00086009"/>
    <w:rsid w:val="00086B24"/>
    <w:rsid w:val="00090A98"/>
    <w:rsid w:val="00093E6F"/>
    <w:rsid w:val="000971A2"/>
    <w:rsid w:val="000A258B"/>
    <w:rsid w:val="000A604B"/>
    <w:rsid w:val="000B06D6"/>
    <w:rsid w:val="000B2CE9"/>
    <w:rsid w:val="000B359B"/>
    <w:rsid w:val="000B63E6"/>
    <w:rsid w:val="000C137C"/>
    <w:rsid w:val="000C43DB"/>
    <w:rsid w:val="000C6A78"/>
    <w:rsid w:val="000C79D2"/>
    <w:rsid w:val="000C7F6F"/>
    <w:rsid w:val="000D251A"/>
    <w:rsid w:val="000D26B6"/>
    <w:rsid w:val="000D44A8"/>
    <w:rsid w:val="000D4EDD"/>
    <w:rsid w:val="000D5B4B"/>
    <w:rsid w:val="000E1841"/>
    <w:rsid w:val="000E21FD"/>
    <w:rsid w:val="000E2701"/>
    <w:rsid w:val="000E2D5D"/>
    <w:rsid w:val="000E487B"/>
    <w:rsid w:val="000E6B42"/>
    <w:rsid w:val="000E79BA"/>
    <w:rsid w:val="000F3A46"/>
    <w:rsid w:val="000F3C0B"/>
    <w:rsid w:val="000F4196"/>
    <w:rsid w:val="000F6AAE"/>
    <w:rsid w:val="00100BD2"/>
    <w:rsid w:val="001034F3"/>
    <w:rsid w:val="00104753"/>
    <w:rsid w:val="001067A4"/>
    <w:rsid w:val="0011267E"/>
    <w:rsid w:val="00120134"/>
    <w:rsid w:val="00122D1C"/>
    <w:rsid w:val="001349CC"/>
    <w:rsid w:val="00136EDD"/>
    <w:rsid w:val="00136F99"/>
    <w:rsid w:val="001371F5"/>
    <w:rsid w:val="0014480D"/>
    <w:rsid w:val="001512ED"/>
    <w:rsid w:val="00151BEA"/>
    <w:rsid w:val="001527A5"/>
    <w:rsid w:val="00153030"/>
    <w:rsid w:val="00154B00"/>
    <w:rsid w:val="00160717"/>
    <w:rsid w:val="0016072F"/>
    <w:rsid w:val="00161648"/>
    <w:rsid w:val="00162DF3"/>
    <w:rsid w:val="00165793"/>
    <w:rsid w:val="001665B5"/>
    <w:rsid w:val="0016676A"/>
    <w:rsid w:val="00167BB4"/>
    <w:rsid w:val="00170610"/>
    <w:rsid w:val="00177D63"/>
    <w:rsid w:val="00187C11"/>
    <w:rsid w:val="00187FC0"/>
    <w:rsid w:val="00190D2A"/>
    <w:rsid w:val="001933D8"/>
    <w:rsid w:val="001938A4"/>
    <w:rsid w:val="00197A33"/>
    <w:rsid w:val="001A1562"/>
    <w:rsid w:val="001A1DC7"/>
    <w:rsid w:val="001A551E"/>
    <w:rsid w:val="001A6D79"/>
    <w:rsid w:val="001A7A62"/>
    <w:rsid w:val="001B3849"/>
    <w:rsid w:val="001B3E06"/>
    <w:rsid w:val="001B3EAF"/>
    <w:rsid w:val="001B508A"/>
    <w:rsid w:val="001B7DF1"/>
    <w:rsid w:val="001C2AE6"/>
    <w:rsid w:val="001C3BCA"/>
    <w:rsid w:val="001C3EC3"/>
    <w:rsid w:val="001C4A53"/>
    <w:rsid w:val="001C6CB3"/>
    <w:rsid w:val="001D4193"/>
    <w:rsid w:val="001D49C4"/>
    <w:rsid w:val="001D4ED4"/>
    <w:rsid w:val="001D543A"/>
    <w:rsid w:val="001E1B27"/>
    <w:rsid w:val="001E2CFD"/>
    <w:rsid w:val="001E756F"/>
    <w:rsid w:val="001F1EA5"/>
    <w:rsid w:val="001F57A0"/>
    <w:rsid w:val="001F655F"/>
    <w:rsid w:val="002014E4"/>
    <w:rsid w:val="00202EC2"/>
    <w:rsid w:val="00203C2B"/>
    <w:rsid w:val="00207FA5"/>
    <w:rsid w:val="00213970"/>
    <w:rsid w:val="0021401B"/>
    <w:rsid w:val="00214622"/>
    <w:rsid w:val="00216407"/>
    <w:rsid w:val="00216FF7"/>
    <w:rsid w:val="00220C9E"/>
    <w:rsid w:val="00223AB8"/>
    <w:rsid w:val="002244D7"/>
    <w:rsid w:val="00224EE7"/>
    <w:rsid w:val="00225561"/>
    <w:rsid w:val="00227D15"/>
    <w:rsid w:val="0023241E"/>
    <w:rsid w:val="00232E05"/>
    <w:rsid w:val="002335A0"/>
    <w:rsid w:val="00235A8D"/>
    <w:rsid w:val="0023756F"/>
    <w:rsid w:val="00243426"/>
    <w:rsid w:val="00244971"/>
    <w:rsid w:val="002452BB"/>
    <w:rsid w:val="002470BE"/>
    <w:rsid w:val="00251F93"/>
    <w:rsid w:val="0025382C"/>
    <w:rsid w:val="00255DA7"/>
    <w:rsid w:val="00256194"/>
    <w:rsid w:val="002567DF"/>
    <w:rsid w:val="00264391"/>
    <w:rsid w:val="00265EBE"/>
    <w:rsid w:val="0027143C"/>
    <w:rsid w:val="00271A49"/>
    <w:rsid w:val="00271FC6"/>
    <w:rsid w:val="0027424A"/>
    <w:rsid w:val="002766EB"/>
    <w:rsid w:val="00276E2E"/>
    <w:rsid w:val="00280038"/>
    <w:rsid w:val="002819E1"/>
    <w:rsid w:val="00283386"/>
    <w:rsid w:val="002837A4"/>
    <w:rsid w:val="00285D39"/>
    <w:rsid w:val="0028666D"/>
    <w:rsid w:val="00287A33"/>
    <w:rsid w:val="0029150A"/>
    <w:rsid w:val="00291B33"/>
    <w:rsid w:val="00291FAA"/>
    <w:rsid w:val="002A01FA"/>
    <w:rsid w:val="002A0D52"/>
    <w:rsid w:val="002A68EE"/>
    <w:rsid w:val="002A79E6"/>
    <w:rsid w:val="002B0580"/>
    <w:rsid w:val="002B0BEC"/>
    <w:rsid w:val="002B269D"/>
    <w:rsid w:val="002C00BB"/>
    <w:rsid w:val="002C04CC"/>
    <w:rsid w:val="002C0F6C"/>
    <w:rsid w:val="002C17FE"/>
    <w:rsid w:val="002C1969"/>
    <w:rsid w:val="002C3414"/>
    <w:rsid w:val="002C3F45"/>
    <w:rsid w:val="002D1742"/>
    <w:rsid w:val="002D4B12"/>
    <w:rsid w:val="002E236A"/>
    <w:rsid w:val="002E43A2"/>
    <w:rsid w:val="002E77A7"/>
    <w:rsid w:val="002F0B5C"/>
    <w:rsid w:val="002F4E1E"/>
    <w:rsid w:val="00304439"/>
    <w:rsid w:val="00304BE5"/>
    <w:rsid w:val="00304E4F"/>
    <w:rsid w:val="00305837"/>
    <w:rsid w:val="0030696E"/>
    <w:rsid w:val="00313830"/>
    <w:rsid w:val="003143B5"/>
    <w:rsid w:val="003166DB"/>
    <w:rsid w:val="00321D4D"/>
    <w:rsid w:val="0032489A"/>
    <w:rsid w:val="003302B7"/>
    <w:rsid w:val="003310B8"/>
    <w:rsid w:val="003402DA"/>
    <w:rsid w:val="00340D41"/>
    <w:rsid w:val="00347DF1"/>
    <w:rsid w:val="003600B0"/>
    <w:rsid w:val="00361A06"/>
    <w:rsid w:val="00364D0A"/>
    <w:rsid w:val="00366CF2"/>
    <w:rsid w:val="00370156"/>
    <w:rsid w:val="00370D50"/>
    <w:rsid w:val="003714BB"/>
    <w:rsid w:val="003732CA"/>
    <w:rsid w:val="00382BC1"/>
    <w:rsid w:val="00383B61"/>
    <w:rsid w:val="0038483B"/>
    <w:rsid w:val="00390679"/>
    <w:rsid w:val="0039211C"/>
    <w:rsid w:val="003928CE"/>
    <w:rsid w:val="0039437D"/>
    <w:rsid w:val="00396452"/>
    <w:rsid w:val="003A353E"/>
    <w:rsid w:val="003A3B8C"/>
    <w:rsid w:val="003A7B1F"/>
    <w:rsid w:val="003B4242"/>
    <w:rsid w:val="003B5869"/>
    <w:rsid w:val="003C0968"/>
    <w:rsid w:val="003C1648"/>
    <w:rsid w:val="003C2DE7"/>
    <w:rsid w:val="003D1E3D"/>
    <w:rsid w:val="003D2DA6"/>
    <w:rsid w:val="003D389F"/>
    <w:rsid w:val="003D471E"/>
    <w:rsid w:val="003D7E89"/>
    <w:rsid w:val="003E19E5"/>
    <w:rsid w:val="003E1F39"/>
    <w:rsid w:val="003E2932"/>
    <w:rsid w:val="003E310F"/>
    <w:rsid w:val="003E4EAD"/>
    <w:rsid w:val="003E584A"/>
    <w:rsid w:val="003E76B6"/>
    <w:rsid w:val="003F0C18"/>
    <w:rsid w:val="003F1519"/>
    <w:rsid w:val="003F5FAA"/>
    <w:rsid w:val="003F608C"/>
    <w:rsid w:val="003F640C"/>
    <w:rsid w:val="003F76A6"/>
    <w:rsid w:val="00401E00"/>
    <w:rsid w:val="0040203D"/>
    <w:rsid w:val="00403CA0"/>
    <w:rsid w:val="00404B6F"/>
    <w:rsid w:val="004056A8"/>
    <w:rsid w:val="00405D13"/>
    <w:rsid w:val="0040617D"/>
    <w:rsid w:val="004108F1"/>
    <w:rsid w:val="004114E7"/>
    <w:rsid w:val="004137C7"/>
    <w:rsid w:val="00417E0B"/>
    <w:rsid w:val="00421C3D"/>
    <w:rsid w:val="00427197"/>
    <w:rsid w:val="0042733D"/>
    <w:rsid w:val="004275EB"/>
    <w:rsid w:val="004277F9"/>
    <w:rsid w:val="0043155C"/>
    <w:rsid w:val="004353CA"/>
    <w:rsid w:val="004428BE"/>
    <w:rsid w:val="00442991"/>
    <w:rsid w:val="0044437F"/>
    <w:rsid w:val="004444A6"/>
    <w:rsid w:val="00444C3D"/>
    <w:rsid w:val="00445B5D"/>
    <w:rsid w:val="0045103D"/>
    <w:rsid w:val="00452320"/>
    <w:rsid w:val="00453E59"/>
    <w:rsid w:val="00454D36"/>
    <w:rsid w:val="00456CB7"/>
    <w:rsid w:val="00461C63"/>
    <w:rsid w:val="004647C2"/>
    <w:rsid w:val="0046739F"/>
    <w:rsid w:val="004673FF"/>
    <w:rsid w:val="00470948"/>
    <w:rsid w:val="00472C60"/>
    <w:rsid w:val="00474176"/>
    <w:rsid w:val="00476162"/>
    <w:rsid w:val="00476DA3"/>
    <w:rsid w:val="00476F6D"/>
    <w:rsid w:val="0048065D"/>
    <w:rsid w:val="00482523"/>
    <w:rsid w:val="0048256B"/>
    <w:rsid w:val="004827BF"/>
    <w:rsid w:val="00485C11"/>
    <w:rsid w:val="00486531"/>
    <w:rsid w:val="00493693"/>
    <w:rsid w:val="00494730"/>
    <w:rsid w:val="00497727"/>
    <w:rsid w:val="004A356B"/>
    <w:rsid w:val="004A39DD"/>
    <w:rsid w:val="004A5DEE"/>
    <w:rsid w:val="004A697D"/>
    <w:rsid w:val="004A7597"/>
    <w:rsid w:val="004B2AB3"/>
    <w:rsid w:val="004B2AF2"/>
    <w:rsid w:val="004B4AC7"/>
    <w:rsid w:val="004B51E3"/>
    <w:rsid w:val="004B55BC"/>
    <w:rsid w:val="004B6893"/>
    <w:rsid w:val="004B781A"/>
    <w:rsid w:val="004C267B"/>
    <w:rsid w:val="004C3A11"/>
    <w:rsid w:val="004D2C98"/>
    <w:rsid w:val="004D5751"/>
    <w:rsid w:val="004D597A"/>
    <w:rsid w:val="004D5C69"/>
    <w:rsid w:val="004D6D0A"/>
    <w:rsid w:val="004E4448"/>
    <w:rsid w:val="004E459F"/>
    <w:rsid w:val="004E4C98"/>
    <w:rsid w:val="004F073E"/>
    <w:rsid w:val="004F07BD"/>
    <w:rsid w:val="004F1A07"/>
    <w:rsid w:val="004F3AC2"/>
    <w:rsid w:val="004F3D10"/>
    <w:rsid w:val="004F48FD"/>
    <w:rsid w:val="004F51FD"/>
    <w:rsid w:val="004F661B"/>
    <w:rsid w:val="0050081E"/>
    <w:rsid w:val="00500B6B"/>
    <w:rsid w:val="00506192"/>
    <w:rsid w:val="0050699A"/>
    <w:rsid w:val="0051018A"/>
    <w:rsid w:val="00511428"/>
    <w:rsid w:val="005151D7"/>
    <w:rsid w:val="005224BE"/>
    <w:rsid w:val="005231CC"/>
    <w:rsid w:val="00524AFB"/>
    <w:rsid w:val="00524CA5"/>
    <w:rsid w:val="00526405"/>
    <w:rsid w:val="005268DF"/>
    <w:rsid w:val="00531A79"/>
    <w:rsid w:val="005336D9"/>
    <w:rsid w:val="00535813"/>
    <w:rsid w:val="00537FE1"/>
    <w:rsid w:val="005417DB"/>
    <w:rsid w:val="00541EC4"/>
    <w:rsid w:val="0054426B"/>
    <w:rsid w:val="0054469C"/>
    <w:rsid w:val="00545A9D"/>
    <w:rsid w:val="00547AC7"/>
    <w:rsid w:val="005505F4"/>
    <w:rsid w:val="005528BD"/>
    <w:rsid w:val="00553ED2"/>
    <w:rsid w:val="005564E7"/>
    <w:rsid w:val="00556638"/>
    <w:rsid w:val="005601E8"/>
    <w:rsid w:val="00562493"/>
    <w:rsid w:val="00563A4C"/>
    <w:rsid w:val="00567DFE"/>
    <w:rsid w:val="00571D6B"/>
    <w:rsid w:val="005733C3"/>
    <w:rsid w:val="00574360"/>
    <w:rsid w:val="005757D9"/>
    <w:rsid w:val="005770FF"/>
    <w:rsid w:val="0058353D"/>
    <w:rsid w:val="005836F4"/>
    <w:rsid w:val="00584983"/>
    <w:rsid w:val="00584A19"/>
    <w:rsid w:val="005857FE"/>
    <w:rsid w:val="005900CD"/>
    <w:rsid w:val="00590FC1"/>
    <w:rsid w:val="00591CCD"/>
    <w:rsid w:val="00592D0E"/>
    <w:rsid w:val="0059488F"/>
    <w:rsid w:val="00594F33"/>
    <w:rsid w:val="005A173B"/>
    <w:rsid w:val="005A1E22"/>
    <w:rsid w:val="005A6058"/>
    <w:rsid w:val="005A68F2"/>
    <w:rsid w:val="005A72FF"/>
    <w:rsid w:val="005A7CD4"/>
    <w:rsid w:val="005A7D01"/>
    <w:rsid w:val="005A7FF6"/>
    <w:rsid w:val="005B1A5A"/>
    <w:rsid w:val="005B2A08"/>
    <w:rsid w:val="005C2346"/>
    <w:rsid w:val="005C37EF"/>
    <w:rsid w:val="005D1BAE"/>
    <w:rsid w:val="005D36D9"/>
    <w:rsid w:val="005D4D83"/>
    <w:rsid w:val="005D789A"/>
    <w:rsid w:val="005E15D1"/>
    <w:rsid w:val="005E28FD"/>
    <w:rsid w:val="005F0714"/>
    <w:rsid w:val="005F3015"/>
    <w:rsid w:val="005F3046"/>
    <w:rsid w:val="005F406A"/>
    <w:rsid w:val="005F50E8"/>
    <w:rsid w:val="005F6365"/>
    <w:rsid w:val="0060083B"/>
    <w:rsid w:val="00600990"/>
    <w:rsid w:val="00600CD5"/>
    <w:rsid w:val="00603A6E"/>
    <w:rsid w:val="00605630"/>
    <w:rsid w:val="006059D3"/>
    <w:rsid w:val="00605A0B"/>
    <w:rsid w:val="00605D60"/>
    <w:rsid w:val="00605EE5"/>
    <w:rsid w:val="00606C40"/>
    <w:rsid w:val="00611E80"/>
    <w:rsid w:val="00612C7B"/>
    <w:rsid w:val="006131EE"/>
    <w:rsid w:val="00614977"/>
    <w:rsid w:val="00616A6B"/>
    <w:rsid w:val="006233F6"/>
    <w:rsid w:val="00623A05"/>
    <w:rsid w:val="0062719E"/>
    <w:rsid w:val="006278EB"/>
    <w:rsid w:val="00627FBF"/>
    <w:rsid w:val="00632FA4"/>
    <w:rsid w:val="006363AD"/>
    <w:rsid w:val="00637D9E"/>
    <w:rsid w:val="00640395"/>
    <w:rsid w:val="006417C1"/>
    <w:rsid w:val="00642112"/>
    <w:rsid w:val="00645813"/>
    <w:rsid w:val="00646DAF"/>
    <w:rsid w:val="00650B64"/>
    <w:rsid w:val="00652E13"/>
    <w:rsid w:val="0065565C"/>
    <w:rsid w:val="00656421"/>
    <w:rsid w:val="00656ACA"/>
    <w:rsid w:val="00661795"/>
    <w:rsid w:val="00661CF5"/>
    <w:rsid w:val="00661DDA"/>
    <w:rsid w:val="00663990"/>
    <w:rsid w:val="00666544"/>
    <w:rsid w:val="00672EBC"/>
    <w:rsid w:val="00673803"/>
    <w:rsid w:val="006752F3"/>
    <w:rsid w:val="00675381"/>
    <w:rsid w:val="00681FCF"/>
    <w:rsid w:val="006828B7"/>
    <w:rsid w:val="00683F46"/>
    <w:rsid w:val="00683FEA"/>
    <w:rsid w:val="006918B4"/>
    <w:rsid w:val="00691D52"/>
    <w:rsid w:val="00692EC2"/>
    <w:rsid w:val="0069315B"/>
    <w:rsid w:val="0069445B"/>
    <w:rsid w:val="006A135A"/>
    <w:rsid w:val="006A4868"/>
    <w:rsid w:val="006A6571"/>
    <w:rsid w:val="006A7BEA"/>
    <w:rsid w:val="006B2A06"/>
    <w:rsid w:val="006B33BB"/>
    <w:rsid w:val="006B3AF6"/>
    <w:rsid w:val="006B41B8"/>
    <w:rsid w:val="006B4684"/>
    <w:rsid w:val="006C0113"/>
    <w:rsid w:val="006C3211"/>
    <w:rsid w:val="006C349C"/>
    <w:rsid w:val="006C4F46"/>
    <w:rsid w:val="006C525F"/>
    <w:rsid w:val="006D1CB3"/>
    <w:rsid w:val="006D1CD7"/>
    <w:rsid w:val="006D2C1A"/>
    <w:rsid w:val="006D7DCD"/>
    <w:rsid w:val="006E089A"/>
    <w:rsid w:val="006E2CC6"/>
    <w:rsid w:val="006F05DD"/>
    <w:rsid w:val="006F131E"/>
    <w:rsid w:val="006F55E5"/>
    <w:rsid w:val="00703289"/>
    <w:rsid w:val="00705677"/>
    <w:rsid w:val="007059C7"/>
    <w:rsid w:val="00713107"/>
    <w:rsid w:val="00714F3F"/>
    <w:rsid w:val="007159BA"/>
    <w:rsid w:val="00715C07"/>
    <w:rsid w:val="00716844"/>
    <w:rsid w:val="007174B2"/>
    <w:rsid w:val="007208CA"/>
    <w:rsid w:val="00721FF7"/>
    <w:rsid w:val="007225F5"/>
    <w:rsid w:val="0072322A"/>
    <w:rsid w:val="0072526E"/>
    <w:rsid w:val="00725526"/>
    <w:rsid w:val="00725D11"/>
    <w:rsid w:val="0072668C"/>
    <w:rsid w:val="00726E9D"/>
    <w:rsid w:val="0072742D"/>
    <w:rsid w:val="0073217B"/>
    <w:rsid w:val="00733C14"/>
    <w:rsid w:val="00736918"/>
    <w:rsid w:val="00737B97"/>
    <w:rsid w:val="00740BB1"/>
    <w:rsid w:val="0074228B"/>
    <w:rsid w:val="00743650"/>
    <w:rsid w:val="00743A81"/>
    <w:rsid w:val="007465A6"/>
    <w:rsid w:val="00752EFC"/>
    <w:rsid w:val="00754C05"/>
    <w:rsid w:val="00762161"/>
    <w:rsid w:val="007622BC"/>
    <w:rsid w:val="00763355"/>
    <w:rsid w:val="0076497F"/>
    <w:rsid w:val="00765ECC"/>
    <w:rsid w:val="007668AD"/>
    <w:rsid w:val="0077311C"/>
    <w:rsid w:val="00781E69"/>
    <w:rsid w:val="007841E0"/>
    <w:rsid w:val="007864C2"/>
    <w:rsid w:val="00792081"/>
    <w:rsid w:val="00792ABD"/>
    <w:rsid w:val="007962B1"/>
    <w:rsid w:val="007A0F8E"/>
    <w:rsid w:val="007B1B43"/>
    <w:rsid w:val="007C4DF8"/>
    <w:rsid w:val="007C6A6B"/>
    <w:rsid w:val="007D086E"/>
    <w:rsid w:val="007D1ABB"/>
    <w:rsid w:val="007D25C1"/>
    <w:rsid w:val="007D53CA"/>
    <w:rsid w:val="007D6DB2"/>
    <w:rsid w:val="007E38BF"/>
    <w:rsid w:val="007E6EC7"/>
    <w:rsid w:val="007F0D68"/>
    <w:rsid w:val="007F1C08"/>
    <w:rsid w:val="007F403E"/>
    <w:rsid w:val="00801560"/>
    <w:rsid w:val="00801CD4"/>
    <w:rsid w:val="0081149A"/>
    <w:rsid w:val="00812C6D"/>
    <w:rsid w:val="00816A4B"/>
    <w:rsid w:val="0082089A"/>
    <w:rsid w:val="00820C7D"/>
    <w:rsid w:val="00821DF8"/>
    <w:rsid w:val="00822EDA"/>
    <w:rsid w:val="00822F9F"/>
    <w:rsid w:val="008305EF"/>
    <w:rsid w:val="008308E3"/>
    <w:rsid w:val="00830B4D"/>
    <w:rsid w:val="0083420F"/>
    <w:rsid w:val="0083471F"/>
    <w:rsid w:val="0083603E"/>
    <w:rsid w:val="00837BB6"/>
    <w:rsid w:val="00843C51"/>
    <w:rsid w:val="00846EAE"/>
    <w:rsid w:val="00847514"/>
    <w:rsid w:val="00847DEE"/>
    <w:rsid w:val="00852A05"/>
    <w:rsid w:val="00853B17"/>
    <w:rsid w:val="00857C83"/>
    <w:rsid w:val="00857C92"/>
    <w:rsid w:val="0086169F"/>
    <w:rsid w:val="00861BAF"/>
    <w:rsid w:val="008625D2"/>
    <w:rsid w:val="00864742"/>
    <w:rsid w:val="00864BA8"/>
    <w:rsid w:val="00865E08"/>
    <w:rsid w:val="00877DE5"/>
    <w:rsid w:val="008804BC"/>
    <w:rsid w:val="008818B5"/>
    <w:rsid w:val="00884ED8"/>
    <w:rsid w:val="0089108F"/>
    <w:rsid w:val="00894153"/>
    <w:rsid w:val="00894F51"/>
    <w:rsid w:val="008A00D3"/>
    <w:rsid w:val="008A4488"/>
    <w:rsid w:val="008A4ED7"/>
    <w:rsid w:val="008A678F"/>
    <w:rsid w:val="008B0317"/>
    <w:rsid w:val="008B4175"/>
    <w:rsid w:val="008B5117"/>
    <w:rsid w:val="008B6E18"/>
    <w:rsid w:val="008C681B"/>
    <w:rsid w:val="008C696A"/>
    <w:rsid w:val="008D437F"/>
    <w:rsid w:val="008D589E"/>
    <w:rsid w:val="008D6B39"/>
    <w:rsid w:val="008D77EA"/>
    <w:rsid w:val="008D78F9"/>
    <w:rsid w:val="008E3166"/>
    <w:rsid w:val="008E439F"/>
    <w:rsid w:val="008E4E52"/>
    <w:rsid w:val="008E4EFB"/>
    <w:rsid w:val="008E4F87"/>
    <w:rsid w:val="008E720D"/>
    <w:rsid w:val="008E779B"/>
    <w:rsid w:val="008F07ED"/>
    <w:rsid w:val="008F7367"/>
    <w:rsid w:val="0090199B"/>
    <w:rsid w:val="009105A3"/>
    <w:rsid w:val="00911B3F"/>
    <w:rsid w:val="009173B1"/>
    <w:rsid w:val="009214E7"/>
    <w:rsid w:val="00921D67"/>
    <w:rsid w:val="00921E47"/>
    <w:rsid w:val="009259AB"/>
    <w:rsid w:val="00932583"/>
    <w:rsid w:val="00933B1E"/>
    <w:rsid w:val="00935169"/>
    <w:rsid w:val="00935F81"/>
    <w:rsid w:val="009361F7"/>
    <w:rsid w:val="00936260"/>
    <w:rsid w:val="00936B99"/>
    <w:rsid w:val="00937632"/>
    <w:rsid w:val="0094177B"/>
    <w:rsid w:val="00942951"/>
    <w:rsid w:val="00943485"/>
    <w:rsid w:val="0094415D"/>
    <w:rsid w:val="0094498F"/>
    <w:rsid w:val="0095387C"/>
    <w:rsid w:val="009538E5"/>
    <w:rsid w:val="00953B86"/>
    <w:rsid w:val="00953D46"/>
    <w:rsid w:val="00957DA5"/>
    <w:rsid w:val="009627FB"/>
    <w:rsid w:val="00962CB6"/>
    <w:rsid w:val="00963A0E"/>
    <w:rsid w:val="00964429"/>
    <w:rsid w:val="009654AD"/>
    <w:rsid w:val="009665C4"/>
    <w:rsid w:val="0096665D"/>
    <w:rsid w:val="00967836"/>
    <w:rsid w:val="00972AEF"/>
    <w:rsid w:val="009745F2"/>
    <w:rsid w:val="0097606E"/>
    <w:rsid w:val="0097740C"/>
    <w:rsid w:val="00981EA5"/>
    <w:rsid w:val="00982F6D"/>
    <w:rsid w:val="00984331"/>
    <w:rsid w:val="009852B3"/>
    <w:rsid w:val="00985500"/>
    <w:rsid w:val="0098722F"/>
    <w:rsid w:val="0098791F"/>
    <w:rsid w:val="00987D24"/>
    <w:rsid w:val="00993F1C"/>
    <w:rsid w:val="009953C2"/>
    <w:rsid w:val="009971B7"/>
    <w:rsid w:val="00997FDB"/>
    <w:rsid w:val="009A0DE4"/>
    <w:rsid w:val="009A1BC8"/>
    <w:rsid w:val="009A3509"/>
    <w:rsid w:val="009A4202"/>
    <w:rsid w:val="009A5A19"/>
    <w:rsid w:val="009A7211"/>
    <w:rsid w:val="009B40AA"/>
    <w:rsid w:val="009C255E"/>
    <w:rsid w:val="009C3744"/>
    <w:rsid w:val="009C44EE"/>
    <w:rsid w:val="009C5585"/>
    <w:rsid w:val="009D0414"/>
    <w:rsid w:val="009D261D"/>
    <w:rsid w:val="009D5F79"/>
    <w:rsid w:val="009E36E5"/>
    <w:rsid w:val="009E38DC"/>
    <w:rsid w:val="009E3AA2"/>
    <w:rsid w:val="009F1130"/>
    <w:rsid w:val="009F1149"/>
    <w:rsid w:val="009F4DD8"/>
    <w:rsid w:val="009F5B3F"/>
    <w:rsid w:val="009F66FB"/>
    <w:rsid w:val="009F7A03"/>
    <w:rsid w:val="00A07298"/>
    <w:rsid w:val="00A118C4"/>
    <w:rsid w:val="00A14E4C"/>
    <w:rsid w:val="00A1798B"/>
    <w:rsid w:val="00A237A6"/>
    <w:rsid w:val="00A25FC1"/>
    <w:rsid w:val="00A3073F"/>
    <w:rsid w:val="00A32191"/>
    <w:rsid w:val="00A3453B"/>
    <w:rsid w:val="00A35910"/>
    <w:rsid w:val="00A40B05"/>
    <w:rsid w:val="00A41EC6"/>
    <w:rsid w:val="00A42654"/>
    <w:rsid w:val="00A45459"/>
    <w:rsid w:val="00A51128"/>
    <w:rsid w:val="00A5706C"/>
    <w:rsid w:val="00A656A8"/>
    <w:rsid w:val="00A65C1B"/>
    <w:rsid w:val="00A674CF"/>
    <w:rsid w:val="00A67FC6"/>
    <w:rsid w:val="00A7052E"/>
    <w:rsid w:val="00A74C83"/>
    <w:rsid w:val="00A7539E"/>
    <w:rsid w:val="00A768E0"/>
    <w:rsid w:val="00A7754C"/>
    <w:rsid w:val="00A85200"/>
    <w:rsid w:val="00A87062"/>
    <w:rsid w:val="00A87A6F"/>
    <w:rsid w:val="00A91FB8"/>
    <w:rsid w:val="00A950DC"/>
    <w:rsid w:val="00A9654F"/>
    <w:rsid w:val="00AA1967"/>
    <w:rsid w:val="00AA430A"/>
    <w:rsid w:val="00AA7315"/>
    <w:rsid w:val="00AB0DA3"/>
    <w:rsid w:val="00AB2E7D"/>
    <w:rsid w:val="00AB35C7"/>
    <w:rsid w:val="00AB5669"/>
    <w:rsid w:val="00AC1BC5"/>
    <w:rsid w:val="00AC2049"/>
    <w:rsid w:val="00AC2A77"/>
    <w:rsid w:val="00AC7FE1"/>
    <w:rsid w:val="00AD4807"/>
    <w:rsid w:val="00AD4EAC"/>
    <w:rsid w:val="00AD5E31"/>
    <w:rsid w:val="00AD6196"/>
    <w:rsid w:val="00AE3B0E"/>
    <w:rsid w:val="00AE6DB5"/>
    <w:rsid w:val="00AF1249"/>
    <w:rsid w:val="00AF16E5"/>
    <w:rsid w:val="00AF197F"/>
    <w:rsid w:val="00AF7D63"/>
    <w:rsid w:val="00B00353"/>
    <w:rsid w:val="00B00954"/>
    <w:rsid w:val="00B02FFC"/>
    <w:rsid w:val="00B0557C"/>
    <w:rsid w:val="00B10754"/>
    <w:rsid w:val="00B12E5F"/>
    <w:rsid w:val="00B14321"/>
    <w:rsid w:val="00B1667C"/>
    <w:rsid w:val="00B17C62"/>
    <w:rsid w:val="00B2306A"/>
    <w:rsid w:val="00B230C8"/>
    <w:rsid w:val="00B27D45"/>
    <w:rsid w:val="00B32474"/>
    <w:rsid w:val="00B37661"/>
    <w:rsid w:val="00B3767F"/>
    <w:rsid w:val="00B37749"/>
    <w:rsid w:val="00B4035D"/>
    <w:rsid w:val="00B428D9"/>
    <w:rsid w:val="00B43F27"/>
    <w:rsid w:val="00B45356"/>
    <w:rsid w:val="00B4602E"/>
    <w:rsid w:val="00B4708A"/>
    <w:rsid w:val="00B575B2"/>
    <w:rsid w:val="00B600D7"/>
    <w:rsid w:val="00B61D4D"/>
    <w:rsid w:val="00B65989"/>
    <w:rsid w:val="00B71A9A"/>
    <w:rsid w:val="00B73642"/>
    <w:rsid w:val="00B75812"/>
    <w:rsid w:val="00B77491"/>
    <w:rsid w:val="00B8536E"/>
    <w:rsid w:val="00B864BC"/>
    <w:rsid w:val="00B900E3"/>
    <w:rsid w:val="00B91022"/>
    <w:rsid w:val="00B9487E"/>
    <w:rsid w:val="00B949B5"/>
    <w:rsid w:val="00B97F78"/>
    <w:rsid w:val="00BA0D97"/>
    <w:rsid w:val="00BA1AB9"/>
    <w:rsid w:val="00BA415E"/>
    <w:rsid w:val="00BA73C7"/>
    <w:rsid w:val="00BB011E"/>
    <w:rsid w:val="00BB22EE"/>
    <w:rsid w:val="00BB40C9"/>
    <w:rsid w:val="00BC0146"/>
    <w:rsid w:val="00BC1110"/>
    <w:rsid w:val="00BC14C1"/>
    <w:rsid w:val="00BC46FC"/>
    <w:rsid w:val="00BC5EAE"/>
    <w:rsid w:val="00BD26A5"/>
    <w:rsid w:val="00BD353D"/>
    <w:rsid w:val="00BD4BAA"/>
    <w:rsid w:val="00BD4D6D"/>
    <w:rsid w:val="00BD5BC6"/>
    <w:rsid w:val="00BE0D9C"/>
    <w:rsid w:val="00BE1D34"/>
    <w:rsid w:val="00BE3B41"/>
    <w:rsid w:val="00BE479B"/>
    <w:rsid w:val="00BE4E5B"/>
    <w:rsid w:val="00BF2FD4"/>
    <w:rsid w:val="00BF3347"/>
    <w:rsid w:val="00C00AC9"/>
    <w:rsid w:val="00C02C9A"/>
    <w:rsid w:val="00C02D34"/>
    <w:rsid w:val="00C03A4A"/>
    <w:rsid w:val="00C12D8F"/>
    <w:rsid w:val="00C143F3"/>
    <w:rsid w:val="00C17C79"/>
    <w:rsid w:val="00C2009E"/>
    <w:rsid w:val="00C20B86"/>
    <w:rsid w:val="00C20E30"/>
    <w:rsid w:val="00C20E88"/>
    <w:rsid w:val="00C20F7F"/>
    <w:rsid w:val="00C242F6"/>
    <w:rsid w:val="00C24F7C"/>
    <w:rsid w:val="00C30BFB"/>
    <w:rsid w:val="00C33796"/>
    <w:rsid w:val="00C36A30"/>
    <w:rsid w:val="00C378D8"/>
    <w:rsid w:val="00C410C7"/>
    <w:rsid w:val="00C41A72"/>
    <w:rsid w:val="00C430F9"/>
    <w:rsid w:val="00C43707"/>
    <w:rsid w:val="00C4592D"/>
    <w:rsid w:val="00C45C01"/>
    <w:rsid w:val="00C46429"/>
    <w:rsid w:val="00C47430"/>
    <w:rsid w:val="00C50D4B"/>
    <w:rsid w:val="00C619C8"/>
    <w:rsid w:val="00C634CF"/>
    <w:rsid w:val="00C63915"/>
    <w:rsid w:val="00C65378"/>
    <w:rsid w:val="00C65CC2"/>
    <w:rsid w:val="00C65D39"/>
    <w:rsid w:val="00C66696"/>
    <w:rsid w:val="00C677EF"/>
    <w:rsid w:val="00C708E5"/>
    <w:rsid w:val="00C72BD7"/>
    <w:rsid w:val="00C73A62"/>
    <w:rsid w:val="00C75958"/>
    <w:rsid w:val="00C77427"/>
    <w:rsid w:val="00C82F2D"/>
    <w:rsid w:val="00C85462"/>
    <w:rsid w:val="00C86510"/>
    <w:rsid w:val="00C87B9B"/>
    <w:rsid w:val="00C87FBB"/>
    <w:rsid w:val="00C92099"/>
    <w:rsid w:val="00C92E0D"/>
    <w:rsid w:val="00C94F8F"/>
    <w:rsid w:val="00C9536F"/>
    <w:rsid w:val="00CB02C6"/>
    <w:rsid w:val="00CB0892"/>
    <w:rsid w:val="00CB137F"/>
    <w:rsid w:val="00CB13C8"/>
    <w:rsid w:val="00CB2FFC"/>
    <w:rsid w:val="00CB4B34"/>
    <w:rsid w:val="00CB6254"/>
    <w:rsid w:val="00CB72C6"/>
    <w:rsid w:val="00CC1DE0"/>
    <w:rsid w:val="00CC2C5F"/>
    <w:rsid w:val="00CC49A4"/>
    <w:rsid w:val="00CD009B"/>
    <w:rsid w:val="00CD3752"/>
    <w:rsid w:val="00CD53A9"/>
    <w:rsid w:val="00CD5974"/>
    <w:rsid w:val="00CD7579"/>
    <w:rsid w:val="00CD7F80"/>
    <w:rsid w:val="00CE2F7A"/>
    <w:rsid w:val="00CE48C9"/>
    <w:rsid w:val="00CE7D19"/>
    <w:rsid w:val="00CF4184"/>
    <w:rsid w:val="00CF419C"/>
    <w:rsid w:val="00CF4602"/>
    <w:rsid w:val="00CF47CF"/>
    <w:rsid w:val="00CF558E"/>
    <w:rsid w:val="00CF606C"/>
    <w:rsid w:val="00CF6C51"/>
    <w:rsid w:val="00CF73AC"/>
    <w:rsid w:val="00D014C1"/>
    <w:rsid w:val="00D022EA"/>
    <w:rsid w:val="00D03AFB"/>
    <w:rsid w:val="00D0464F"/>
    <w:rsid w:val="00D04B16"/>
    <w:rsid w:val="00D12427"/>
    <w:rsid w:val="00D1663F"/>
    <w:rsid w:val="00D22911"/>
    <w:rsid w:val="00D22C6A"/>
    <w:rsid w:val="00D22FD5"/>
    <w:rsid w:val="00D271CC"/>
    <w:rsid w:val="00D30E6B"/>
    <w:rsid w:val="00D3303F"/>
    <w:rsid w:val="00D352FA"/>
    <w:rsid w:val="00D35C13"/>
    <w:rsid w:val="00D409B1"/>
    <w:rsid w:val="00D40A7F"/>
    <w:rsid w:val="00D42D8F"/>
    <w:rsid w:val="00D432D1"/>
    <w:rsid w:val="00D44350"/>
    <w:rsid w:val="00D44581"/>
    <w:rsid w:val="00D45054"/>
    <w:rsid w:val="00D46C7C"/>
    <w:rsid w:val="00D51C2F"/>
    <w:rsid w:val="00D555F0"/>
    <w:rsid w:val="00D57662"/>
    <w:rsid w:val="00D61794"/>
    <w:rsid w:val="00D617FB"/>
    <w:rsid w:val="00D62529"/>
    <w:rsid w:val="00D62697"/>
    <w:rsid w:val="00D63F06"/>
    <w:rsid w:val="00D643FF"/>
    <w:rsid w:val="00D648E7"/>
    <w:rsid w:val="00D656F4"/>
    <w:rsid w:val="00D65BD2"/>
    <w:rsid w:val="00D71613"/>
    <w:rsid w:val="00D740AF"/>
    <w:rsid w:val="00D75F3F"/>
    <w:rsid w:val="00D76DC6"/>
    <w:rsid w:val="00D77A5F"/>
    <w:rsid w:val="00D8408D"/>
    <w:rsid w:val="00D85649"/>
    <w:rsid w:val="00D92DB7"/>
    <w:rsid w:val="00D93B8E"/>
    <w:rsid w:val="00D93DE2"/>
    <w:rsid w:val="00D95325"/>
    <w:rsid w:val="00D97518"/>
    <w:rsid w:val="00DA03BE"/>
    <w:rsid w:val="00DA13D7"/>
    <w:rsid w:val="00DA39F6"/>
    <w:rsid w:val="00DB28DD"/>
    <w:rsid w:val="00DB2ABB"/>
    <w:rsid w:val="00DC0C79"/>
    <w:rsid w:val="00DC144D"/>
    <w:rsid w:val="00DC1D59"/>
    <w:rsid w:val="00DC4266"/>
    <w:rsid w:val="00DC42E2"/>
    <w:rsid w:val="00DC5418"/>
    <w:rsid w:val="00DC5564"/>
    <w:rsid w:val="00DC5C6D"/>
    <w:rsid w:val="00DD3411"/>
    <w:rsid w:val="00DD6148"/>
    <w:rsid w:val="00DD69A5"/>
    <w:rsid w:val="00DE0569"/>
    <w:rsid w:val="00DE07CD"/>
    <w:rsid w:val="00DE500F"/>
    <w:rsid w:val="00DE50DD"/>
    <w:rsid w:val="00DE5D5E"/>
    <w:rsid w:val="00DF04E2"/>
    <w:rsid w:val="00DF171C"/>
    <w:rsid w:val="00DF2DA3"/>
    <w:rsid w:val="00E00755"/>
    <w:rsid w:val="00E011E3"/>
    <w:rsid w:val="00E15A0B"/>
    <w:rsid w:val="00E160FC"/>
    <w:rsid w:val="00E170E1"/>
    <w:rsid w:val="00E17BD3"/>
    <w:rsid w:val="00E21C17"/>
    <w:rsid w:val="00E26C6C"/>
    <w:rsid w:val="00E27C76"/>
    <w:rsid w:val="00E30FE9"/>
    <w:rsid w:val="00E345C9"/>
    <w:rsid w:val="00E366A3"/>
    <w:rsid w:val="00E455F6"/>
    <w:rsid w:val="00E47630"/>
    <w:rsid w:val="00E51362"/>
    <w:rsid w:val="00E5204B"/>
    <w:rsid w:val="00E52785"/>
    <w:rsid w:val="00E53376"/>
    <w:rsid w:val="00E55B3E"/>
    <w:rsid w:val="00E57DFE"/>
    <w:rsid w:val="00E602A9"/>
    <w:rsid w:val="00E61562"/>
    <w:rsid w:val="00E615B5"/>
    <w:rsid w:val="00E6699F"/>
    <w:rsid w:val="00E7248D"/>
    <w:rsid w:val="00E771D5"/>
    <w:rsid w:val="00E82AFE"/>
    <w:rsid w:val="00E85D31"/>
    <w:rsid w:val="00E905E3"/>
    <w:rsid w:val="00E907B4"/>
    <w:rsid w:val="00E90DF2"/>
    <w:rsid w:val="00E92E57"/>
    <w:rsid w:val="00E9473D"/>
    <w:rsid w:val="00E95FD6"/>
    <w:rsid w:val="00E96A0E"/>
    <w:rsid w:val="00EA30E8"/>
    <w:rsid w:val="00EA339D"/>
    <w:rsid w:val="00EA53BD"/>
    <w:rsid w:val="00EB3CFB"/>
    <w:rsid w:val="00EB56E1"/>
    <w:rsid w:val="00EB751D"/>
    <w:rsid w:val="00EC0588"/>
    <w:rsid w:val="00EC2EFC"/>
    <w:rsid w:val="00EC376A"/>
    <w:rsid w:val="00EC5FEC"/>
    <w:rsid w:val="00EC6140"/>
    <w:rsid w:val="00EC765A"/>
    <w:rsid w:val="00ED070F"/>
    <w:rsid w:val="00ED0785"/>
    <w:rsid w:val="00ED2C36"/>
    <w:rsid w:val="00ED4756"/>
    <w:rsid w:val="00ED686E"/>
    <w:rsid w:val="00EE2022"/>
    <w:rsid w:val="00EE5157"/>
    <w:rsid w:val="00EF0795"/>
    <w:rsid w:val="00EF55E5"/>
    <w:rsid w:val="00EF728F"/>
    <w:rsid w:val="00F00F13"/>
    <w:rsid w:val="00F027FB"/>
    <w:rsid w:val="00F11A53"/>
    <w:rsid w:val="00F120A7"/>
    <w:rsid w:val="00F15000"/>
    <w:rsid w:val="00F15FD6"/>
    <w:rsid w:val="00F20C77"/>
    <w:rsid w:val="00F21285"/>
    <w:rsid w:val="00F222C7"/>
    <w:rsid w:val="00F23CA5"/>
    <w:rsid w:val="00F25ECF"/>
    <w:rsid w:val="00F262A7"/>
    <w:rsid w:val="00F26FE0"/>
    <w:rsid w:val="00F30083"/>
    <w:rsid w:val="00F33FD9"/>
    <w:rsid w:val="00F4093A"/>
    <w:rsid w:val="00F41054"/>
    <w:rsid w:val="00F45501"/>
    <w:rsid w:val="00F462CC"/>
    <w:rsid w:val="00F500AB"/>
    <w:rsid w:val="00F51760"/>
    <w:rsid w:val="00F53167"/>
    <w:rsid w:val="00F54D06"/>
    <w:rsid w:val="00F54EA0"/>
    <w:rsid w:val="00F55346"/>
    <w:rsid w:val="00F649FC"/>
    <w:rsid w:val="00F6597D"/>
    <w:rsid w:val="00F663B0"/>
    <w:rsid w:val="00F66FE9"/>
    <w:rsid w:val="00F674C9"/>
    <w:rsid w:val="00F713AC"/>
    <w:rsid w:val="00F71F86"/>
    <w:rsid w:val="00F748C9"/>
    <w:rsid w:val="00F74FF1"/>
    <w:rsid w:val="00F753C7"/>
    <w:rsid w:val="00F77A76"/>
    <w:rsid w:val="00F77B8D"/>
    <w:rsid w:val="00F80757"/>
    <w:rsid w:val="00F822A2"/>
    <w:rsid w:val="00F82545"/>
    <w:rsid w:val="00F82CD2"/>
    <w:rsid w:val="00F8433C"/>
    <w:rsid w:val="00F86082"/>
    <w:rsid w:val="00F92227"/>
    <w:rsid w:val="00F92DD8"/>
    <w:rsid w:val="00F95F1E"/>
    <w:rsid w:val="00F97E68"/>
    <w:rsid w:val="00FA1F85"/>
    <w:rsid w:val="00FA59FF"/>
    <w:rsid w:val="00FA7965"/>
    <w:rsid w:val="00FB0376"/>
    <w:rsid w:val="00FB123A"/>
    <w:rsid w:val="00FB499C"/>
    <w:rsid w:val="00FB61C9"/>
    <w:rsid w:val="00FC0AB9"/>
    <w:rsid w:val="00FC3A91"/>
    <w:rsid w:val="00FC481F"/>
    <w:rsid w:val="00FC5FCA"/>
    <w:rsid w:val="00FD1A1A"/>
    <w:rsid w:val="00FD5411"/>
    <w:rsid w:val="00FD624F"/>
    <w:rsid w:val="00FD6EB9"/>
    <w:rsid w:val="00FE1F99"/>
    <w:rsid w:val="00FE2D26"/>
    <w:rsid w:val="00FE3C56"/>
    <w:rsid w:val="00FE3EF6"/>
    <w:rsid w:val="00FE4429"/>
    <w:rsid w:val="00FF0282"/>
    <w:rsid w:val="00FF08FD"/>
    <w:rsid w:val="00FF4D7B"/>
    <w:rsid w:val="00FF6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2078D"/>
  <w15:chartTrackingRefBased/>
  <w15:docId w15:val="{D88C67B2-EAF2-46E7-A91F-299E69F4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97F"/>
  </w:style>
  <w:style w:type="paragraph" w:styleId="Heading1">
    <w:name w:val="heading 1"/>
    <w:basedOn w:val="Normal"/>
    <w:next w:val="Normal"/>
    <w:link w:val="Heading1Char"/>
    <w:uiPriority w:val="9"/>
    <w:qFormat/>
    <w:rsid w:val="001B508A"/>
    <w:pPr>
      <w:keepNext/>
      <w:keepLines/>
      <w:numPr>
        <w:numId w:val="27"/>
      </w:numPr>
      <w:spacing w:before="240" w:after="0"/>
      <w:outlineLvl w:val="0"/>
    </w:pPr>
    <w:rPr>
      <w:rFonts w:ascii="Times New Roman" w:eastAsiaTheme="majorEastAsia" w:hAnsi="Times New Roman" w:cs="Times New Roman"/>
      <w:sz w:val="32"/>
      <w:szCs w:val="32"/>
    </w:rPr>
  </w:style>
  <w:style w:type="paragraph" w:styleId="Heading2">
    <w:name w:val="heading 2"/>
    <w:basedOn w:val="Normal"/>
    <w:next w:val="Normal"/>
    <w:link w:val="Heading2Char"/>
    <w:uiPriority w:val="9"/>
    <w:unhideWhenUsed/>
    <w:qFormat/>
    <w:rsid w:val="00BA1AB9"/>
    <w:pPr>
      <w:keepNext/>
      <w:keepLines/>
      <w:numPr>
        <w:ilvl w:val="1"/>
        <w:numId w:val="27"/>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22FD5"/>
    <w:pPr>
      <w:keepNext/>
      <w:keepLines/>
      <w:numPr>
        <w:ilvl w:val="2"/>
        <w:numId w:val="27"/>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22FD5"/>
    <w:pPr>
      <w:keepNext/>
      <w:keepLines/>
      <w:numPr>
        <w:ilvl w:val="3"/>
        <w:numId w:val="2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22FD5"/>
    <w:pPr>
      <w:keepNext/>
      <w:keepLines/>
      <w:numPr>
        <w:ilvl w:val="4"/>
        <w:numId w:val="2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22FD5"/>
    <w:pPr>
      <w:keepNext/>
      <w:keepLines/>
      <w:numPr>
        <w:ilvl w:val="5"/>
        <w:numId w:val="2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22FD5"/>
    <w:pPr>
      <w:keepNext/>
      <w:keepLines/>
      <w:numPr>
        <w:ilvl w:val="6"/>
        <w:numId w:val="2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22FD5"/>
    <w:pPr>
      <w:keepNext/>
      <w:keepLines/>
      <w:numPr>
        <w:ilvl w:val="7"/>
        <w:numId w:val="2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22FD5"/>
    <w:pPr>
      <w:keepNext/>
      <w:keepLines/>
      <w:numPr>
        <w:ilvl w:val="8"/>
        <w:numId w:val="2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C4A5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87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B9B"/>
  </w:style>
  <w:style w:type="paragraph" w:styleId="Footer">
    <w:name w:val="footer"/>
    <w:basedOn w:val="Normal"/>
    <w:link w:val="FooterChar"/>
    <w:uiPriority w:val="99"/>
    <w:unhideWhenUsed/>
    <w:rsid w:val="00C87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B9B"/>
  </w:style>
  <w:style w:type="paragraph" w:customStyle="1" w:styleId="IOPTitle">
    <w:name w:val="IOPTitle"/>
    <w:basedOn w:val="Normal"/>
    <w:link w:val="IOPTitleChar"/>
    <w:qFormat/>
    <w:rsid w:val="00244971"/>
    <w:pPr>
      <w:spacing w:after="520"/>
    </w:pPr>
    <w:rPr>
      <w:rFonts w:ascii="Calibri" w:eastAsia="Calibri" w:hAnsi="Calibri" w:cs="Times New Roman"/>
      <w:b/>
      <w:sz w:val="48"/>
      <w:szCs w:val="48"/>
      <w:lang w:val="en-GB"/>
    </w:rPr>
  </w:style>
  <w:style w:type="character" w:customStyle="1" w:styleId="IOPTitleChar">
    <w:name w:val="IOPTitle Char"/>
    <w:link w:val="IOPTitle"/>
    <w:rsid w:val="00244971"/>
    <w:rPr>
      <w:rFonts w:ascii="Calibri" w:eastAsia="Calibri" w:hAnsi="Calibri" w:cs="Times New Roman"/>
      <w:b/>
      <w:sz w:val="48"/>
      <w:szCs w:val="48"/>
      <w:lang w:val="en-GB"/>
    </w:rPr>
  </w:style>
  <w:style w:type="character" w:customStyle="1" w:styleId="Heading1Char">
    <w:name w:val="Heading 1 Char"/>
    <w:basedOn w:val="DefaultParagraphFont"/>
    <w:link w:val="Heading1"/>
    <w:uiPriority w:val="9"/>
    <w:rsid w:val="001B508A"/>
    <w:rPr>
      <w:rFonts w:ascii="Times New Roman" w:eastAsiaTheme="majorEastAsia" w:hAnsi="Times New Roman" w:cs="Times New Roman"/>
      <w:sz w:val="32"/>
      <w:szCs w:val="32"/>
    </w:rPr>
  </w:style>
  <w:style w:type="paragraph" w:styleId="TOCHeading">
    <w:name w:val="TOC Heading"/>
    <w:basedOn w:val="Heading1"/>
    <w:next w:val="Normal"/>
    <w:uiPriority w:val="39"/>
    <w:unhideWhenUsed/>
    <w:qFormat/>
    <w:rsid w:val="00461C63"/>
    <w:pPr>
      <w:outlineLvl w:val="9"/>
    </w:pPr>
  </w:style>
  <w:style w:type="paragraph" w:styleId="TOC2">
    <w:name w:val="toc 2"/>
    <w:basedOn w:val="Normal"/>
    <w:next w:val="Normal"/>
    <w:autoRedefine/>
    <w:uiPriority w:val="39"/>
    <w:unhideWhenUsed/>
    <w:rsid w:val="00461C63"/>
    <w:pPr>
      <w:spacing w:after="100"/>
      <w:ind w:left="220"/>
    </w:pPr>
    <w:rPr>
      <w:rFonts w:eastAsiaTheme="minorEastAsia" w:cs="Times New Roman"/>
    </w:rPr>
  </w:style>
  <w:style w:type="paragraph" w:styleId="TOC1">
    <w:name w:val="toc 1"/>
    <w:basedOn w:val="Normal"/>
    <w:next w:val="Normal"/>
    <w:autoRedefine/>
    <w:uiPriority w:val="39"/>
    <w:unhideWhenUsed/>
    <w:rsid w:val="00461C63"/>
    <w:pPr>
      <w:spacing w:after="100"/>
    </w:pPr>
    <w:rPr>
      <w:rFonts w:eastAsiaTheme="minorEastAsia" w:cs="Times New Roman"/>
    </w:rPr>
  </w:style>
  <w:style w:type="paragraph" w:styleId="TOC3">
    <w:name w:val="toc 3"/>
    <w:basedOn w:val="Normal"/>
    <w:next w:val="Normal"/>
    <w:autoRedefine/>
    <w:uiPriority w:val="39"/>
    <w:unhideWhenUsed/>
    <w:rsid w:val="00461C63"/>
    <w:pPr>
      <w:spacing w:after="100"/>
      <w:ind w:left="440"/>
    </w:pPr>
    <w:rPr>
      <w:rFonts w:eastAsiaTheme="minorEastAsia" w:cs="Times New Roman"/>
    </w:rPr>
  </w:style>
  <w:style w:type="character" w:styleId="Hyperlink">
    <w:name w:val="Hyperlink"/>
    <w:basedOn w:val="DefaultParagraphFont"/>
    <w:uiPriority w:val="99"/>
    <w:unhideWhenUsed/>
    <w:rsid w:val="00847514"/>
    <w:rPr>
      <w:color w:val="0563C1" w:themeColor="hyperlink"/>
      <w:u w:val="single"/>
    </w:rPr>
  </w:style>
  <w:style w:type="character" w:styleId="UnresolvedMention">
    <w:name w:val="Unresolved Mention"/>
    <w:basedOn w:val="DefaultParagraphFont"/>
    <w:uiPriority w:val="99"/>
    <w:semiHidden/>
    <w:unhideWhenUsed/>
    <w:rsid w:val="00847514"/>
    <w:rPr>
      <w:color w:val="605E5C"/>
      <w:shd w:val="clear" w:color="auto" w:fill="E1DFDD"/>
    </w:rPr>
  </w:style>
  <w:style w:type="paragraph" w:styleId="ListParagraph">
    <w:name w:val="List Paragraph"/>
    <w:basedOn w:val="Normal"/>
    <w:uiPriority w:val="34"/>
    <w:qFormat/>
    <w:rsid w:val="00967836"/>
    <w:pPr>
      <w:ind w:left="720"/>
      <w:contextualSpacing/>
    </w:pPr>
  </w:style>
  <w:style w:type="paragraph" w:customStyle="1" w:styleId="KeyPoints">
    <w:name w:val="Key Points"/>
    <w:basedOn w:val="Normal"/>
    <w:rsid w:val="00265EBE"/>
    <w:pPr>
      <w:spacing w:before="120" w:after="0" w:line="240" w:lineRule="auto"/>
    </w:pPr>
    <w:rPr>
      <w:rFonts w:ascii="Times New Roman" w:eastAsia="Times New Roman" w:hAnsi="Times New Roman" w:cs="Times New Roman"/>
      <w:sz w:val="24"/>
      <w:szCs w:val="24"/>
    </w:rPr>
  </w:style>
  <w:style w:type="paragraph" w:customStyle="1" w:styleId="Text">
    <w:name w:val="Text"/>
    <w:basedOn w:val="Normal"/>
    <w:rsid w:val="00265EBE"/>
    <w:pPr>
      <w:spacing w:before="120" w:after="0" w:line="240" w:lineRule="auto"/>
      <w:ind w:firstLine="720"/>
    </w:pPr>
    <w:rPr>
      <w:rFonts w:ascii="Times New Roman" w:eastAsia="Times New Roman" w:hAnsi="Times New Roman" w:cs="Times New Roman"/>
      <w:sz w:val="24"/>
      <w:szCs w:val="24"/>
    </w:rPr>
  </w:style>
  <w:style w:type="paragraph" w:styleId="NoSpacing">
    <w:name w:val="No Spacing"/>
    <w:uiPriority w:val="1"/>
    <w:qFormat/>
    <w:rsid w:val="00F92DD8"/>
    <w:pPr>
      <w:spacing w:after="0" w:line="240" w:lineRule="auto"/>
    </w:pPr>
  </w:style>
  <w:style w:type="paragraph" w:customStyle="1" w:styleId="Style1">
    <w:name w:val="Style1"/>
    <w:basedOn w:val="Heading1"/>
    <w:link w:val="Style1Char"/>
    <w:qFormat/>
    <w:rsid w:val="00BB40C9"/>
    <w:rPr>
      <w:color w:val="000000" w:themeColor="text1"/>
      <w:sz w:val="28"/>
    </w:rPr>
  </w:style>
  <w:style w:type="character" w:customStyle="1" w:styleId="Style1Char">
    <w:name w:val="Style1 Char"/>
    <w:basedOn w:val="Heading1Char"/>
    <w:link w:val="Style1"/>
    <w:rsid w:val="00BB40C9"/>
    <w:rPr>
      <w:rFonts w:ascii="Times New Roman" w:eastAsiaTheme="majorEastAsia" w:hAnsi="Times New Roman" w:cstheme="majorBidi"/>
      <w:color w:val="000000" w:themeColor="text1"/>
      <w:sz w:val="28"/>
      <w:szCs w:val="32"/>
    </w:rPr>
  </w:style>
  <w:style w:type="paragraph" w:customStyle="1" w:styleId="Subheading">
    <w:name w:val="Subheading"/>
    <w:basedOn w:val="Normal"/>
    <w:link w:val="SubheadingChar"/>
    <w:qFormat/>
    <w:rsid w:val="00BA1AB9"/>
    <w:rPr>
      <w:rFonts w:ascii="Times New Roman" w:hAnsi="Times New Roman" w:cs="Times New Roman"/>
      <w:sz w:val="24"/>
      <w:szCs w:val="24"/>
    </w:rPr>
  </w:style>
  <w:style w:type="character" w:customStyle="1" w:styleId="SubheadingChar">
    <w:name w:val="Subheading Char"/>
    <w:basedOn w:val="DefaultParagraphFont"/>
    <w:link w:val="Subheading"/>
    <w:rsid w:val="00BA1AB9"/>
    <w:rPr>
      <w:rFonts w:ascii="Times New Roman" w:hAnsi="Times New Roman" w:cs="Times New Roman"/>
      <w:sz w:val="24"/>
      <w:szCs w:val="24"/>
    </w:rPr>
  </w:style>
  <w:style w:type="paragraph" w:customStyle="1" w:styleId="Style2">
    <w:name w:val="Style2"/>
    <w:basedOn w:val="Subheading"/>
    <w:link w:val="Style2Char"/>
    <w:qFormat/>
    <w:rsid w:val="00BA1AB9"/>
  </w:style>
  <w:style w:type="character" w:customStyle="1" w:styleId="Style2Char">
    <w:name w:val="Style2 Char"/>
    <w:basedOn w:val="SubheadingChar"/>
    <w:link w:val="Style2"/>
    <w:rsid w:val="00BA1AB9"/>
    <w:rPr>
      <w:rFonts w:ascii="Times New Roman" w:hAnsi="Times New Roman" w:cs="Times New Roman"/>
      <w:sz w:val="24"/>
      <w:szCs w:val="24"/>
    </w:rPr>
  </w:style>
  <w:style w:type="character" w:customStyle="1" w:styleId="Heading2Char">
    <w:name w:val="Heading 2 Char"/>
    <w:basedOn w:val="DefaultParagraphFont"/>
    <w:link w:val="Heading2"/>
    <w:uiPriority w:val="9"/>
    <w:rsid w:val="00BA1AB9"/>
    <w:rPr>
      <w:rFonts w:asciiTheme="majorHAnsi" w:eastAsiaTheme="majorEastAsia" w:hAnsiTheme="majorHAnsi" w:cstheme="majorBidi"/>
      <w:color w:val="2F5496" w:themeColor="accent1" w:themeShade="BF"/>
      <w:sz w:val="26"/>
      <w:szCs w:val="26"/>
    </w:rPr>
  </w:style>
  <w:style w:type="paragraph" w:customStyle="1" w:styleId="Style3">
    <w:name w:val="Style3"/>
    <w:basedOn w:val="Heading2"/>
    <w:link w:val="Style3Char"/>
    <w:qFormat/>
    <w:rsid w:val="00BA1AB9"/>
    <w:rPr>
      <w:rFonts w:ascii="Times New Roman" w:hAnsi="Times New Roman"/>
      <w:color w:val="auto"/>
      <w:sz w:val="24"/>
    </w:rPr>
  </w:style>
  <w:style w:type="character" w:customStyle="1" w:styleId="Style3Char">
    <w:name w:val="Style3 Char"/>
    <w:basedOn w:val="Heading2Char"/>
    <w:link w:val="Style3"/>
    <w:rsid w:val="00BA1AB9"/>
    <w:rPr>
      <w:rFonts w:ascii="Times New Roman" w:eastAsiaTheme="majorEastAsia" w:hAnsi="Times New Roman" w:cstheme="majorBidi"/>
      <w:color w:val="2F5496" w:themeColor="accent1" w:themeShade="BF"/>
      <w:sz w:val="24"/>
      <w:szCs w:val="26"/>
    </w:rPr>
  </w:style>
  <w:style w:type="paragraph" w:styleId="Bibliography">
    <w:name w:val="Bibliography"/>
    <w:basedOn w:val="Normal"/>
    <w:next w:val="Normal"/>
    <w:uiPriority w:val="37"/>
    <w:unhideWhenUsed/>
    <w:rsid w:val="00590FC1"/>
    <w:pPr>
      <w:spacing w:after="0" w:line="480" w:lineRule="auto"/>
      <w:ind w:left="720" w:hanging="720"/>
    </w:pPr>
  </w:style>
  <w:style w:type="character" w:styleId="FollowedHyperlink">
    <w:name w:val="FollowedHyperlink"/>
    <w:basedOn w:val="DefaultParagraphFont"/>
    <w:uiPriority w:val="99"/>
    <w:semiHidden/>
    <w:unhideWhenUsed/>
    <w:rsid w:val="00B575B2"/>
    <w:rPr>
      <w:color w:val="954F72" w:themeColor="followedHyperlink"/>
      <w:u w:val="single"/>
    </w:rPr>
  </w:style>
  <w:style w:type="character" w:customStyle="1" w:styleId="title-text">
    <w:name w:val="title-text"/>
    <w:basedOn w:val="DefaultParagraphFont"/>
    <w:rsid w:val="009A7211"/>
  </w:style>
  <w:style w:type="paragraph" w:styleId="NormalWeb">
    <w:name w:val="Normal (Web)"/>
    <w:basedOn w:val="Normal"/>
    <w:uiPriority w:val="99"/>
    <w:unhideWhenUsed/>
    <w:rsid w:val="00B27D4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366A3"/>
    <w:rPr>
      <w:sz w:val="16"/>
      <w:szCs w:val="16"/>
    </w:rPr>
  </w:style>
  <w:style w:type="paragraph" w:styleId="CommentText">
    <w:name w:val="annotation text"/>
    <w:basedOn w:val="Normal"/>
    <w:link w:val="CommentTextChar"/>
    <w:uiPriority w:val="99"/>
    <w:unhideWhenUsed/>
    <w:rsid w:val="00E366A3"/>
    <w:pPr>
      <w:spacing w:line="240" w:lineRule="auto"/>
    </w:pPr>
    <w:rPr>
      <w:sz w:val="20"/>
      <w:szCs w:val="20"/>
    </w:rPr>
  </w:style>
  <w:style w:type="character" w:customStyle="1" w:styleId="CommentTextChar">
    <w:name w:val="Comment Text Char"/>
    <w:basedOn w:val="DefaultParagraphFont"/>
    <w:link w:val="CommentText"/>
    <w:uiPriority w:val="99"/>
    <w:rsid w:val="00E366A3"/>
    <w:rPr>
      <w:sz w:val="20"/>
      <w:szCs w:val="20"/>
    </w:rPr>
  </w:style>
  <w:style w:type="paragraph" w:styleId="CommentSubject">
    <w:name w:val="annotation subject"/>
    <w:basedOn w:val="CommentText"/>
    <w:next w:val="CommentText"/>
    <w:link w:val="CommentSubjectChar"/>
    <w:uiPriority w:val="99"/>
    <w:semiHidden/>
    <w:unhideWhenUsed/>
    <w:rsid w:val="00E366A3"/>
    <w:rPr>
      <w:b/>
      <w:bCs/>
    </w:rPr>
  </w:style>
  <w:style w:type="character" w:customStyle="1" w:styleId="CommentSubjectChar">
    <w:name w:val="Comment Subject Char"/>
    <w:basedOn w:val="CommentTextChar"/>
    <w:link w:val="CommentSubject"/>
    <w:uiPriority w:val="99"/>
    <w:semiHidden/>
    <w:rsid w:val="00E366A3"/>
    <w:rPr>
      <w:b/>
      <w:bCs/>
      <w:sz w:val="20"/>
      <w:szCs w:val="20"/>
    </w:rPr>
  </w:style>
  <w:style w:type="paragraph" w:styleId="Revision">
    <w:name w:val="Revision"/>
    <w:hidden/>
    <w:uiPriority w:val="99"/>
    <w:semiHidden/>
    <w:rsid w:val="001A1DC7"/>
    <w:pPr>
      <w:spacing w:after="0" w:line="240" w:lineRule="auto"/>
    </w:pPr>
  </w:style>
  <w:style w:type="paragraph" w:customStyle="1" w:styleId="Abstract">
    <w:name w:val="Abstract"/>
    <w:basedOn w:val="Normal"/>
    <w:qFormat/>
    <w:rsid w:val="0062719E"/>
    <w:pPr>
      <w:spacing w:before="120" w:after="0" w:line="240" w:lineRule="auto"/>
    </w:pPr>
    <w:rPr>
      <w:rFonts w:ascii="Times New Roman" w:eastAsia="Times New Roman" w:hAnsi="Times New Roman" w:cs="Times New Roman"/>
      <w:sz w:val="24"/>
      <w:szCs w:val="24"/>
    </w:rPr>
  </w:style>
  <w:style w:type="table" w:styleId="ListTable2">
    <w:name w:val="List Table 2"/>
    <w:basedOn w:val="TableNormal"/>
    <w:uiPriority w:val="47"/>
    <w:rsid w:val="0062719E"/>
    <w:pPr>
      <w:spacing w:after="0" w:line="240" w:lineRule="auto"/>
    </w:pPr>
    <w:rPr>
      <w:rFonts w:ascii="Times New Roman" w:hAnsi="Times New Roman" w:cs="Times New Roman"/>
      <w:sz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98791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C72BD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gnvwddmdn3b">
    <w:name w:val="gnvwddmdn3b"/>
    <w:basedOn w:val="DefaultParagraphFont"/>
    <w:rsid w:val="00537FE1"/>
  </w:style>
  <w:style w:type="paragraph" w:styleId="HTMLPreformatted">
    <w:name w:val="HTML Preformatted"/>
    <w:basedOn w:val="Normal"/>
    <w:link w:val="HTMLPreformattedChar"/>
    <w:uiPriority w:val="99"/>
    <w:semiHidden/>
    <w:unhideWhenUsed/>
    <w:rsid w:val="00544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4469C"/>
    <w:rPr>
      <w:rFonts w:ascii="Courier New" w:eastAsia="Times New Roman" w:hAnsi="Courier New" w:cs="Courier New"/>
      <w:sz w:val="20"/>
      <w:szCs w:val="20"/>
    </w:rPr>
  </w:style>
  <w:style w:type="paragraph" w:customStyle="1" w:styleId="Heading-Secondary">
    <w:name w:val="Heading-Secondary"/>
    <w:basedOn w:val="Normal"/>
    <w:qFormat/>
    <w:rsid w:val="00EB3CFB"/>
    <w:pPr>
      <w:keepNext/>
      <w:spacing w:before="240" w:after="120" w:line="240" w:lineRule="auto"/>
      <w:ind w:left="720"/>
      <w:outlineLvl w:val="0"/>
    </w:pPr>
    <w:rPr>
      <w:rFonts w:ascii="Times New Roman" w:eastAsia="Times New Roman" w:hAnsi="Times New Roman" w:cs="Times New Roman"/>
      <w:bCs/>
      <w:kern w:val="28"/>
      <w:sz w:val="24"/>
      <w:szCs w:val="24"/>
    </w:rPr>
  </w:style>
  <w:style w:type="paragraph" w:styleId="Caption">
    <w:name w:val="caption"/>
    <w:basedOn w:val="Normal"/>
    <w:next w:val="Normal"/>
    <w:uiPriority w:val="35"/>
    <w:unhideWhenUsed/>
    <w:qFormat/>
    <w:rsid w:val="008C696A"/>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semiHidden/>
    <w:rsid w:val="00D22FD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22FD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22FD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22FD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22FD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22FD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22FD5"/>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uiPriority w:val="99"/>
    <w:unhideWhenUsed/>
    <w:rsid w:val="009A4202"/>
    <w:pPr>
      <w:spacing w:after="0"/>
    </w:pPr>
  </w:style>
  <w:style w:type="table" w:styleId="PlainTable3">
    <w:name w:val="Plain Table 3"/>
    <w:basedOn w:val="TableNormal"/>
    <w:uiPriority w:val="43"/>
    <w:rsid w:val="00E17BD3"/>
    <w:pPr>
      <w:spacing w:after="0" w:line="240" w:lineRule="auto"/>
    </w:pPr>
    <w:rPr>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781543">
      <w:bodyDiv w:val="1"/>
      <w:marLeft w:val="0"/>
      <w:marRight w:val="0"/>
      <w:marTop w:val="0"/>
      <w:marBottom w:val="0"/>
      <w:divBdr>
        <w:top w:val="none" w:sz="0" w:space="0" w:color="auto"/>
        <w:left w:val="none" w:sz="0" w:space="0" w:color="auto"/>
        <w:bottom w:val="none" w:sz="0" w:space="0" w:color="auto"/>
        <w:right w:val="none" w:sz="0" w:space="0" w:color="auto"/>
      </w:divBdr>
    </w:div>
    <w:div w:id="100153083">
      <w:bodyDiv w:val="1"/>
      <w:marLeft w:val="0"/>
      <w:marRight w:val="0"/>
      <w:marTop w:val="0"/>
      <w:marBottom w:val="0"/>
      <w:divBdr>
        <w:top w:val="none" w:sz="0" w:space="0" w:color="auto"/>
        <w:left w:val="none" w:sz="0" w:space="0" w:color="auto"/>
        <w:bottom w:val="none" w:sz="0" w:space="0" w:color="auto"/>
        <w:right w:val="none" w:sz="0" w:space="0" w:color="auto"/>
      </w:divBdr>
    </w:div>
    <w:div w:id="439298154">
      <w:bodyDiv w:val="1"/>
      <w:marLeft w:val="0"/>
      <w:marRight w:val="0"/>
      <w:marTop w:val="0"/>
      <w:marBottom w:val="0"/>
      <w:divBdr>
        <w:top w:val="none" w:sz="0" w:space="0" w:color="auto"/>
        <w:left w:val="none" w:sz="0" w:space="0" w:color="auto"/>
        <w:bottom w:val="none" w:sz="0" w:space="0" w:color="auto"/>
        <w:right w:val="none" w:sz="0" w:space="0" w:color="auto"/>
      </w:divBdr>
    </w:div>
    <w:div w:id="1428578318">
      <w:bodyDiv w:val="1"/>
      <w:marLeft w:val="0"/>
      <w:marRight w:val="0"/>
      <w:marTop w:val="0"/>
      <w:marBottom w:val="0"/>
      <w:divBdr>
        <w:top w:val="none" w:sz="0" w:space="0" w:color="auto"/>
        <w:left w:val="none" w:sz="0" w:space="0" w:color="auto"/>
        <w:bottom w:val="none" w:sz="0" w:space="0" w:color="auto"/>
        <w:right w:val="none" w:sz="0" w:space="0" w:color="auto"/>
      </w:divBdr>
    </w:div>
    <w:div w:id="1588726343">
      <w:bodyDiv w:val="1"/>
      <w:marLeft w:val="0"/>
      <w:marRight w:val="0"/>
      <w:marTop w:val="0"/>
      <w:marBottom w:val="0"/>
      <w:divBdr>
        <w:top w:val="none" w:sz="0" w:space="0" w:color="auto"/>
        <w:left w:val="none" w:sz="0" w:space="0" w:color="auto"/>
        <w:bottom w:val="none" w:sz="0" w:space="0" w:color="auto"/>
        <w:right w:val="none" w:sz="0" w:space="0" w:color="auto"/>
      </w:divBdr>
    </w:div>
    <w:div w:id="1878472250">
      <w:bodyDiv w:val="1"/>
      <w:marLeft w:val="0"/>
      <w:marRight w:val="0"/>
      <w:marTop w:val="0"/>
      <w:marBottom w:val="0"/>
      <w:divBdr>
        <w:top w:val="none" w:sz="0" w:space="0" w:color="auto"/>
        <w:left w:val="none" w:sz="0" w:space="0" w:color="auto"/>
        <w:bottom w:val="none" w:sz="0" w:space="0" w:color="auto"/>
        <w:right w:val="none" w:sz="0" w:space="0" w:color="auto"/>
      </w:divBdr>
    </w:div>
    <w:div w:id="213956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asi.aeris-data.fr/" TargetMode="External"/><Relationship Id="rId21" Type="http://schemas.openxmlformats.org/officeDocument/2006/relationships/image" Target="media/image5.png"/><Relationship Id="rId42" Type="http://schemas.openxmlformats.org/officeDocument/2006/relationships/image" Target="media/image22.png"/><Relationship Id="rId47" Type="http://schemas.openxmlformats.org/officeDocument/2006/relationships/image" Target="media/image26.png"/><Relationship Id="rId63" Type="http://schemas.openxmlformats.org/officeDocument/2006/relationships/image" Target="media/image42.emf"/><Relationship Id="rId68" Type="http://schemas.openxmlformats.org/officeDocument/2006/relationships/image" Target="media/image47.png"/><Relationship Id="rId84" Type="http://schemas.openxmlformats.org/officeDocument/2006/relationships/image" Target="media/image63.png"/><Relationship Id="rId89" Type="http://schemas.openxmlformats.org/officeDocument/2006/relationships/image" Target="media/image68.png"/><Relationship Id="rId16" Type="http://schemas.openxmlformats.org/officeDocument/2006/relationships/hyperlink" Target="https://indaaf.obs-mip.fr/" TargetMode="External"/><Relationship Id="rId11" Type="http://schemas.openxmlformats.org/officeDocument/2006/relationships/hyperlink" Target="https://nadp.slh.wisc.edu/committees/tdep/" TargetMode="External"/><Relationship Id="rId32" Type="http://schemas.openxmlformats.org/officeDocument/2006/relationships/image" Target="media/image13.png"/><Relationship Id="rId37" Type="http://schemas.openxmlformats.org/officeDocument/2006/relationships/hyperlink" Target="https://esgf-node.llnl.gov/projects/cmip6" TargetMode="External"/><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image" Target="media/image53.png"/><Relationship Id="rId79" Type="http://schemas.openxmlformats.org/officeDocument/2006/relationships/image" Target="media/image58.png"/><Relationship Id="rId5" Type="http://schemas.openxmlformats.org/officeDocument/2006/relationships/webSettings" Target="webSettings.xml"/><Relationship Id="rId90" Type="http://schemas.openxmlformats.org/officeDocument/2006/relationships/image" Target="media/image69.png"/><Relationship Id="rId22" Type="http://schemas.openxmlformats.org/officeDocument/2006/relationships/image" Target="media/image6.png"/><Relationship Id="rId27" Type="http://schemas.openxmlformats.org/officeDocument/2006/relationships/image" Target="media/image8.png"/><Relationship Id="rId43" Type="http://schemas.openxmlformats.org/officeDocument/2006/relationships/hyperlink" Target="https://www.ncei.noaa.gov/" TargetMode="External"/><Relationship Id="rId48" Type="http://schemas.openxmlformats.org/officeDocument/2006/relationships/image" Target="media/image27.png"/><Relationship Id="rId64" Type="http://schemas.openxmlformats.org/officeDocument/2006/relationships/image" Target="media/image43.emf"/><Relationship Id="rId69" Type="http://schemas.openxmlformats.org/officeDocument/2006/relationships/image" Target="media/image48.png"/><Relationship Id="rId8" Type="http://schemas.openxmlformats.org/officeDocument/2006/relationships/footer" Target="footer1.xml"/><Relationship Id="rId51" Type="http://schemas.openxmlformats.org/officeDocument/2006/relationships/image" Target="media/image30.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image" Target="media/image64.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nadp.slh.wisc.edu/NTN/" TargetMode="External"/><Relationship Id="rId17" Type="http://schemas.openxmlformats.org/officeDocument/2006/relationships/image" Target="media/image1.png"/><Relationship Id="rId25" Type="http://schemas.openxmlformats.org/officeDocument/2006/relationships/hyperlink" Target="https://www2.acom.ucar.edu/gcm/cam-chem" TargetMode="External"/><Relationship Id="rId33" Type="http://schemas.openxmlformats.org/officeDocument/2006/relationships/image" Target="media/image14.png"/><Relationship Id="rId38" Type="http://schemas.openxmlformats.org/officeDocument/2006/relationships/image" Target="media/image18.png"/><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image" Target="media/image4.png"/><Relationship Id="rId41" Type="http://schemas.openxmlformats.org/officeDocument/2006/relationships/image" Target="media/image21.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anet.asia/T" TargetMode="External"/><Relationship Id="rId23" Type="http://schemas.openxmlformats.org/officeDocument/2006/relationships/image" Target="media/image7.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hyperlink" Target="https://prism.oregonstate.edu/" TargetMode="External"/><Relationship Id="rId31" Type="http://schemas.openxmlformats.org/officeDocument/2006/relationships/image" Target="media/image12.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4" Type="http://schemas.openxmlformats.org/officeDocument/2006/relationships/settings" Target="settings.xml"/><Relationship Id="rId9" Type="http://schemas.openxmlformats.org/officeDocument/2006/relationships/hyperlink" Target="https://bioenergymodels.nrel.gov/models/37/" TargetMode="External"/><Relationship Id="rId13" Type="http://schemas.openxmlformats.org/officeDocument/2006/relationships/hyperlink" Target="https://donnees.ec.gc.ca/data/air/monitor/" TargetMode="External"/><Relationship Id="rId18" Type="http://schemas.openxmlformats.org/officeDocument/2006/relationships/image" Target="media/image2.emf"/><Relationship Id="rId39" Type="http://schemas.openxmlformats.org/officeDocument/2006/relationships/image" Target="media/image19.png"/><Relationship Id="rId34" Type="http://schemas.openxmlformats.org/officeDocument/2006/relationships/image" Target="media/image15.png"/><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image" Target="media/image50.pn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hyperlink" Target="http://acmg.seas.harvard.edu/geos/" TargetMode="External"/><Relationship Id="rId40" Type="http://schemas.openxmlformats.org/officeDocument/2006/relationships/image" Target="media/image20.png"/><Relationship Id="rId45" Type="http://schemas.openxmlformats.org/officeDocument/2006/relationships/image" Target="media/image24.png"/><Relationship Id="rId66" Type="http://schemas.openxmlformats.org/officeDocument/2006/relationships/image" Target="media/image45.png"/><Relationship Id="rId87" Type="http://schemas.openxmlformats.org/officeDocument/2006/relationships/image" Target="media/image66.png"/><Relationship Id="rId61" Type="http://schemas.openxmlformats.org/officeDocument/2006/relationships/image" Target="media/image40.png"/><Relationship Id="rId82" Type="http://schemas.openxmlformats.org/officeDocument/2006/relationships/image" Target="media/image61.png"/><Relationship Id="rId19" Type="http://schemas.openxmlformats.org/officeDocument/2006/relationships/image" Target="media/image3.png"/><Relationship Id="rId14" Type="http://schemas.openxmlformats.org/officeDocument/2006/relationships/hyperlink" Target="http://ebas-data.nilu.no/" TargetMode="External"/><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35.emf"/><Relationship Id="rId77"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31800-5613-45C6-93D2-6D50BB45E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185570</Words>
  <Characters>1057752</Characters>
  <Application>Microsoft Office Word</Application>
  <DocSecurity>0</DocSecurity>
  <Lines>8814</Lines>
  <Paragraphs>2481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Rubin, Hannah Jeanette</dc:creator>
  <cp:keywords/>
  <dc:description/>
  <cp:lastModifiedBy>Rubin, Hannah Jeanette</cp:lastModifiedBy>
  <cp:revision>11</cp:revision>
  <dcterms:created xsi:type="dcterms:W3CDTF">2024-12-06T00:46:00Z</dcterms:created>
  <dcterms:modified xsi:type="dcterms:W3CDTF">2024-12-06T15:34:00Z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id="La0QkTYw"/&gt;&lt;style id="http://www.zotero.org/styles/geophysical-research-letters" hasBibliography="1" bibliographyStyleHasBeenSet="1"/&gt;&lt;prefs&gt;&lt;pref name="fieldType" value="Field"/&gt;&lt;/prefs&gt;&lt;/data&gt;</vt:lpwstr>
  </property>
</Properties>
</file>