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170" w:rsidRPr="00764631" w:rsidRDefault="00EE0170" w:rsidP="008F11A3">
      <w:pPr>
        <w:spacing w:after="0" w:line="480" w:lineRule="auto"/>
        <w:contextualSpacing/>
        <w:jc w:val="center"/>
        <w:rPr>
          <w:b/>
          <w:sz w:val="24"/>
          <w:szCs w:val="24"/>
        </w:rPr>
      </w:pPr>
      <w:r w:rsidRPr="00764631">
        <w:rPr>
          <w:b/>
          <w:sz w:val="24"/>
          <w:szCs w:val="24"/>
        </w:rPr>
        <w:t xml:space="preserve">BG-4, a novel bioactive peptide from </w:t>
      </w:r>
      <w:r w:rsidRPr="00764631">
        <w:rPr>
          <w:b/>
          <w:i/>
          <w:sz w:val="24"/>
          <w:szCs w:val="24"/>
        </w:rPr>
        <w:t xml:space="preserve">Momordica charantia, </w:t>
      </w:r>
      <w:r w:rsidRPr="00764631">
        <w:rPr>
          <w:b/>
          <w:sz w:val="24"/>
          <w:szCs w:val="24"/>
        </w:rPr>
        <w:t>inhibits lipopolysaccharide-induced inflammation in THP-1 human macrophages</w:t>
      </w:r>
    </w:p>
    <w:p w:rsidR="00EE0170" w:rsidRPr="00764631" w:rsidRDefault="00EE0170" w:rsidP="008F11A3">
      <w:pPr>
        <w:spacing w:after="0" w:line="480" w:lineRule="auto"/>
        <w:contextualSpacing/>
        <w:jc w:val="center"/>
        <w:rPr>
          <w:sz w:val="24"/>
          <w:szCs w:val="24"/>
        </w:rPr>
      </w:pPr>
      <w:r w:rsidRPr="00764631">
        <w:rPr>
          <w:sz w:val="24"/>
          <w:szCs w:val="24"/>
        </w:rPr>
        <w:t>Lynsey D Jones, Philipus Pangloli, Hari B Krishnan, Vermont P Dia</w:t>
      </w:r>
    </w:p>
    <w:p w:rsidR="008F11A3" w:rsidRDefault="00EE0170" w:rsidP="008F11A3">
      <w:pPr>
        <w:spacing w:after="0" w:line="480" w:lineRule="auto"/>
        <w:contextualSpacing/>
        <w:jc w:val="center"/>
        <w:rPr>
          <w:sz w:val="24"/>
          <w:szCs w:val="24"/>
        </w:rPr>
      </w:pPr>
      <w:r w:rsidRPr="00764631">
        <w:rPr>
          <w:sz w:val="24"/>
          <w:szCs w:val="24"/>
        </w:rPr>
        <w:t>Department</w:t>
      </w:r>
      <w:r w:rsidR="008F11A3">
        <w:rPr>
          <w:sz w:val="24"/>
          <w:szCs w:val="24"/>
        </w:rPr>
        <w:t xml:space="preserve"> of Food Science and Technology</w:t>
      </w:r>
    </w:p>
    <w:p w:rsidR="00EE0170" w:rsidRPr="00764631" w:rsidRDefault="00EE0170" w:rsidP="008F11A3">
      <w:pPr>
        <w:spacing w:after="0" w:line="480" w:lineRule="auto"/>
        <w:contextualSpacing/>
        <w:jc w:val="center"/>
        <w:rPr>
          <w:sz w:val="24"/>
          <w:szCs w:val="24"/>
        </w:rPr>
      </w:pPr>
      <w:r w:rsidRPr="00764631">
        <w:rPr>
          <w:sz w:val="24"/>
          <w:szCs w:val="24"/>
        </w:rPr>
        <w:t xml:space="preserve"> College of Agricultural Sciences and Natural Resources</w:t>
      </w:r>
    </w:p>
    <w:p w:rsidR="00EE0170" w:rsidRPr="00764631" w:rsidRDefault="00EE0170" w:rsidP="008F11A3">
      <w:pPr>
        <w:spacing w:after="0" w:line="480" w:lineRule="auto"/>
        <w:contextualSpacing/>
        <w:jc w:val="center"/>
        <w:rPr>
          <w:sz w:val="24"/>
          <w:szCs w:val="24"/>
        </w:rPr>
      </w:pPr>
      <w:r w:rsidRPr="00764631">
        <w:rPr>
          <w:sz w:val="24"/>
          <w:szCs w:val="24"/>
        </w:rPr>
        <w:t>University of Tennessee, Knoxville, USA</w:t>
      </w:r>
    </w:p>
    <w:p w:rsidR="00FC4AD3" w:rsidRPr="00764631" w:rsidRDefault="00FC4AD3" w:rsidP="008F11A3">
      <w:pPr>
        <w:spacing w:line="480" w:lineRule="auto"/>
        <w:contextualSpacing/>
        <w:rPr>
          <w:sz w:val="24"/>
          <w:szCs w:val="24"/>
        </w:rPr>
      </w:pPr>
    </w:p>
    <w:p w:rsidR="00896EB7" w:rsidRPr="00764631" w:rsidRDefault="00896EB7" w:rsidP="008F11A3">
      <w:pPr>
        <w:spacing w:line="480" w:lineRule="auto"/>
        <w:contextualSpacing/>
        <w:rPr>
          <w:sz w:val="24"/>
          <w:szCs w:val="24"/>
        </w:rPr>
      </w:pPr>
    </w:p>
    <w:p w:rsidR="00896EB7" w:rsidRPr="00764631" w:rsidRDefault="00896EB7" w:rsidP="008F11A3">
      <w:pPr>
        <w:spacing w:line="480" w:lineRule="auto"/>
        <w:contextualSpacing/>
        <w:rPr>
          <w:sz w:val="24"/>
          <w:szCs w:val="24"/>
        </w:rPr>
      </w:pPr>
    </w:p>
    <w:p w:rsidR="00896EB7" w:rsidRPr="00764631" w:rsidRDefault="00896EB7" w:rsidP="008F11A3">
      <w:pPr>
        <w:spacing w:line="480" w:lineRule="auto"/>
        <w:contextualSpacing/>
        <w:rPr>
          <w:sz w:val="24"/>
          <w:szCs w:val="24"/>
        </w:rPr>
      </w:pPr>
    </w:p>
    <w:p w:rsidR="00896EB7" w:rsidRPr="00764631" w:rsidRDefault="00896EB7" w:rsidP="008F11A3">
      <w:pPr>
        <w:spacing w:line="480" w:lineRule="auto"/>
        <w:contextualSpacing/>
        <w:rPr>
          <w:sz w:val="24"/>
          <w:szCs w:val="24"/>
        </w:rPr>
      </w:pPr>
    </w:p>
    <w:p w:rsidR="00896EB7" w:rsidRPr="00764631" w:rsidRDefault="00896EB7" w:rsidP="008F11A3">
      <w:pPr>
        <w:spacing w:line="480" w:lineRule="auto"/>
        <w:contextualSpacing/>
        <w:rPr>
          <w:sz w:val="24"/>
          <w:szCs w:val="24"/>
        </w:rPr>
      </w:pPr>
    </w:p>
    <w:p w:rsidR="00896EB7" w:rsidRPr="00764631" w:rsidRDefault="00896EB7" w:rsidP="008F11A3">
      <w:pPr>
        <w:spacing w:line="480" w:lineRule="auto"/>
        <w:contextualSpacing/>
        <w:rPr>
          <w:sz w:val="24"/>
          <w:szCs w:val="24"/>
        </w:rPr>
      </w:pPr>
    </w:p>
    <w:p w:rsidR="00896EB7" w:rsidRPr="00764631" w:rsidRDefault="00896EB7" w:rsidP="008F11A3">
      <w:pPr>
        <w:spacing w:line="480" w:lineRule="auto"/>
        <w:contextualSpacing/>
        <w:rPr>
          <w:sz w:val="24"/>
          <w:szCs w:val="24"/>
        </w:rPr>
      </w:pPr>
    </w:p>
    <w:p w:rsidR="00896EB7" w:rsidRPr="00764631" w:rsidRDefault="00896EB7" w:rsidP="008F11A3">
      <w:pPr>
        <w:spacing w:line="480" w:lineRule="auto"/>
        <w:contextualSpacing/>
        <w:rPr>
          <w:sz w:val="24"/>
          <w:szCs w:val="24"/>
        </w:rPr>
      </w:pPr>
    </w:p>
    <w:p w:rsidR="00896EB7" w:rsidRPr="00764631" w:rsidRDefault="00896EB7" w:rsidP="008F11A3">
      <w:pPr>
        <w:spacing w:line="480" w:lineRule="auto"/>
        <w:contextualSpacing/>
        <w:rPr>
          <w:sz w:val="24"/>
          <w:szCs w:val="24"/>
        </w:rPr>
      </w:pPr>
    </w:p>
    <w:p w:rsidR="00896EB7" w:rsidRPr="00764631" w:rsidRDefault="00896EB7" w:rsidP="008F11A3">
      <w:pPr>
        <w:spacing w:line="480" w:lineRule="auto"/>
        <w:contextualSpacing/>
        <w:rPr>
          <w:sz w:val="24"/>
          <w:szCs w:val="24"/>
        </w:rPr>
      </w:pPr>
    </w:p>
    <w:p w:rsidR="00896EB7" w:rsidRPr="00764631" w:rsidRDefault="00896EB7" w:rsidP="008F11A3">
      <w:pPr>
        <w:spacing w:line="480" w:lineRule="auto"/>
        <w:contextualSpacing/>
        <w:rPr>
          <w:sz w:val="24"/>
          <w:szCs w:val="24"/>
        </w:rPr>
      </w:pPr>
    </w:p>
    <w:p w:rsidR="00896EB7" w:rsidRPr="00764631" w:rsidRDefault="00896EB7" w:rsidP="008F11A3">
      <w:pPr>
        <w:spacing w:line="480" w:lineRule="auto"/>
        <w:contextualSpacing/>
        <w:rPr>
          <w:sz w:val="24"/>
          <w:szCs w:val="24"/>
        </w:rPr>
      </w:pPr>
    </w:p>
    <w:p w:rsidR="00896EB7" w:rsidRPr="00764631" w:rsidRDefault="00896EB7" w:rsidP="008F11A3">
      <w:pPr>
        <w:spacing w:line="480" w:lineRule="auto"/>
        <w:contextualSpacing/>
        <w:rPr>
          <w:sz w:val="24"/>
          <w:szCs w:val="24"/>
        </w:rPr>
      </w:pPr>
    </w:p>
    <w:p w:rsidR="00896EB7" w:rsidRPr="00764631" w:rsidRDefault="00896EB7" w:rsidP="008F11A3">
      <w:pPr>
        <w:spacing w:line="480" w:lineRule="auto"/>
        <w:contextualSpacing/>
        <w:rPr>
          <w:sz w:val="24"/>
          <w:szCs w:val="24"/>
        </w:rPr>
      </w:pPr>
    </w:p>
    <w:p w:rsidR="008F11A3" w:rsidRDefault="008F11A3" w:rsidP="008F11A3">
      <w:pPr>
        <w:spacing w:after="0" w:line="480" w:lineRule="auto"/>
        <w:contextualSpacing/>
        <w:rPr>
          <w:sz w:val="24"/>
          <w:szCs w:val="24"/>
        </w:rPr>
      </w:pPr>
    </w:p>
    <w:p w:rsidR="00896EB7" w:rsidRPr="008F11A3" w:rsidRDefault="00896EB7" w:rsidP="008F11A3">
      <w:pPr>
        <w:spacing w:after="0" w:line="480" w:lineRule="auto"/>
        <w:contextualSpacing/>
        <w:rPr>
          <w:b/>
          <w:sz w:val="24"/>
          <w:szCs w:val="24"/>
        </w:rPr>
      </w:pPr>
      <w:r w:rsidRPr="008F11A3">
        <w:rPr>
          <w:b/>
          <w:sz w:val="24"/>
          <w:szCs w:val="24"/>
        </w:rPr>
        <w:lastRenderedPageBreak/>
        <w:t>Abstract</w:t>
      </w:r>
    </w:p>
    <w:p w:rsidR="008C0D0D" w:rsidRPr="00764631" w:rsidRDefault="008C0D0D" w:rsidP="008F11A3">
      <w:pPr>
        <w:spacing w:after="0" w:line="480" w:lineRule="auto"/>
        <w:ind w:firstLine="720"/>
        <w:contextualSpacing/>
        <w:rPr>
          <w:sz w:val="24"/>
          <w:szCs w:val="24"/>
        </w:rPr>
      </w:pPr>
      <w:r w:rsidRPr="00764631">
        <w:rPr>
          <w:sz w:val="24"/>
          <w:szCs w:val="24"/>
        </w:rPr>
        <w:t xml:space="preserve">Chronic inflammation has been associated with </w:t>
      </w:r>
      <w:r w:rsidR="00552D3E" w:rsidRPr="00764631">
        <w:rPr>
          <w:sz w:val="24"/>
          <w:szCs w:val="24"/>
        </w:rPr>
        <w:t xml:space="preserve">the </w:t>
      </w:r>
      <w:r w:rsidR="009937F7" w:rsidRPr="00764631">
        <w:rPr>
          <w:sz w:val="24"/>
          <w:szCs w:val="24"/>
        </w:rPr>
        <w:t>development of multiple</w:t>
      </w:r>
      <w:r w:rsidRPr="00764631">
        <w:rPr>
          <w:sz w:val="24"/>
          <w:szCs w:val="24"/>
        </w:rPr>
        <w:t xml:space="preserve"> malignancies including neurodegenerative diseases</w:t>
      </w:r>
      <w:r w:rsidR="00CA6744" w:rsidRPr="00764631">
        <w:rPr>
          <w:sz w:val="24"/>
          <w:szCs w:val="24"/>
        </w:rPr>
        <w:t xml:space="preserve"> like Parkinson’s and Alzheimer’s Disease</w:t>
      </w:r>
      <w:r w:rsidRPr="00764631">
        <w:rPr>
          <w:sz w:val="24"/>
          <w:szCs w:val="24"/>
        </w:rPr>
        <w:t xml:space="preserve"> and cancer. Using naturally occurring compounds with anti-inflammatory effects is an attractive way to prevent diseases associated with inflammation. BG-4 is a novel peptide isolated from the seeds of bitter melon (</w:t>
      </w:r>
      <w:r w:rsidRPr="00764631">
        <w:rPr>
          <w:i/>
          <w:sz w:val="24"/>
          <w:szCs w:val="24"/>
        </w:rPr>
        <w:t>Momordica charantia</w:t>
      </w:r>
      <w:r w:rsidRPr="00764631">
        <w:rPr>
          <w:sz w:val="24"/>
          <w:szCs w:val="24"/>
        </w:rPr>
        <w:t>) with potent trypsin inh</w:t>
      </w:r>
      <w:r w:rsidR="0003274A">
        <w:rPr>
          <w:sz w:val="24"/>
          <w:szCs w:val="24"/>
        </w:rPr>
        <w:t>ibitory activity. The objective</w:t>
      </w:r>
      <w:r w:rsidRPr="00764631">
        <w:rPr>
          <w:sz w:val="24"/>
          <w:szCs w:val="24"/>
        </w:rPr>
        <w:t xml:space="preserve"> of this research is to evaluate the capability of BG-4 to inhibit lipopolysaccharide(LPS)-induced inflammation in THP-1 human macrophages. THP-1 human macrophages were pre-treated with different concentrations of BG-4 for 8 h and challenged with LPS for 16 h. The anti-inflammatory effects were evaluated by measuring the secretion of pro-inflammatory cyt</w:t>
      </w:r>
      <w:r w:rsidR="00552D3E" w:rsidRPr="00764631">
        <w:rPr>
          <w:sz w:val="24"/>
          <w:szCs w:val="24"/>
        </w:rPr>
        <w:t>okines IL-1β, IL-6 and TNF-α</w:t>
      </w:r>
      <w:r w:rsidRPr="00764631">
        <w:rPr>
          <w:sz w:val="24"/>
          <w:szCs w:val="24"/>
        </w:rPr>
        <w:t xml:space="preserve"> compared to untreated THP-1 macrophages. The mechanism of action was explored using the NF-κB signaling pathway. BG-4 pre-treatment</w:t>
      </w:r>
      <w:r w:rsidR="00484956" w:rsidRPr="00764631">
        <w:rPr>
          <w:sz w:val="24"/>
          <w:szCs w:val="24"/>
        </w:rPr>
        <w:t xml:space="preserve"> of</w:t>
      </w:r>
      <w:r w:rsidRPr="00764631">
        <w:rPr>
          <w:sz w:val="24"/>
          <w:szCs w:val="24"/>
        </w:rPr>
        <w:t xml:space="preserve"> 50 µg/mL reduc</w:t>
      </w:r>
      <w:r w:rsidR="00F14B20">
        <w:rPr>
          <w:sz w:val="24"/>
          <w:szCs w:val="24"/>
        </w:rPr>
        <w:t xml:space="preserve">ed production of </w:t>
      </w:r>
      <w:r w:rsidRPr="00764631">
        <w:rPr>
          <w:sz w:val="24"/>
          <w:szCs w:val="24"/>
        </w:rPr>
        <w:t xml:space="preserve"> IL-6 by 88.4% and TNF-α by 50.7%. BG-4 also decreased the nuclear translocation of p65 NF-κB subunit as measured by immunofluorescence microscopy</w:t>
      </w:r>
      <w:r w:rsidR="00F14B20">
        <w:rPr>
          <w:sz w:val="24"/>
          <w:szCs w:val="24"/>
        </w:rPr>
        <w:t xml:space="preserve"> and western blot</w:t>
      </w:r>
      <w:r w:rsidRPr="00764631">
        <w:rPr>
          <w:sz w:val="24"/>
          <w:szCs w:val="24"/>
        </w:rPr>
        <w:t>. Our data indicates the potential of BG-4 to prevent diseases associated with aberrant and uncontrolled inflammation.</w:t>
      </w:r>
    </w:p>
    <w:p w:rsidR="008C0D0D" w:rsidRPr="00764631" w:rsidRDefault="008C0D0D" w:rsidP="008F11A3">
      <w:pPr>
        <w:spacing w:line="480" w:lineRule="auto"/>
        <w:contextualSpacing/>
        <w:rPr>
          <w:sz w:val="24"/>
          <w:szCs w:val="24"/>
        </w:rPr>
      </w:pPr>
    </w:p>
    <w:p w:rsidR="00896EB7" w:rsidRPr="00F255B8" w:rsidRDefault="00896EB7" w:rsidP="008F11A3">
      <w:pPr>
        <w:spacing w:line="480" w:lineRule="auto"/>
        <w:contextualSpacing/>
        <w:rPr>
          <w:b/>
          <w:sz w:val="24"/>
          <w:szCs w:val="24"/>
        </w:rPr>
      </w:pPr>
      <w:r w:rsidRPr="00F255B8">
        <w:rPr>
          <w:b/>
          <w:sz w:val="24"/>
          <w:szCs w:val="24"/>
        </w:rPr>
        <w:t>1. Introduction</w:t>
      </w:r>
    </w:p>
    <w:p w:rsidR="00F14B20" w:rsidRDefault="00F255B8" w:rsidP="005036C1">
      <w:pPr>
        <w:spacing w:line="480" w:lineRule="auto"/>
        <w:contextualSpacing/>
        <w:rPr>
          <w:sz w:val="24"/>
          <w:szCs w:val="24"/>
        </w:rPr>
      </w:pPr>
      <w:r>
        <w:rPr>
          <w:sz w:val="24"/>
          <w:szCs w:val="24"/>
        </w:rPr>
        <w:tab/>
      </w:r>
      <w:r w:rsidRPr="00F255B8">
        <w:rPr>
          <w:i/>
          <w:sz w:val="24"/>
          <w:szCs w:val="24"/>
        </w:rPr>
        <w:t>Momordica charantia</w:t>
      </w:r>
      <w:r>
        <w:rPr>
          <w:i/>
          <w:sz w:val="24"/>
          <w:szCs w:val="24"/>
        </w:rPr>
        <w:t xml:space="preserve">, </w:t>
      </w:r>
      <w:r>
        <w:rPr>
          <w:sz w:val="24"/>
          <w:szCs w:val="24"/>
        </w:rPr>
        <w:t>also known as bitter gourd</w:t>
      </w:r>
      <w:r w:rsidR="00EE7926">
        <w:rPr>
          <w:sz w:val="24"/>
          <w:szCs w:val="24"/>
        </w:rPr>
        <w:t xml:space="preserve"> (BG)</w:t>
      </w:r>
      <w:r>
        <w:rPr>
          <w:sz w:val="24"/>
          <w:szCs w:val="24"/>
        </w:rPr>
        <w:t xml:space="preserve"> or bitter melon, is a perennial plant belonging to the the Cucurbitaceae or cucurbit family</w:t>
      </w:r>
      <w:r w:rsidR="00E26EAE">
        <w:rPr>
          <w:sz w:val="24"/>
          <w:szCs w:val="24"/>
        </w:rPr>
        <w:t>.  It is cultivated throughout the world and has tradition</w:t>
      </w:r>
      <w:r w:rsidR="00EE7926">
        <w:rPr>
          <w:sz w:val="24"/>
          <w:szCs w:val="24"/>
        </w:rPr>
        <w:t xml:space="preserve">ally been used in folk medicine.  Pre-clinical studies have shown that </w:t>
      </w:r>
      <w:r w:rsidR="00EE7926" w:rsidRPr="00EE7926">
        <w:rPr>
          <w:i/>
          <w:sz w:val="24"/>
          <w:szCs w:val="24"/>
        </w:rPr>
        <w:t>M. charantia</w:t>
      </w:r>
      <w:r w:rsidR="00EE7926">
        <w:rPr>
          <w:sz w:val="24"/>
          <w:szCs w:val="24"/>
        </w:rPr>
        <w:t xml:space="preserve"> can be especially effective against type II diabetes.  In the indigenous populations of </w:t>
      </w:r>
      <w:r w:rsidR="00EE7926">
        <w:rPr>
          <w:sz w:val="24"/>
          <w:szCs w:val="24"/>
        </w:rPr>
        <w:lastRenderedPageBreak/>
        <w:t>Asia, South America, and Africa where this treatment is popular, plant-based medicine is the most cost-effective way to treat diabetes and other related diseases.</w:t>
      </w:r>
      <w:r w:rsidR="00E26EAE">
        <w:rPr>
          <w:sz w:val="24"/>
          <w:szCs w:val="24"/>
        </w:rPr>
        <w:t xml:space="preserve"> </w:t>
      </w:r>
      <w:r w:rsidR="00EE7926">
        <w:rPr>
          <w:sz w:val="24"/>
          <w:szCs w:val="24"/>
        </w:rPr>
        <w:fldChar w:fldCharType="begin"/>
      </w:r>
      <w:r w:rsidR="00EE7926">
        <w:rPr>
          <w:sz w:val="24"/>
          <w:szCs w:val="24"/>
        </w:rPr>
        <w:instrText xml:space="preserve"> ADDIN EN.CITE &lt;EndNote&gt;&lt;Cite&gt;&lt;Author&gt;Joseph B&lt;/Author&gt;&lt;Year&gt;2013&lt;/Year&gt;&lt;RecNum&gt;3&lt;/RecNum&gt;&lt;DisplayText&gt;[1]&lt;/DisplayText&gt;&lt;record&gt;&lt;rec-number&gt;3&lt;/rec-number&gt;&lt;foreign-keys&gt;&lt;key app="EN" db-id="pxv5tsd245tzxmepesxpa5p8ezxftsfv2sz0" timestamp="1488774740"&gt;3&lt;/key&gt;&lt;/foreign-keys&gt;&lt;ref-type name="Journal Article"&gt;17&lt;/ref-type&gt;&lt;contributors&gt;&lt;authors&gt;&lt;author&gt;Joseph B, Jini D&lt;/author&gt;&lt;/authors&gt;&lt;/contributors&gt;&lt;titles&gt;&lt;title&gt;Antidiabetic effects of Momordica charantia (bitter melon) and its medicinal potency&lt;/title&gt;&lt;secondary-title&gt;Asian Pacific Journal of Tropical Disease&lt;/secondary-title&gt;&lt;/titles&gt;&lt;periodical&gt;&lt;full-title&gt;Asian Pacific Journal of Tropical Disease&lt;/full-title&gt;&lt;/periodical&gt;&lt;pages&gt;93-102&lt;/pages&gt;&lt;volume&gt;3&lt;/volume&gt;&lt;number&gt;2&lt;/number&gt;&lt;section&gt;93&lt;/section&gt;&lt;keywords&gt;&lt;keyword&gt;Momordica charantia, Hypoglycaemic agents, Diabetes, Bitter melon, Medicinal plant, Bioactive compounds, Insulin, Glucose metabolism&lt;/keyword&gt;&lt;/keywords&gt;&lt;dates&gt;&lt;year&gt;2013&lt;/year&gt;&lt;/dates&gt;&lt;urls&gt;&lt;/urls&gt;&lt;/record&gt;&lt;/Cite&gt;&lt;/EndNote&gt;</w:instrText>
      </w:r>
      <w:r w:rsidR="00EE7926">
        <w:rPr>
          <w:sz w:val="24"/>
          <w:szCs w:val="24"/>
        </w:rPr>
        <w:fldChar w:fldCharType="separate"/>
      </w:r>
      <w:r w:rsidR="00EE7926">
        <w:rPr>
          <w:noProof/>
          <w:sz w:val="24"/>
          <w:szCs w:val="24"/>
        </w:rPr>
        <w:t>[</w:t>
      </w:r>
      <w:hyperlink w:anchor="_ENREF_1" w:tooltip="Joseph B, 2013 #3" w:history="1">
        <w:r w:rsidR="00D66844">
          <w:rPr>
            <w:noProof/>
            <w:sz w:val="24"/>
            <w:szCs w:val="24"/>
          </w:rPr>
          <w:t>1</w:t>
        </w:r>
      </w:hyperlink>
      <w:r w:rsidR="00EE7926">
        <w:rPr>
          <w:noProof/>
          <w:sz w:val="24"/>
          <w:szCs w:val="24"/>
        </w:rPr>
        <w:t>]</w:t>
      </w:r>
      <w:r w:rsidR="00EE7926">
        <w:rPr>
          <w:sz w:val="24"/>
          <w:szCs w:val="24"/>
        </w:rPr>
        <w:fldChar w:fldCharType="end"/>
      </w:r>
      <w:r w:rsidR="00EE7926">
        <w:rPr>
          <w:sz w:val="24"/>
          <w:szCs w:val="24"/>
        </w:rPr>
        <w:t xml:space="preserve">  Recent studies have also shown the capability of BG to affect different processes in carcinogenesis.  An extract from BG inhibited ovarian cancer tumorigenicity </w:t>
      </w:r>
      <w:r w:rsidR="00EE7926" w:rsidRPr="00EE7926">
        <w:rPr>
          <w:i/>
          <w:sz w:val="24"/>
          <w:szCs w:val="24"/>
        </w:rPr>
        <w:t>in vitro</w:t>
      </w:r>
      <w:r w:rsidR="00EE7926">
        <w:rPr>
          <w:sz w:val="24"/>
          <w:szCs w:val="24"/>
        </w:rPr>
        <w:t xml:space="preserve"> and </w:t>
      </w:r>
      <w:r w:rsidR="00EE7926" w:rsidRPr="00EE7926">
        <w:rPr>
          <w:i/>
          <w:sz w:val="24"/>
          <w:szCs w:val="24"/>
        </w:rPr>
        <w:t>in vivo</w:t>
      </w:r>
      <w:r w:rsidR="00EE7926">
        <w:rPr>
          <w:sz w:val="24"/>
          <w:szCs w:val="24"/>
        </w:rPr>
        <w:t xml:space="preserve"> </w:t>
      </w:r>
      <w:r w:rsidR="00BF119C">
        <w:rPr>
          <w:sz w:val="24"/>
          <w:szCs w:val="24"/>
        </w:rPr>
        <w:t xml:space="preserve">by activating the AMPK signaling pathway. </w:t>
      </w:r>
      <w:r w:rsidR="00BF119C">
        <w:rPr>
          <w:sz w:val="24"/>
          <w:szCs w:val="24"/>
        </w:rPr>
        <w:fldChar w:fldCharType="begin"/>
      </w:r>
      <w:r w:rsidR="00BF119C">
        <w:rPr>
          <w:sz w:val="24"/>
          <w:szCs w:val="24"/>
        </w:rPr>
        <w:instrText xml:space="preserve"> ADDIN EN.CITE &lt;EndNote&gt;&lt;Cite&gt;&lt;Author&gt;Yung&lt;/Author&gt;&lt;Year&gt;2016&lt;/Year&gt;&lt;RecNum&gt;4&lt;/RecNum&gt;&lt;DisplayText&gt;[2]&lt;/DisplayText&gt;&lt;record&gt;&lt;rec-number&gt;4&lt;/rec-number&gt;&lt;foreign-keys&gt;&lt;key app="EN" db-id="pxv5tsd245tzxmepesxpa5p8ezxftsfv2sz0" timestamp="1488775514"&gt;4&lt;/key&gt;&lt;/foreign-keys&gt;&lt;ref-type name="Journal Article"&gt;17&lt;/ref-type&gt;&lt;contributors&gt;&lt;authors&gt;&lt;author&gt;Yung, M. M.&lt;/author&gt;&lt;author&gt;Ross, F. A.&lt;/author&gt;&lt;author&gt;Hardie, D. G.&lt;/author&gt;&lt;author&gt;Leung, T. H.&lt;/author&gt;&lt;author&gt;Zhan, J.&lt;/author&gt;&lt;author&gt;Ngan, H. Y.&lt;/author&gt;&lt;author&gt;Chan, D. W.&lt;/author&gt;&lt;/authors&gt;&lt;/contributors&gt;&lt;auth-address&gt;The University of Hong Kong, Hong Kong SAR, P R China.&amp;#xD;University of Dundee, Dundee, Scotland, UK.&amp;#xD;Zhejiang University, Hangzhou, P R China.&amp;#xD;The University of Hong Kong, Hong Kong SAR, P R China dwchan@hku.hk.&lt;/auth-address&gt;&lt;titles&gt;&lt;title&gt;Bitter Melon (Momordica charantia) Extract Inhibits Tumorigenicity and Overcomes Cisplatin-Resistance in Ovarian Cancer Cells Through Targeting AMPK Signaling Cascade&lt;/title&gt;&lt;secondary-title&gt;Integr Cancer Ther&lt;/secondary-title&gt;&lt;alt-title&gt;Integrative cancer therapies&lt;/alt-title&gt;&lt;/titles&gt;&lt;periodical&gt;&lt;full-title&gt;Integr Cancer Ther&lt;/full-title&gt;&lt;abbr-1&gt;Integrative cancer therapies&lt;/abbr-1&gt;&lt;/periodical&gt;&lt;alt-periodical&gt;&lt;full-title&gt;Integr Cancer Ther&lt;/full-title&gt;&lt;abbr-1&gt;Integrative cancer therapies&lt;/abbr-1&gt;&lt;/alt-periodical&gt;&lt;pages&gt;376-89&lt;/pages&gt;&lt;volume&gt;15&lt;/volume&gt;&lt;number&gt;3&lt;/number&gt;&lt;edition&gt;2015/10/22&lt;/edition&gt;&lt;keywords&gt;&lt;keyword&gt;AMPK activator&lt;/keyword&gt;&lt;keyword&gt;Momordica charantia&lt;/keyword&gt;&lt;keyword&gt;bitter melon&lt;/keyword&gt;&lt;keyword&gt;chemoresistance&lt;/keyword&gt;&lt;keyword&gt;cisplatin&lt;/keyword&gt;&lt;keyword&gt;ovarian cancer&lt;/keyword&gt;&lt;/keywords&gt;&lt;dates&gt;&lt;year&gt;2016&lt;/year&gt;&lt;pub-dates&gt;&lt;date&gt;Sep&lt;/date&gt;&lt;/pub-dates&gt;&lt;/dates&gt;&lt;isbn&gt;1534-7354&lt;/isbn&gt;&lt;accession-num&gt;26487740&lt;/accession-num&gt;&lt;urls&gt;&lt;/urls&gt;&lt;electronic-resource-num&gt;10.1177/1534735415611747&lt;/electronic-resource-num&gt;&lt;remote-database-provider&gt;NLM&lt;/remote-database-provider&gt;&lt;language&gt;eng&lt;/language&gt;&lt;/record&gt;&lt;/Cite&gt;&lt;/EndNote&gt;</w:instrText>
      </w:r>
      <w:r w:rsidR="00BF119C">
        <w:rPr>
          <w:sz w:val="24"/>
          <w:szCs w:val="24"/>
        </w:rPr>
        <w:fldChar w:fldCharType="separate"/>
      </w:r>
      <w:r w:rsidR="00BF119C">
        <w:rPr>
          <w:noProof/>
          <w:sz w:val="24"/>
          <w:szCs w:val="24"/>
        </w:rPr>
        <w:t>[</w:t>
      </w:r>
      <w:hyperlink w:anchor="_ENREF_2" w:tooltip="Yung, 2016 #4" w:history="1">
        <w:r w:rsidR="00D66844">
          <w:rPr>
            <w:noProof/>
            <w:sz w:val="24"/>
            <w:szCs w:val="24"/>
          </w:rPr>
          <w:t>2</w:t>
        </w:r>
      </w:hyperlink>
      <w:r w:rsidR="00BF119C">
        <w:rPr>
          <w:noProof/>
          <w:sz w:val="24"/>
          <w:szCs w:val="24"/>
        </w:rPr>
        <w:t>]</w:t>
      </w:r>
      <w:r w:rsidR="00BF119C">
        <w:rPr>
          <w:sz w:val="24"/>
          <w:szCs w:val="24"/>
        </w:rPr>
        <w:fldChar w:fldCharType="end"/>
      </w:r>
      <w:r w:rsidR="00BF119C">
        <w:rPr>
          <w:sz w:val="24"/>
          <w:szCs w:val="24"/>
        </w:rPr>
        <w:t xml:space="preserve">  </w:t>
      </w:r>
      <w:r w:rsidR="00BF119C" w:rsidRPr="00BF119C">
        <w:rPr>
          <w:sz w:val="24"/>
          <w:szCs w:val="24"/>
        </w:rPr>
        <w:t>In addition, two ribosome-inactivating proteins isolated from BG called α-momorcharin and momordica anti human immunodeficiency virus protein arrested cell cycle and induced apoptosis in lung cancer cells</w:t>
      </w:r>
      <w:r w:rsidR="0053198A">
        <w:rPr>
          <w:sz w:val="24"/>
          <w:szCs w:val="24"/>
        </w:rPr>
        <w:t>.</w:t>
      </w:r>
      <w:r w:rsidR="0053198A">
        <w:rPr>
          <w:sz w:val="24"/>
          <w:szCs w:val="24"/>
        </w:rPr>
        <w:fldChar w:fldCharType="begin">
          <w:fldData xml:space="preserve">PEVuZE5vdGU+PENpdGU+PEF1dGhvcj5GYW48L0F1dGhvcj48WWVhcj4yMDE1PC9ZZWFyPjxSZWNO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</w:fldData>
        </w:fldChar>
      </w:r>
      <w:r w:rsidR="0053198A">
        <w:rPr>
          <w:sz w:val="24"/>
          <w:szCs w:val="24"/>
        </w:rPr>
        <w:instrText xml:space="preserve"> ADDIN EN.CITE </w:instrText>
      </w:r>
      <w:r w:rsidR="0053198A">
        <w:rPr>
          <w:sz w:val="24"/>
          <w:szCs w:val="24"/>
        </w:rPr>
        <w:fldChar w:fldCharType="begin">
          <w:fldData xml:space="preserve">PEVuZE5vdGU+PENpdGU+PEF1dGhvcj5GYW48L0F1dGhvcj48WWVhcj4yMDE1PC9ZZWFyPjxSZWNO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</w:fldData>
        </w:fldChar>
      </w:r>
      <w:r w:rsidR="0053198A">
        <w:rPr>
          <w:sz w:val="24"/>
          <w:szCs w:val="24"/>
        </w:rPr>
        <w:instrText xml:space="preserve"> ADDIN EN.CITE.DATA </w:instrText>
      </w:r>
      <w:r w:rsidR="0053198A">
        <w:rPr>
          <w:sz w:val="24"/>
          <w:szCs w:val="24"/>
        </w:rPr>
      </w:r>
      <w:r w:rsidR="0053198A">
        <w:rPr>
          <w:sz w:val="24"/>
          <w:szCs w:val="24"/>
        </w:rPr>
        <w:fldChar w:fldCharType="end"/>
      </w:r>
      <w:r w:rsidR="0053198A">
        <w:rPr>
          <w:sz w:val="24"/>
          <w:szCs w:val="24"/>
        </w:rPr>
      </w:r>
      <w:r w:rsidR="0053198A">
        <w:rPr>
          <w:sz w:val="24"/>
          <w:szCs w:val="24"/>
        </w:rPr>
        <w:fldChar w:fldCharType="separate"/>
      </w:r>
      <w:r w:rsidR="0053198A">
        <w:rPr>
          <w:noProof/>
          <w:sz w:val="24"/>
          <w:szCs w:val="24"/>
        </w:rPr>
        <w:t>[</w:t>
      </w:r>
      <w:hyperlink w:anchor="_ENREF_3" w:tooltip="Fan, 2015 #6" w:history="1">
        <w:r w:rsidR="00D66844">
          <w:rPr>
            <w:noProof/>
            <w:sz w:val="24"/>
            <w:szCs w:val="24"/>
          </w:rPr>
          <w:t>3</w:t>
        </w:r>
      </w:hyperlink>
      <w:r w:rsidR="0053198A">
        <w:rPr>
          <w:noProof/>
          <w:sz w:val="24"/>
          <w:szCs w:val="24"/>
        </w:rPr>
        <w:t>]</w:t>
      </w:r>
      <w:r w:rsidR="0053198A">
        <w:rPr>
          <w:sz w:val="24"/>
          <w:szCs w:val="24"/>
        </w:rPr>
        <w:fldChar w:fldCharType="end"/>
      </w:r>
      <w:r w:rsidR="0022676B">
        <w:rPr>
          <w:sz w:val="24"/>
          <w:szCs w:val="24"/>
        </w:rPr>
        <w:t xml:space="preserve">  Recently, a novel peptide from BG with strong trypsin inhibitory properties was identified and named BG-4.  The peptide was isolated from the seeds of the gourd by a simple 70% aqueous ethanol extraction </w:t>
      </w:r>
      <w:r w:rsidR="0022676B">
        <w:rPr>
          <w:sz w:val="24"/>
          <w:szCs w:val="24"/>
        </w:rPr>
        <w:fldChar w:fldCharType="begin"/>
      </w:r>
      <w:r w:rsidR="0022676B">
        <w:rPr>
          <w:sz w:val="24"/>
          <w:szCs w:val="24"/>
        </w:rPr>
        <w:instrText xml:space="preserve"> ADDIN EN.CITE &lt;EndNote&gt;&lt;Cite&gt;&lt;Author&gt;Dia&lt;/Author&gt;&lt;Year&gt;2016&lt;/Year&gt;&lt;RecNum&gt;1&lt;/RecNum&gt;&lt;DisplayText&gt;[4]&lt;/DisplayText&gt;&lt;record&gt;&lt;rec-number&gt;1&lt;/rec-number&gt;&lt;foreign-keys&gt;&lt;key app="EN" db-id="pxv5tsd245tzxmepesxpa5p8ezxftsfv2sz0" timestamp="1488771251"&gt;1&lt;/key&gt;&lt;/foreign-keys&gt;&lt;ref-type name="Journal Article"&gt;17&lt;/ref-type&gt;&lt;contributors&gt;&lt;authors&gt;&lt;author&gt;Dia, V. P.&lt;/author&gt;&lt;author&gt;Krishnan, H. B.&lt;/author&gt;&lt;/authors&gt;&lt;/contributors&gt;&lt;auth-address&gt;Department of Food Science and Technology, The University of Tennessee Institute of Agriculture, Knoxville TN 37996 USA.&amp;#xD;USDA-ARS Plant Genetics Resources Unit, University of Missouri, Columbia, MO 65211 USA.&lt;/auth-address&gt;&lt;titles&gt;&lt;title&gt;BG-4, a novel anticancer peptide from bitter gourd (Momordica charantia), promotes apoptosis in human colon cancer cells&lt;/title&gt;&lt;secondary-title&gt;Sci Rep&lt;/secondary-title&gt;&lt;/titles&gt;&lt;periodical&gt;&lt;full-title&gt;Sci Rep&lt;/full-title&gt;&lt;/periodical&gt;&lt;pages&gt;33532&lt;/pages&gt;&lt;volume&gt;6&lt;/volume&gt;&lt;dates&gt;&lt;year&gt;2016&lt;/year&gt;&lt;pub-dates&gt;&lt;date&gt;Sep 15&lt;/date&gt;&lt;/pub-dates&gt;&lt;/dates&gt;&lt;isbn&gt;2045-2322 (Electronic)&amp;#xD;2045-2322 (Linking)&lt;/isbn&gt;&lt;accession-num&gt;27628414&lt;/accession-num&gt;&lt;urls&gt;&lt;related-urls&gt;&lt;url&gt;https://www.ncbi.nlm.nih.gov/pubmed/27628414&lt;/url&gt;&lt;/related-urls&gt;&lt;/urls&gt;&lt;custom2&gt;PMC5024301&lt;/custom2&gt;&lt;electronic-resource-num&gt;10.1038/srep33532&lt;/electronic-resource-num&gt;&lt;/record&gt;&lt;/Cite&gt;&lt;/EndNote&gt;</w:instrText>
      </w:r>
      <w:r w:rsidR="0022676B">
        <w:rPr>
          <w:sz w:val="24"/>
          <w:szCs w:val="24"/>
        </w:rPr>
        <w:fldChar w:fldCharType="separate"/>
      </w:r>
      <w:r w:rsidR="0022676B">
        <w:rPr>
          <w:noProof/>
          <w:sz w:val="24"/>
          <w:szCs w:val="24"/>
        </w:rPr>
        <w:t>[</w:t>
      </w:r>
      <w:hyperlink w:anchor="_ENREF_4" w:tooltip="Dia, 2016 #1" w:history="1">
        <w:r w:rsidR="00D66844">
          <w:rPr>
            <w:noProof/>
            <w:sz w:val="24"/>
            <w:szCs w:val="24"/>
          </w:rPr>
          <w:t>4</w:t>
        </w:r>
      </w:hyperlink>
      <w:r w:rsidR="0022676B">
        <w:rPr>
          <w:noProof/>
          <w:sz w:val="24"/>
          <w:szCs w:val="24"/>
        </w:rPr>
        <w:t>]</w:t>
      </w:r>
      <w:r w:rsidR="0022676B">
        <w:rPr>
          <w:sz w:val="24"/>
          <w:szCs w:val="24"/>
        </w:rPr>
        <w:fldChar w:fldCharType="end"/>
      </w:r>
      <w:r w:rsidR="0022676B">
        <w:rPr>
          <w:sz w:val="24"/>
          <w:szCs w:val="24"/>
        </w:rPr>
        <w:t xml:space="preserve"> (</w:t>
      </w:r>
      <w:r w:rsidR="0022676B" w:rsidRPr="009D513F">
        <w:rPr>
          <w:b/>
          <w:sz w:val="24"/>
          <w:szCs w:val="24"/>
        </w:rPr>
        <w:t>Figure 1A</w:t>
      </w:r>
      <w:r w:rsidR="0022676B">
        <w:rPr>
          <w:sz w:val="24"/>
          <w:szCs w:val="24"/>
        </w:rPr>
        <w:t>).  BG-4 caused</w:t>
      </w:r>
      <w:r w:rsidR="0022676B" w:rsidRPr="0022676B">
        <w:rPr>
          <w:sz w:val="24"/>
          <w:szCs w:val="24"/>
        </w:rPr>
        <w:t xml:space="preserve"> the strong trypsin inhibitory activity of the extract as increasing purity of the extract led to increased trypsin inhibition. In addition, purified BG-4 was at least 8 times more potent in inhibiting trypsin activity than the purified soybean trypsin inhibitor (</w:t>
      </w:r>
      <w:r w:rsidR="0022676B" w:rsidRPr="009D513F">
        <w:rPr>
          <w:b/>
          <w:sz w:val="24"/>
          <w:szCs w:val="24"/>
        </w:rPr>
        <w:t>Figure 1B</w:t>
      </w:r>
      <w:r w:rsidR="0022676B" w:rsidRPr="0022676B">
        <w:rPr>
          <w:sz w:val="24"/>
          <w:szCs w:val="24"/>
        </w:rPr>
        <w:t>).</w:t>
      </w:r>
      <w:r w:rsidR="0022676B">
        <w:rPr>
          <w:sz w:val="24"/>
          <w:szCs w:val="24"/>
        </w:rPr>
        <w:t xml:space="preserve">  Trypsin inhibitors have historically been shown to interrupt different stages of carcinogenesis.  </w:t>
      </w:r>
      <w:r w:rsidR="005036C1">
        <w:rPr>
          <w:sz w:val="24"/>
          <w:szCs w:val="24"/>
        </w:rPr>
        <w:t xml:space="preserve">In  recent studies, ulinistatin, a type of urinary trypsin inhibitor, suppressed proliferation and motility of gastric cancer cells </w:t>
      </w:r>
      <w:r w:rsidR="005036C1">
        <w:rPr>
          <w:sz w:val="24"/>
          <w:szCs w:val="24"/>
        </w:rPr>
        <w:fldChar w:fldCharType="begin"/>
      </w:r>
      <w:r w:rsidR="005036C1">
        <w:rPr>
          <w:sz w:val="24"/>
          <w:szCs w:val="24"/>
        </w:rPr>
        <w:instrText xml:space="preserve"> ADDIN EN.CITE &lt;EndNote&gt;&lt;Cite&gt;&lt;Author&gt;Wang&lt;/Author&gt;&lt;Year&gt;2016&lt;/Year&gt;&lt;RecNum&gt;7&lt;/RecNum&gt;&lt;DisplayText&gt;[5]&lt;/DisplayText&gt;&lt;record&gt;&lt;rec-number&gt;7&lt;/rec-number&gt;&lt;foreign-keys&gt;&lt;key app="EN" db-id="pxv5tsd245tzxmepesxpa5p8ezxftsfv2sz0" timestamp="1488834193"&gt;7&lt;/key&gt;&lt;/foreign-keys&gt;&lt;ref-type name="Journal Article"&gt;17&lt;/ref-type&gt;&lt;contributors&gt;&lt;authors&gt;&lt;author&gt;Wang, J.&lt;/author&gt;&lt;author&gt;Chen, X.&lt;/author&gt;&lt;author&gt;Su, L.&lt;/author&gt;&lt;author&gt;Zhu, Z.&lt;/author&gt;&lt;author&gt;Wu, W.&lt;/author&gt;&lt;author&gt;Zhou, Y.&lt;/author&gt;&lt;/authors&gt;&lt;/contributors&gt;&lt;auth-address&gt;aDepartment of Surgery bShanghai Key Laboratory of Gastric Neoplasms cShanghai Institute of Digestive Surgery, Ruijin Hospital, Shanghai Jiao Tong University School of Medicine, Shanghai, People&amp;apos;s Republic of China dDepartment of Clinical Science, Quantitative Biomedical Research Center, UT Southwestern Medical Center, Dallas, Texas, USA.&lt;/auth-address&gt;&lt;titles&gt;&lt;title&gt;Suppressive effects on cell proliferation and motility in gastric cancer SGC-7901 cells by introducing ulinastatin in vitro&lt;/title&gt;&lt;secondary-title&gt;Anticancer Drugs&lt;/secondary-title&gt;&lt;/titles&gt;&lt;periodical&gt;&lt;full-title&gt;Anticancer Drugs&lt;/full-title&gt;&lt;/periodical&gt;&lt;pages&gt;651-9&lt;/pages&gt;&lt;volume&gt;27&lt;/volume&gt;&lt;number&gt;7&lt;/number&gt;&lt;dates&gt;&lt;year&gt;2016&lt;/year&gt;&lt;pub-dates&gt;&lt;date&gt;Aug&lt;/date&gt;&lt;/pub-dates&gt;&lt;/dates&gt;&lt;isbn&gt;1473-5741 (Electronic)&amp;#xD;0959-4973 (Linking)&lt;/isbn&gt;&lt;accession-num&gt;27187019&lt;/accession-num&gt;&lt;urls&gt;&lt;related-urls&gt;&lt;url&gt;https://www.ncbi.nlm.nih.gov/pubmed/27187019&lt;/url&gt;&lt;/related-urls&gt;&lt;/urls&gt;&lt;electronic-resource-num&gt;10.1097/CAD.0000000000000378&lt;/electronic-resource-num&gt;&lt;/record&gt;&lt;/Cite&gt;&lt;/EndNote&gt;</w:instrText>
      </w:r>
      <w:r w:rsidR="005036C1">
        <w:rPr>
          <w:sz w:val="24"/>
          <w:szCs w:val="24"/>
        </w:rPr>
        <w:fldChar w:fldCharType="separate"/>
      </w:r>
      <w:r w:rsidR="005036C1">
        <w:rPr>
          <w:noProof/>
          <w:sz w:val="24"/>
          <w:szCs w:val="24"/>
        </w:rPr>
        <w:t>[</w:t>
      </w:r>
      <w:hyperlink w:anchor="_ENREF_5" w:tooltip="Wang, 2016 #7" w:history="1">
        <w:r w:rsidR="00D66844">
          <w:rPr>
            <w:noProof/>
            <w:sz w:val="24"/>
            <w:szCs w:val="24"/>
          </w:rPr>
          <w:t>5</w:t>
        </w:r>
      </w:hyperlink>
      <w:r w:rsidR="005036C1">
        <w:rPr>
          <w:noProof/>
          <w:sz w:val="24"/>
          <w:szCs w:val="24"/>
        </w:rPr>
        <w:t>]</w:t>
      </w:r>
      <w:r w:rsidR="005036C1">
        <w:rPr>
          <w:sz w:val="24"/>
          <w:szCs w:val="24"/>
        </w:rPr>
        <w:fldChar w:fldCharType="end"/>
      </w:r>
      <w:r w:rsidR="005036C1">
        <w:rPr>
          <w:sz w:val="24"/>
          <w:szCs w:val="24"/>
        </w:rPr>
        <w:t xml:space="preserve"> and </w:t>
      </w:r>
      <w:r w:rsidR="005036C1" w:rsidRPr="005036C1">
        <w:rPr>
          <w:sz w:val="24"/>
          <w:szCs w:val="24"/>
        </w:rPr>
        <w:t xml:space="preserve">reduced resistance of liver cancer cells to chemotherapeutic agent epirubicin by promoting apoptosis </w:t>
      </w:r>
      <w:r w:rsidR="005036C1">
        <w:rPr>
          <w:sz w:val="24"/>
          <w:szCs w:val="24"/>
        </w:rPr>
        <w:t xml:space="preserve">and inhibiting NF-κB signaling. </w:t>
      </w:r>
      <w:r w:rsidR="005036C1">
        <w:rPr>
          <w:sz w:val="24"/>
          <w:szCs w:val="24"/>
        </w:rPr>
        <w:fldChar w:fldCharType="begin">
          <w:fldData xml:space="preserve">PEVuZE5vdGU+PENpdGU+PEF1dGhvcj5Tb25nPC9BdXRob3I+PFllYXI+MjAxNTwvWWVhcj48UmVj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==
</w:fldData>
        </w:fldChar>
      </w:r>
      <w:r w:rsidR="005036C1">
        <w:rPr>
          <w:sz w:val="24"/>
          <w:szCs w:val="24"/>
        </w:rPr>
        <w:instrText xml:space="preserve"> ADDIN EN.CITE </w:instrText>
      </w:r>
      <w:r w:rsidR="005036C1">
        <w:rPr>
          <w:sz w:val="24"/>
          <w:szCs w:val="24"/>
        </w:rPr>
        <w:fldChar w:fldCharType="begin">
          <w:fldData xml:space="preserve">PEVuZE5vdGU+PENpdGU+PEF1dGhvcj5Tb25nPC9BdXRob3I+PFllYXI+MjAxNTwvWWVhcj48UmVj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==
</w:fldData>
        </w:fldChar>
      </w:r>
      <w:r w:rsidR="005036C1">
        <w:rPr>
          <w:sz w:val="24"/>
          <w:szCs w:val="24"/>
        </w:rPr>
        <w:instrText xml:space="preserve"> ADDIN EN.CITE.DATA </w:instrText>
      </w:r>
      <w:r w:rsidR="005036C1">
        <w:rPr>
          <w:sz w:val="24"/>
          <w:szCs w:val="24"/>
        </w:rPr>
      </w:r>
      <w:r w:rsidR="005036C1">
        <w:rPr>
          <w:sz w:val="24"/>
          <w:szCs w:val="24"/>
        </w:rPr>
        <w:fldChar w:fldCharType="end"/>
      </w:r>
      <w:r w:rsidR="005036C1">
        <w:rPr>
          <w:sz w:val="24"/>
          <w:szCs w:val="24"/>
        </w:rPr>
      </w:r>
      <w:r w:rsidR="005036C1">
        <w:rPr>
          <w:sz w:val="24"/>
          <w:szCs w:val="24"/>
        </w:rPr>
        <w:fldChar w:fldCharType="separate"/>
      </w:r>
      <w:r w:rsidR="005036C1">
        <w:rPr>
          <w:noProof/>
          <w:sz w:val="24"/>
          <w:szCs w:val="24"/>
        </w:rPr>
        <w:t>[</w:t>
      </w:r>
      <w:hyperlink w:anchor="_ENREF_6" w:tooltip="Song, 2015 #8" w:history="1">
        <w:r w:rsidR="00D66844">
          <w:rPr>
            <w:noProof/>
            <w:sz w:val="24"/>
            <w:szCs w:val="24"/>
          </w:rPr>
          <w:t>6</w:t>
        </w:r>
      </w:hyperlink>
      <w:r w:rsidR="005036C1">
        <w:rPr>
          <w:noProof/>
          <w:sz w:val="24"/>
          <w:szCs w:val="24"/>
        </w:rPr>
        <w:t>]</w:t>
      </w:r>
      <w:r w:rsidR="005036C1">
        <w:rPr>
          <w:sz w:val="24"/>
          <w:szCs w:val="24"/>
        </w:rPr>
        <w:fldChar w:fldCharType="end"/>
      </w:r>
      <w:r w:rsidR="005036C1">
        <w:rPr>
          <w:sz w:val="24"/>
          <w:szCs w:val="24"/>
        </w:rPr>
        <w:t xml:space="preserve">  </w:t>
      </w:r>
      <w:r w:rsidR="005036C1" w:rsidRPr="005036C1">
        <w:rPr>
          <w:sz w:val="24"/>
          <w:szCs w:val="24"/>
        </w:rPr>
        <w:t>In addition food derived trypsin inhibitors have shown anticancer activities including Bowman-Birk and Kunitz tryps</w:t>
      </w:r>
      <w:r w:rsidR="005036C1">
        <w:rPr>
          <w:sz w:val="24"/>
          <w:szCs w:val="24"/>
        </w:rPr>
        <w:t>in inhibitors from soybean</w:t>
      </w:r>
      <w:r w:rsidR="002B6EA9">
        <w:rPr>
          <w:sz w:val="24"/>
          <w:szCs w:val="24"/>
        </w:rPr>
        <w:t xml:space="preserve"> </w:t>
      </w:r>
      <w:r w:rsidR="002B6EA9">
        <w:rPr>
          <w:sz w:val="24"/>
          <w:szCs w:val="24"/>
        </w:rPr>
        <w:fldChar w:fldCharType="begin"/>
      </w:r>
      <w:r w:rsidR="001842AC">
        <w:rPr>
          <w:sz w:val="24"/>
          <w:szCs w:val="24"/>
        </w:rPr>
        <w:instrText xml:space="preserve"> ADDIN EN.CITE &lt;EndNote&gt;&lt;Cite&gt;&lt;Author&gt;Dia&lt;/Author&gt;&lt;Year&gt;2012&lt;/Year&gt;&lt;RecNum&gt;9&lt;/RecNum&gt;&lt;DisplayText&gt;[7]&lt;/DisplayText&gt;&lt;record&gt;&lt;rec-number&gt;9&lt;/rec-number&gt;&lt;foreign-keys&gt;&lt;key app="EN" db-id="pxv5tsd245tzxmepesxpa5p8ezxftsfv2sz0" timestamp="1488834893"&gt;9&lt;/key&gt;&lt;/foreign-keys&gt;&lt;ref-type name="Journal Article"&gt;17&lt;/ref-type&gt;&lt;contributors&gt;&lt;authors&gt;&lt;author&gt;Dia, V. P.&lt;/author&gt;&lt;author&gt;Gomez, T.&lt;/author&gt;&lt;author&gt;Vernaza, G.&lt;/author&gt;&lt;author&gt;Berhow, M.&lt;/author&gt;&lt;author&gt;Chang, Y. K.&lt;/author&gt;&lt;author&gt;de Mejia, E. G.&lt;/author&gt;&lt;/authors&gt;&lt;/contributors&gt;&lt;auth-address&gt;Department of Food Science and Human Nutrition, University of Illinois at Urbana-Champaign, Urbana, Illinois 61801, United States.&lt;/auth-address&gt;&lt;titles&gt;&lt;title&gt;Bowman-Birk and Kunitz protease inhibitors among antinutrients and bioactives modified by germination and hydrolysis in Brazilian soybean cultivar BRS 133&lt;/title&gt;&lt;secondary-title&gt;J Agric Food Chem&lt;/secondary-title&gt;&lt;/titles&gt;&lt;periodical&gt;&lt;full-title&gt;J Agric Food Chem&lt;/full-title&gt;&lt;/periodical&gt;&lt;pages&gt;7886-94&lt;/pages&gt;&lt;volume&gt;60&lt;/volume&gt;&lt;number&gt;32&lt;/number&gt;&lt;keywords&gt;&lt;keyword&gt;Brazil&lt;/keyword&gt;&lt;keyword&gt;Germination/*physiology&lt;/keyword&gt;&lt;keyword&gt;Hydrolysis&lt;/keyword&gt;&lt;keyword&gt;Isoflavones/analysis&lt;/keyword&gt;&lt;keyword&gt;Saponins/analysis&lt;/keyword&gt;&lt;keyword&gt;Seeds/chemistry/*enzymology/*growth &amp;amp; development&lt;/keyword&gt;&lt;keyword&gt;*Soybeans&lt;/keyword&gt;&lt;keyword&gt;Species Specificity&lt;/keyword&gt;&lt;keyword&gt;Subtilisins/metabolism&lt;/keyword&gt;&lt;keyword&gt;Trypsin Inhibitor, Bowman-Birk Soybean/analysis/*metabolism&lt;/keyword&gt;&lt;keyword&gt;Trypsin Inhibitor, Kunitz Soybean/analysis/*metabolism&lt;/keyword&gt;&lt;/keywords&gt;&lt;dates&gt;&lt;year&gt;2012&lt;/year&gt;&lt;pub-dates&gt;&lt;date&gt;Aug 15&lt;/date&gt;&lt;/pub-dates&gt;&lt;/dates&gt;&lt;isbn&gt;1520-5118 (Electronic)&amp;#xD;0021-8561 (Linking)&lt;/isbn&gt;&lt;accession-num&gt;22800092&lt;/accession-num&gt;&lt;urls&gt;&lt;related-urls&gt;&lt;url&gt;https://www.ncbi.nlm.nih.gov/pubmed/22800092&lt;/url&gt;&lt;url&gt;http://pubs.acs.org/doi/pdfplus/10.1021/jf301926w&lt;/url&gt;&lt;/related-urls&gt;&lt;/urls&gt;&lt;electronic-resource-num&gt;10.1021/jf301926w&lt;/electronic-resource-num&gt;&lt;/record&gt;&lt;/Cite&gt;&lt;/EndNote&gt;</w:instrText>
      </w:r>
      <w:r w:rsidR="002B6EA9">
        <w:rPr>
          <w:sz w:val="24"/>
          <w:szCs w:val="24"/>
        </w:rPr>
        <w:fldChar w:fldCharType="separate"/>
      </w:r>
      <w:r w:rsidR="002B6EA9">
        <w:rPr>
          <w:noProof/>
          <w:sz w:val="24"/>
          <w:szCs w:val="24"/>
        </w:rPr>
        <w:t>[</w:t>
      </w:r>
      <w:hyperlink w:anchor="_ENREF_7" w:tooltip="Dia, 2012 #9" w:history="1">
        <w:r w:rsidR="00D66844">
          <w:rPr>
            <w:noProof/>
            <w:sz w:val="24"/>
            <w:szCs w:val="24"/>
          </w:rPr>
          <w:t>7</w:t>
        </w:r>
      </w:hyperlink>
      <w:r w:rsidR="002B6EA9">
        <w:rPr>
          <w:noProof/>
          <w:sz w:val="24"/>
          <w:szCs w:val="24"/>
        </w:rPr>
        <w:t>]</w:t>
      </w:r>
      <w:r w:rsidR="002B6EA9">
        <w:rPr>
          <w:sz w:val="24"/>
          <w:szCs w:val="24"/>
        </w:rPr>
        <w:fldChar w:fldCharType="end"/>
      </w:r>
      <w:r w:rsidR="005036C1" w:rsidRPr="005036C1">
        <w:rPr>
          <w:sz w:val="24"/>
          <w:szCs w:val="24"/>
        </w:rPr>
        <w:t>, buckwheat trypsin inhibitor</w:t>
      </w:r>
      <w:r w:rsidR="002B6EA9">
        <w:rPr>
          <w:sz w:val="24"/>
          <w:szCs w:val="24"/>
        </w:rPr>
        <w:t xml:space="preserve"> </w:t>
      </w:r>
      <w:r w:rsidR="002B6EA9">
        <w:rPr>
          <w:sz w:val="24"/>
          <w:szCs w:val="24"/>
        </w:rPr>
        <w:fldChar w:fldCharType="begin">
          <w:fldData xml:space="preserve">PEVuZE5vdGU+PENpdGU+PEF1dGhvcj5PcGFyaW48L0F1dGhvcj48WWVhcj4yMDEyPC9ZZWFyPjxS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</w:fldData>
        </w:fldChar>
      </w:r>
      <w:r w:rsidR="002B6EA9">
        <w:rPr>
          <w:sz w:val="24"/>
          <w:szCs w:val="24"/>
        </w:rPr>
        <w:instrText xml:space="preserve"> ADDIN EN.CITE </w:instrText>
      </w:r>
      <w:r w:rsidR="002B6EA9">
        <w:rPr>
          <w:sz w:val="24"/>
          <w:szCs w:val="24"/>
        </w:rPr>
        <w:fldChar w:fldCharType="begin">
          <w:fldData xml:space="preserve">PEVuZE5vdGU+PENpdGU+PEF1dGhvcj5PcGFyaW48L0F1dGhvcj48WWVhcj4yMDEyPC9ZZWFyPjxS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</w:fldData>
        </w:fldChar>
      </w:r>
      <w:r w:rsidR="002B6EA9">
        <w:rPr>
          <w:sz w:val="24"/>
          <w:szCs w:val="24"/>
        </w:rPr>
        <w:instrText xml:space="preserve"> ADDIN EN.CITE.DATA </w:instrText>
      </w:r>
      <w:r w:rsidR="002B6EA9">
        <w:rPr>
          <w:sz w:val="24"/>
          <w:szCs w:val="24"/>
        </w:rPr>
      </w:r>
      <w:r w:rsidR="002B6EA9">
        <w:rPr>
          <w:sz w:val="24"/>
          <w:szCs w:val="24"/>
        </w:rPr>
        <w:fldChar w:fldCharType="end"/>
      </w:r>
      <w:r w:rsidR="002B6EA9">
        <w:rPr>
          <w:sz w:val="24"/>
          <w:szCs w:val="24"/>
        </w:rPr>
      </w:r>
      <w:r w:rsidR="002B6EA9">
        <w:rPr>
          <w:sz w:val="24"/>
          <w:szCs w:val="24"/>
        </w:rPr>
        <w:fldChar w:fldCharType="separate"/>
      </w:r>
      <w:r w:rsidR="002B6EA9">
        <w:rPr>
          <w:noProof/>
          <w:sz w:val="24"/>
          <w:szCs w:val="24"/>
        </w:rPr>
        <w:t>[</w:t>
      </w:r>
      <w:hyperlink w:anchor="_ENREF_8" w:tooltip="Oparin, 2012 #10" w:history="1">
        <w:r w:rsidR="00D66844">
          <w:rPr>
            <w:noProof/>
            <w:sz w:val="24"/>
            <w:szCs w:val="24"/>
          </w:rPr>
          <w:t>8</w:t>
        </w:r>
      </w:hyperlink>
      <w:r w:rsidR="002B6EA9">
        <w:rPr>
          <w:noProof/>
          <w:sz w:val="24"/>
          <w:szCs w:val="24"/>
        </w:rPr>
        <w:t>]</w:t>
      </w:r>
      <w:r w:rsidR="002B6EA9">
        <w:rPr>
          <w:sz w:val="24"/>
          <w:szCs w:val="24"/>
        </w:rPr>
        <w:fldChar w:fldCharType="end"/>
      </w:r>
      <w:r w:rsidR="002B6EA9">
        <w:rPr>
          <w:sz w:val="24"/>
          <w:szCs w:val="24"/>
        </w:rPr>
        <w:t xml:space="preserve">, </w:t>
      </w:r>
      <w:r w:rsidR="005036C1" w:rsidRPr="005036C1">
        <w:rPr>
          <w:sz w:val="24"/>
          <w:szCs w:val="24"/>
        </w:rPr>
        <w:t>and other legumes trypsin inhibitors</w:t>
      </w:r>
      <w:r w:rsidR="000A7099">
        <w:rPr>
          <w:sz w:val="24"/>
          <w:szCs w:val="24"/>
        </w:rPr>
        <w:fldChar w:fldCharType="begin">
          <w:fldData xml:space="preserve">PEVuZE5vdGU+PENpdGU+PEF1dGhvcj5XYXRpPC9BdXRob3I+PFllYXI+MjAxMDwvWWVhcj48UmVj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</w:fldData>
        </w:fldChar>
      </w:r>
      <w:r w:rsidR="000A7099">
        <w:rPr>
          <w:sz w:val="24"/>
          <w:szCs w:val="24"/>
        </w:rPr>
        <w:instrText xml:space="preserve"> ADDIN EN.CITE </w:instrText>
      </w:r>
      <w:r w:rsidR="000A7099">
        <w:rPr>
          <w:sz w:val="24"/>
          <w:szCs w:val="24"/>
        </w:rPr>
        <w:fldChar w:fldCharType="begin">
          <w:fldData xml:space="preserve">PEVuZE5vdGU+PENpdGU+PEF1dGhvcj5XYXRpPC9BdXRob3I+PFllYXI+MjAxMDwvWWVhcj48UmVj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</w:fldData>
        </w:fldChar>
      </w:r>
      <w:r w:rsidR="000A7099">
        <w:rPr>
          <w:sz w:val="24"/>
          <w:szCs w:val="24"/>
        </w:rPr>
        <w:instrText xml:space="preserve"> ADDIN EN.CITE.DATA </w:instrText>
      </w:r>
      <w:r w:rsidR="000A7099">
        <w:rPr>
          <w:sz w:val="24"/>
          <w:szCs w:val="24"/>
        </w:rPr>
      </w:r>
      <w:r w:rsidR="000A7099">
        <w:rPr>
          <w:sz w:val="24"/>
          <w:szCs w:val="24"/>
        </w:rPr>
        <w:fldChar w:fldCharType="end"/>
      </w:r>
      <w:r w:rsidR="000A7099">
        <w:rPr>
          <w:sz w:val="24"/>
          <w:szCs w:val="24"/>
        </w:rPr>
      </w:r>
      <w:r w:rsidR="000A7099">
        <w:rPr>
          <w:sz w:val="24"/>
          <w:szCs w:val="24"/>
        </w:rPr>
        <w:fldChar w:fldCharType="separate"/>
      </w:r>
      <w:r w:rsidR="000A7099">
        <w:rPr>
          <w:noProof/>
          <w:sz w:val="24"/>
          <w:szCs w:val="24"/>
        </w:rPr>
        <w:t>[</w:t>
      </w:r>
      <w:hyperlink w:anchor="_ENREF_9" w:tooltip="Wati, 2010 #11" w:history="1">
        <w:r w:rsidR="00D66844">
          <w:rPr>
            <w:noProof/>
            <w:sz w:val="24"/>
            <w:szCs w:val="24"/>
          </w:rPr>
          <w:t>9</w:t>
        </w:r>
      </w:hyperlink>
      <w:r w:rsidR="000A7099">
        <w:rPr>
          <w:noProof/>
          <w:sz w:val="24"/>
          <w:szCs w:val="24"/>
        </w:rPr>
        <w:t>]</w:t>
      </w:r>
      <w:r w:rsidR="000A7099">
        <w:rPr>
          <w:sz w:val="24"/>
          <w:szCs w:val="24"/>
        </w:rPr>
        <w:fldChar w:fldCharType="end"/>
      </w:r>
      <w:r w:rsidR="000A7099">
        <w:rPr>
          <w:sz w:val="24"/>
          <w:szCs w:val="24"/>
        </w:rPr>
        <w:t>.</w:t>
      </w:r>
      <w:r w:rsidR="00EE7926">
        <w:rPr>
          <w:sz w:val="24"/>
          <w:szCs w:val="24"/>
        </w:rPr>
        <w:tab/>
      </w:r>
      <w:r w:rsidR="000658D3">
        <w:rPr>
          <w:sz w:val="24"/>
          <w:szCs w:val="24"/>
        </w:rPr>
        <w:t xml:space="preserve"> BG-4 demonstrated the capability of BG-4 to cause cytotoxicity and promote apoptosis in HT-29 and HCT-116 human colon cancer cells</w:t>
      </w:r>
      <w:r w:rsidR="000658D3">
        <w:rPr>
          <w:sz w:val="24"/>
          <w:szCs w:val="24"/>
        </w:rPr>
        <w:fldChar w:fldCharType="begin"/>
      </w:r>
      <w:r w:rsidR="000658D3">
        <w:rPr>
          <w:sz w:val="24"/>
          <w:szCs w:val="24"/>
        </w:rPr>
        <w:instrText xml:space="preserve"> ADDIN EN.CITE &lt;EndNote&gt;&lt;Cite&gt;&lt;Author&gt;Dia&lt;/Author&gt;&lt;Year&gt;2016&lt;/Year&gt;&lt;RecNum&gt;1&lt;/RecNum&gt;&lt;DisplayText&gt;[4]&lt;/DisplayText&gt;&lt;record&gt;&lt;rec-number&gt;1&lt;/rec-number&gt;&lt;foreign-keys&gt;&lt;key app="EN" db-id="pxv5tsd245tzxmepesxpa5p8ezxftsfv2sz0" timestamp="1488771251"&gt;1&lt;/key&gt;&lt;/foreign-keys&gt;&lt;ref-type name="Journal Article"&gt;17&lt;/ref-type&gt;&lt;contributors&gt;&lt;authors&gt;&lt;author&gt;Dia, V. P.&lt;/author&gt;&lt;author&gt;Krishnan, H. B.&lt;/author&gt;&lt;/authors&gt;&lt;/contributors&gt;&lt;auth-address&gt;Department of Food Science and Technology, The University of Tennessee Institute of Agriculture, Knoxville TN 37996 USA.&amp;#xD;USDA-ARS Plant Genetics Resources Unit, University of Missouri, Columbia, MO 65211 USA.&lt;/auth-address&gt;&lt;titles&gt;&lt;title&gt;BG-4, a novel anticancer peptide from bitter gourd (Momordica charantia), promotes apoptosis in human colon cancer cells&lt;/title&gt;&lt;secondary-title&gt;Sci Rep&lt;/secondary-title&gt;&lt;/titles&gt;&lt;periodical&gt;&lt;full-title&gt;Sci Rep&lt;/full-title&gt;&lt;/periodical&gt;&lt;pages&gt;33532&lt;/pages&gt;&lt;volume&gt;6&lt;/volume&gt;&lt;dates&gt;&lt;year&gt;2016&lt;/year&gt;&lt;pub-dates&gt;&lt;date&gt;Sep 15&lt;/date&gt;&lt;/pub-dates&gt;&lt;/dates&gt;&lt;isbn&gt;2045-2322 (Electronic)&amp;#xD;2045-2322 (Linking)&lt;/isbn&gt;&lt;accession-num&gt;27628414&lt;/accession-num&gt;&lt;urls&gt;&lt;related-urls&gt;&lt;url&gt;https://www.ncbi.nlm.nih.gov/pubmed/27628414&lt;/url&gt;&lt;/related-urls&gt;&lt;/urls&gt;&lt;custom2&gt;PMC5024301&lt;/custom2&gt;&lt;electronic-resource-num&gt;10.1038/srep33532&lt;/electronic-resource-num&gt;&lt;/record&gt;&lt;/Cite&gt;&lt;/EndNote&gt;</w:instrText>
      </w:r>
      <w:r w:rsidR="000658D3">
        <w:rPr>
          <w:sz w:val="24"/>
          <w:szCs w:val="24"/>
        </w:rPr>
        <w:fldChar w:fldCharType="separate"/>
      </w:r>
      <w:r w:rsidR="000658D3">
        <w:rPr>
          <w:noProof/>
          <w:sz w:val="24"/>
          <w:szCs w:val="24"/>
        </w:rPr>
        <w:t>[</w:t>
      </w:r>
      <w:hyperlink w:anchor="_ENREF_4" w:tooltip="Dia, 2016 #1" w:history="1">
        <w:r w:rsidR="00D66844">
          <w:rPr>
            <w:noProof/>
            <w:sz w:val="24"/>
            <w:szCs w:val="24"/>
          </w:rPr>
          <w:t>4</w:t>
        </w:r>
      </w:hyperlink>
      <w:r w:rsidR="000658D3">
        <w:rPr>
          <w:noProof/>
          <w:sz w:val="24"/>
          <w:szCs w:val="24"/>
        </w:rPr>
        <w:t>]</w:t>
      </w:r>
      <w:r w:rsidR="000658D3">
        <w:rPr>
          <w:sz w:val="24"/>
          <w:szCs w:val="24"/>
        </w:rPr>
        <w:fldChar w:fldCharType="end"/>
      </w:r>
      <w:r w:rsidR="000658D3">
        <w:rPr>
          <w:sz w:val="24"/>
          <w:szCs w:val="24"/>
        </w:rPr>
        <w:t xml:space="preserve">.  </w:t>
      </w:r>
    </w:p>
    <w:p w:rsidR="00F255B8" w:rsidRPr="00EE7926" w:rsidRDefault="00AC31DE" w:rsidP="005036C1">
      <w:pPr>
        <w:spacing w:line="480" w:lineRule="auto"/>
        <w:contextualSpacing/>
        <w:rPr>
          <w:sz w:val="24"/>
          <w:szCs w:val="24"/>
        </w:rPr>
      </w:pPr>
      <w:r>
        <w:rPr>
          <w:sz w:val="24"/>
          <w:szCs w:val="24"/>
        </w:rPr>
        <w:t xml:space="preserve">THP-1 cells have been commonly used as an </w:t>
      </w:r>
      <w:r w:rsidRPr="00AC31DE">
        <w:rPr>
          <w:i/>
          <w:sz w:val="24"/>
          <w:szCs w:val="24"/>
        </w:rPr>
        <w:t>in vitro</w:t>
      </w:r>
      <w:r>
        <w:rPr>
          <w:sz w:val="24"/>
          <w:szCs w:val="24"/>
        </w:rPr>
        <w:t xml:space="preserve"> model of human monocyte and macrophages in studies on inflammatory diseases </w:t>
      </w:r>
      <w:r>
        <w:rPr>
          <w:sz w:val="24"/>
          <w:szCs w:val="24"/>
        </w:rPr>
        <w:fldChar w:fldCharType="begin">
          <w:fldData xml:space="preserve">PEVuZE5vdGU+PENpdGU+PEF1dGhvcj5TYWthbW90bzwvQXV0aG9yPjxZZWFyPjIwMDE8L1llYXI+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</w:fldData>
        </w:fldChar>
      </w:r>
      <w:r>
        <w:rPr>
          <w:sz w:val="24"/>
          <w:szCs w:val="24"/>
        </w:rPr>
        <w:instrText xml:space="preserve"> ADDIN EN.CITE </w:instrText>
      </w:r>
      <w:r>
        <w:rPr>
          <w:sz w:val="24"/>
          <w:szCs w:val="24"/>
        </w:rPr>
        <w:fldChar w:fldCharType="begin">
          <w:fldData xml:space="preserve">PEVuZE5vdGU+PENpdGU+PEF1dGhvcj5TYWthbW90bzwvQXV0aG9yPjxZZWFyPjIwMDE8L1llYXI+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</w:fldData>
        </w:fldChar>
      </w:r>
      <w:r>
        <w:rPr>
          <w:sz w:val="24"/>
          <w:szCs w:val="24"/>
        </w:rPr>
        <w:instrText xml:space="preserve"> ADDIN EN.CITE.DATA </w:instrText>
      </w:r>
      <w:r>
        <w:rPr>
          <w:sz w:val="24"/>
          <w:szCs w:val="24"/>
        </w:rPr>
      </w:r>
      <w:r>
        <w:rPr>
          <w:sz w:val="24"/>
          <w:szCs w:val="24"/>
        </w:rPr>
        <w:fldChar w:fldCharType="end"/>
      </w:r>
      <w:r>
        <w:rPr>
          <w:sz w:val="24"/>
          <w:szCs w:val="24"/>
        </w:rPr>
      </w:r>
      <w:r>
        <w:rPr>
          <w:sz w:val="24"/>
          <w:szCs w:val="24"/>
        </w:rPr>
        <w:fldChar w:fldCharType="separate"/>
      </w:r>
      <w:r>
        <w:rPr>
          <w:noProof/>
          <w:sz w:val="24"/>
          <w:szCs w:val="24"/>
        </w:rPr>
        <w:t>[</w:t>
      </w:r>
      <w:hyperlink w:anchor="_ENREF_10" w:tooltip="Sakamoto, 2001 #12" w:history="1">
        <w:r w:rsidR="00D66844">
          <w:rPr>
            <w:noProof/>
            <w:sz w:val="24"/>
            <w:szCs w:val="24"/>
          </w:rPr>
          <w:t>10</w:t>
        </w:r>
      </w:hyperlink>
      <w:r>
        <w:rPr>
          <w:noProof/>
          <w:sz w:val="24"/>
          <w:szCs w:val="24"/>
        </w:rPr>
        <w:t>]</w:t>
      </w:r>
      <w:r>
        <w:rPr>
          <w:sz w:val="24"/>
          <w:szCs w:val="24"/>
        </w:rPr>
        <w:fldChar w:fldCharType="end"/>
      </w:r>
      <w:r>
        <w:rPr>
          <w:sz w:val="24"/>
          <w:szCs w:val="24"/>
        </w:rPr>
        <w:t xml:space="preserve">.  Sharif et al. </w:t>
      </w:r>
      <w:r>
        <w:rPr>
          <w:sz w:val="24"/>
          <w:szCs w:val="24"/>
        </w:rPr>
        <w:fldChar w:fldCharType="begin"/>
      </w:r>
      <w:r>
        <w:rPr>
          <w:sz w:val="24"/>
          <w:szCs w:val="24"/>
        </w:rPr>
        <w:instrText xml:space="preserve"> ADDIN EN.CITE &lt;EndNote&gt;&lt;Cite&gt;&lt;Author&gt;Sharif&lt;/Author&gt;&lt;Year&gt;2007&lt;/Year&gt;&lt;RecNum&gt;13&lt;/RecNum&gt;&lt;DisplayText&gt;[11]&lt;/DisplayText&gt;&lt;record&gt;&lt;rec-number&gt;13&lt;/rec-number&gt;&lt;foreign-keys&gt;&lt;key app="EN" db-id="pxv5tsd245tzxmepesxpa5p8ezxftsfv2sz0" timestamp="1488837810"&gt;13&lt;/key&gt;&lt;/foreign-keys&gt;&lt;ref-type name="Journal Article"&gt;17&lt;/ref-type&gt;&lt;contributors&gt;&lt;authors&gt;&lt;author&gt;Sharif, O.&lt;/author&gt;&lt;author&gt;Bolshakov, V. N.&lt;/author&gt;&lt;author&gt;Raines, S.&lt;/author&gt;&lt;author&gt;Newham, P.&lt;/author&gt;&lt;author&gt;Perkins, N. D.&lt;/author&gt;&lt;/authors&gt;&lt;/contributors&gt;&lt;auth-address&gt;Division of Gene Regulation and Expression, College of Life Sciences, University of Dundee, MSI/WTB/JBC Complex, Dow Street, Dundee, DD1 5EH Scotland, UK. o.sharif@dundee.ac.uk &amp;lt;o.sharif@dundee.ac.uk&amp;gt;&lt;/auth-address&gt;&lt;titles&gt;&lt;title&gt;Transcriptional profiling of the LPS induced NF-kappaB response in macrophages&lt;/title&gt;&lt;secondary-title&gt;BMC Immunol&lt;/secondary-title&gt;&lt;/titles&gt;&lt;periodical&gt;&lt;full-title&gt;BMC Immunol&lt;/full-title&gt;&lt;/periodical&gt;&lt;pages&gt;1&lt;/pages&gt;&lt;volume&gt;8&lt;/volume&gt;&lt;keywords&gt;&lt;keyword&gt;Cell Line&lt;/keyword&gt;&lt;keyword&gt;DNA/metabolism&lt;/keyword&gt;&lt;keyword&gt;*Gene Expression Profiling&lt;/keyword&gt;&lt;keyword&gt;Humans&lt;/keyword&gt;&lt;keyword&gt;Lipopolysaccharides/*pharmacology&lt;/keyword&gt;&lt;keyword&gt;Macrophages/*drug effects/*metabolism&lt;/keyword&gt;&lt;keyword&gt;NF-kappa B/*metabolism&lt;/keyword&gt;&lt;keyword&gt;Oligonucleotide Array Sequence Analysis&lt;/keyword&gt;&lt;keyword&gt;Protein Binding&lt;/keyword&gt;&lt;keyword&gt;RNA, Messenger/genetics/metabolism&lt;/keyword&gt;&lt;keyword&gt;Transcription, Genetic/*drug effects/*genetics&lt;/keyword&gt;&lt;/keywords&gt;&lt;dates&gt;&lt;year&gt;2007&lt;/year&gt;&lt;pub-dates&gt;&lt;date&gt;Jan 12&lt;/date&gt;&lt;/pub-dates&gt;&lt;/dates&gt;&lt;isbn&gt;1471-2172 (Electronic)&amp;#xD;1471-2172 (Linking)&lt;/isbn&gt;&lt;accession-num&gt;17222336&lt;/accession-num&gt;&lt;urls&gt;&lt;related-urls&gt;&lt;url&gt;https://www.ncbi.nlm.nih.gov/pubmed/17222336&lt;/url&gt;&lt;/related-urls&gt;&lt;/urls&gt;&lt;custom2&gt;PMC1781469&lt;/custom2&gt;&lt;electronic-resource-num&gt;10.1186/1471-2172-8-1&lt;/electronic-resource-num&gt;&lt;/record&gt;&lt;/Cite&gt;&lt;/EndNote&gt;</w:instrText>
      </w:r>
      <w:r>
        <w:rPr>
          <w:sz w:val="24"/>
          <w:szCs w:val="24"/>
        </w:rPr>
        <w:fldChar w:fldCharType="separate"/>
      </w:r>
      <w:r>
        <w:rPr>
          <w:noProof/>
          <w:sz w:val="24"/>
          <w:szCs w:val="24"/>
        </w:rPr>
        <w:t>[</w:t>
      </w:r>
      <w:hyperlink w:anchor="_ENREF_11" w:tooltip="Sharif, 2007 #13" w:history="1">
        <w:r w:rsidR="00D66844">
          <w:rPr>
            <w:noProof/>
            <w:sz w:val="24"/>
            <w:szCs w:val="24"/>
          </w:rPr>
          <w:t>11</w:t>
        </w:r>
      </w:hyperlink>
      <w:r>
        <w:rPr>
          <w:noProof/>
          <w:sz w:val="24"/>
          <w:szCs w:val="24"/>
        </w:rPr>
        <w:t>]</w:t>
      </w:r>
      <w:r>
        <w:rPr>
          <w:sz w:val="24"/>
          <w:szCs w:val="24"/>
        </w:rPr>
        <w:fldChar w:fldCharType="end"/>
      </w:r>
      <w:r w:rsidRPr="00AC31DE">
        <w:rPr>
          <w:sz w:val="24"/>
          <w:szCs w:val="24"/>
        </w:rPr>
        <w:t xml:space="preserve"> showed that THP-1 </w:t>
      </w:r>
      <w:r w:rsidRPr="00AC31DE">
        <w:rPr>
          <w:sz w:val="24"/>
          <w:szCs w:val="24"/>
        </w:rPr>
        <w:lastRenderedPageBreak/>
        <w:t xml:space="preserve">cells </w:t>
      </w:r>
      <w:r w:rsidR="001140EE">
        <w:rPr>
          <w:sz w:val="24"/>
          <w:szCs w:val="24"/>
        </w:rPr>
        <w:t>treated with</w:t>
      </w:r>
      <w:r w:rsidRPr="00AC31DE">
        <w:rPr>
          <w:sz w:val="24"/>
          <w:szCs w:val="24"/>
        </w:rPr>
        <w:t xml:space="preserve"> LPS responded with a change in expression of a number of inflammation-related genes (IL-1β, IL-6, IL-8, IL-10 and TNF-α). In addition, exposure of THP-1 monocytes to LPS results in activation of the NF-κB transcription factor, which </w:t>
      </w:r>
      <w:r w:rsidR="001140EE" w:rsidRPr="00AC31DE">
        <w:rPr>
          <w:sz w:val="24"/>
          <w:szCs w:val="24"/>
        </w:rPr>
        <w:t>arranges</w:t>
      </w:r>
      <w:r w:rsidRPr="00AC31DE">
        <w:rPr>
          <w:sz w:val="24"/>
          <w:szCs w:val="24"/>
        </w:rPr>
        <w:t xml:space="preserve"> a gene expression program leading to the activation of inflammation, cell proliferation, differentiation, migration and cell survival, which are mediated through the release of chemokines and cytokines </w:t>
      </w:r>
      <w:r>
        <w:rPr>
          <w:sz w:val="24"/>
          <w:szCs w:val="24"/>
        </w:rPr>
        <w:fldChar w:fldCharType="begin">
          <w:fldData xml:space="preserve">PEVuZE5vdGU+PENpdGU+PEF1dGhvcj5TaGFyaWY8L0F1dGhvcj48WWVhcj4yMDA3PC9ZZWFyPjxS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</w:fldData>
        </w:fldChar>
      </w:r>
      <w:r>
        <w:rPr>
          <w:sz w:val="24"/>
          <w:szCs w:val="24"/>
        </w:rPr>
        <w:instrText xml:space="preserve"> ADDIN EN.CITE </w:instrText>
      </w:r>
      <w:r>
        <w:rPr>
          <w:sz w:val="24"/>
          <w:szCs w:val="24"/>
        </w:rPr>
        <w:fldChar w:fldCharType="begin">
          <w:fldData xml:space="preserve">PEVuZE5vdGU+PENpdGU+PEF1dGhvcj5TaGFyaWY8L0F1dGhvcj48WWVhcj4yMDA3PC9ZZWFyPjxS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</w:fldData>
        </w:fldChar>
      </w:r>
      <w:r>
        <w:rPr>
          <w:sz w:val="24"/>
          <w:szCs w:val="24"/>
        </w:rPr>
        <w:instrText xml:space="preserve"> ADDIN EN.CITE.DATA </w:instrText>
      </w:r>
      <w:r>
        <w:rPr>
          <w:sz w:val="24"/>
          <w:szCs w:val="24"/>
        </w:rPr>
      </w:r>
      <w:r>
        <w:rPr>
          <w:sz w:val="24"/>
          <w:szCs w:val="24"/>
        </w:rPr>
        <w:fldChar w:fldCharType="end"/>
      </w:r>
      <w:r>
        <w:rPr>
          <w:sz w:val="24"/>
          <w:szCs w:val="24"/>
        </w:rPr>
      </w:r>
      <w:r>
        <w:rPr>
          <w:sz w:val="24"/>
          <w:szCs w:val="24"/>
        </w:rPr>
        <w:fldChar w:fldCharType="separate"/>
      </w:r>
      <w:r>
        <w:rPr>
          <w:noProof/>
          <w:sz w:val="24"/>
          <w:szCs w:val="24"/>
        </w:rPr>
        <w:t>[</w:t>
      </w:r>
      <w:hyperlink w:anchor="_ENREF_11" w:tooltip="Sharif, 2007 #13" w:history="1">
        <w:r w:rsidR="00D66844">
          <w:rPr>
            <w:noProof/>
            <w:sz w:val="24"/>
            <w:szCs w:val="24"/>
          </w:rPr>
          <w:t>11</w:t>
        </w:r>
      </w:hyperlink>
      <w:r>
        <w:rPr>
          <w:noProof/>
          <w:sz w:val="24"/>
          <w:szCs w:val="24"/>
        </w:rPr>
        <w:t xml:space="preserve">, </w:t>
      </w:r>
      <w:hyperlink w:anchor="_ENREF_12" w:tooltip="Chanput, 2010 #14" w:history="1">
        <w:r w:rsidR="00D66844">
          <w:rPr>
            <w:noProof/>
            <w:sz w:val="24"/>
            <w:szCs w:val="24"/>
          </w:rPr>
          <w:t>12</w:t>
        </w:r>
      </w:hyperlink>
      <w:r>
        <w:rPr>
          <w:noProof/>
          <w:sz w:val="24"/>
          <w:szCs w:val="24"/>
        </w:rPr>
        <w:t>]</w:t>
      </w:r>
      <w:r>
        <w:rPr>
          <w:sz w:val="24"/>
          <w:szCs w:val="24"/>
        </w:rPr>
        <w:fldChar w:fldCharType="end"/>
      </w:r>
      <w:r>
        <w:rPr>
          <w:sz w:val="24"/>
          <w:szCs w:val="24"/>
        </w:rPr>
        <w:t xml:space="preserve">  </w:t>
      </w:r>
      <w:r w:rsidR="000658D3">
        <w:rPr>
          <w:sz w:val="24"/>
          <w:szCs w:val="24"/>
        </w:rPr>
        <w:t>These previous studies on the potential beneficial role of trypsin inhibitors in can</w:t>
      </w:r>
      <w:r w:rsidR="00AB0D4E">
        <w:rPr>
          <w:sz w:val="24"/>
          <w:szCs w:val="24"/>
        </w:rPr>
        <w:t>cer chemoprevention and therapy and</w:t>
      </w:r>
      <w:r w:rsidR="000658D3">
        <w:rPr>
          <w:sz w:val="24"/>
          <w:szCs w:val="24"/>
        </w:rPr>
        <w:t xml:space="preserve"> the previous study identifying BG-4 as a peptide to promote apoptosis in human colon cancer cells serve as the scientific premise to study BG-4 as a means to inhibit LPS induced inflammation in THP-1 human macrophages.</w:t>
      </w:r>
    </w:p>
    <w:p w:rsidR="00896EB7" w:rsidRPr="00F255B8" w:rsidRDefault="00896EB7" w:rsidP="008F11A3">
      <w:pPr>
        <w:spacing w:line="480" w:lineRule="auto"/>
        <w:contextualSpacing/>
        <w:rPr>
          <w:b/>
          <w:sz w:val="24"/>
          <w:szCs w:val="24"/>
        </w:rPr>
      </w:pPr>
      <w:r w:rsidRPr="00F255B8">
        <w:rPr>
          <w:b/>
          <w:sz w:val="24"/>
          <w:szCs w:val="24"/>
        </w:rPr>
        <w:t>2. Materials and Methods</w:t>
      </w:r>
    </w:p>
    <w:p w:rsidR="00896EB7" w:rsidRPr="00764631" w:rsidRDefault="00896EB7" w:rsidP="008F11A3">
      <w:pPr>
        <w:spacing w:line="480" w:lineRule="auto"/>
        <w:contextualSpacing/>
        <w:rPr>
          <w:i/>
          <w:sz w:val="24"/>
          <w:szCs w:val="24"/>
        </w:rPr>
      </w:pPr>
      <w:r w:rsidRPr="00764631">
        <w:rPr>
          <w:i/>
          <w:sz w:val="24"/>
          <w:szCs w:val="24"/>
        </w:rPr>
        <w:t>2.1 Materials</w:t>
      </w:r>
    </w:p>
    <w:p w:rsidR="00764631" w:rsidRPr="00764631" w:rsidRDefault="00764631" w:rsidP="00D121EE">
      <w:pPr>
        <w:spacing w:line="480" w:lineRule="auto"/>
        <w:ind w:firstLine="720"/>
        <w:contextualSpacing/>
        <w:rPr>
          <w:sz w:val="24"/>
          <w:szCs w:val="24"/>
        </w:rPr>
      </w:pPr>
      <w:r w:rsidRPr="00764631">
        <w:rPr>
          <w:sz w:val="24"/>
          <w:szCs w:val="24"/>
        </w:rPr>
        <w:t>THP-1 cells were obtained from the American Type Culture Collection (Manasas, VA</w:t>
      </w:r>
      <w:r>
        <w:rPr>
          <w:sz w:val="24"/>
          <w:szCs w:val="24"/>
        </w:rPr>
        <w:t>, USA</w:t>
      </w:r>
      <w:r w:rsidRPr="00764631">
        <w:rPr>
          <w:sz w:val="24"/>
          <w:szCs w:val="24"/>
        </w:rPr>
        <w:t xml:space="preserve">).  </w:t>
      </w:r>
      <w:r w:rsidR="00CE62EB">
        <w:rPr>
          <w:sz w:val="24"/>
          <w:szCs w:val="24"/>
        </w:rPr>
        <w:t xml:space="preserve">BG-4 was isolated and purified from bitter gourd seeds as previously reported </w:t>
      </w:r>
      <w:r w:rsidR="0003274A">
        <w:rPr>
          <w:sz w:val="24"/>
          <w:szCs w:val="24"/>
        </w:rPr>
        <w:fldChar w:fldCharType="begin"/>
      </w:r>
      <w:r w:rsidR="0022676B">
        <w:rPr>
          <w:sz w:val="24"/>
          <w:szCs w:val="24"/>
        </w:rPr>
        <w:instrText xml:space="preserve"> ADDIN EN.CITE &lt;EndNote&gt;&lt;Cite&gt;&lt;Author&gt;Dia&lt;/Author&gt;&lt;Year&gt;2016&lt;/Year&gt;&lt;RecNum&gt;1&lt;/RecNum&gt;&lt;DisplayText&gt;[4]&lt;/DisplayText&gt;&lt;record&gt;&lt;rec-number&gt;1&lt;/rec-number&gt;&lt;foreign-keys&gt;&lt;key app="EN" db-id="pxv5tsd245tzxmepesxpa5p8ezxftsfv2sz0" timestamp="1488771251"&gt;1&lt;/key&gt;&lt;/foreign-keys&gt;&lt;ref-type name="Journal Article"&gt;17&lt;/ref-type&gt;&lt;contributors&gt;&lt;authors&gt;&lt;author&gt;Dia, V. P.&lt;/author&gt;&lt;author&gt;Krishnan, H. B.&lt;/author&gt;&lt;/authors&gt;&lt;/contributors&gt;&lt;auth-address&gt;Department of Food Science and Technology, The University of Tennessee Institute of Agriculture, Knoxville TN 37996 USA.&amp;#xD;USDA-ARS Plant Genetics Resources Unit, University of Missouri, Columbia, MO 65211 USA.&lt;/auth-address&gt;&lt;titles&gt;&lt;title&gt;BG-4, a novel anticancer peptide from bitter gourd (Momordica charantia), promotes apoptosis in human colon cancer cells&lt;/title&gt;&lt;secondary-title&gt;Sci Rep&lt;/secondary-title&gt;&lt;/titles&gt;&lt;periodical&gt;&lt;full-title&gt;Sci Rep&lt;/full-title&gt;&lt;/periodical&gt;&lt;pages&gt;33532&lt;/pages&gt;&lt;volume&gt;6&lt;/volume&gt;&lt;dates&gt;&lt;year&gt;2016&lt;/year&gt;&lt;pub-dates&gt;&lt;date&gt;Sep 15&lt;/date&gt;&lt;/pub-dates&gt;&lt;/dates&gt;&lt;isbn&gt;2045-2322 (Electronic)&amp;#xD;2045-2322 (Linking)&lt;/isbn&gt;&lt;accession-num&gt;27628414&lt;/accession-num&gt;&lt;urls&gt;&lt;related-urls&gt;&lt;url&gt;https://www.ncbi.nlm.nih.gov/pubmed/27628414&lt;/url&gt;&lt;/related-urls&gt;&lt;/urls&gt;&lt;custom2&gt;PMC5024301&lt;/custom2&gt;&lt;electronic-resource-num&gt;10.1038/srep33532&lt;/electronic-resource-num&gt;&lt;/record&gt;&lt;/Cite&gt;&lt;/EndNote&gt;</w:instrText>
      </w:r>
      <w:r w:rsidR="0003274A">
        <w:rPr>
          <w:sz w:val="24"/>
          <w:szCs w:val="24"/>
        </w:rPr>
        <w:fldChar w:fldCharType="separate"/>
      </w:r>
      <w:r w:rsidR="0022676B">
        <w:rPr>
          <w:noProof/>
          <w:sz w:val="24"/>
          <w:szCs w:val="24"/>
        </w:rPr>
        <w:t>[</w:t>
      </w:r>
      <w:hyperlink w:anchor="_ENREF_4" w:tooltip="Dia, 2016 #1" w:history="1">
        <w:r w:rsidR="00D66844">
          <w:rPr>
            <w:noProof/>
            <w:sz w:val="24"/>
            <w:szCs w:val="24"/>
          </w:rPr>
          <w:t>4</w:t>
        </w:r>
      </w:hyperlink>
      <w:r w:rsidR="0022676B">
        <w:rPr>
          <w:noProof/>
          <w:sz w:val="24"/>
          <w:szCs w:val="24"/>
        </w:rPr>
        <w:t>]</w:t>
      </w:r>
      <w:r w:rsidR="0003274A">
        <w:rPr>
          <w:sz w:val="24"/>
          <w:szCs w:val="24"/>
        </w:rPr>
        <w:fldChar w:fldCharType="end"/>
      </w:r>
      <w:r w:rsidR="00CE62EB">
        <w:rPr>
          <w:sz w:val="24"/>
          <w:szCs w:val="24"/>
        </w:rPr>
        <w:t>. All</w:t>
      </w:r>
      <w:r>
        <w:rPr>
          <w:sz w:val="24"/>
          <w:szCs w:val="24"/>
        </w:rPr>
        <w:t xml:space="preserve"> chemicals were purchased from VWR (Radnor, PA, USA), Fisher Scientific (Atlanta, GA, USA), or Bio-Rad (Hercules, CA, USA) unless stated otherwise.</w:t>
      </w:r>
    </w:p>
    <w:p w:rsidR="00167743" w:rsidRDefault="00167743" w:rsidP="008F11A3">
      <w:pPr>
        <w:spacing w:line="480" w:lineRule="auto"/>
        <w:contextualSpacing/>
        <w:rPr>
          <w:i/>
          <w:sz w:val="24"/>
          <w:szCs w:val="24"/>
        </w:rPr>
      </w:pPr>
      <w:r w:rsidRPr="00764631">
        <w:rPr>
          <w:i/>
          <w:sz w:val="24"/>
          <w:szCs w:val="24"/>
        </w:rPr>
        <w:t xml:space="preserve">2.2 </w:t>
      </w:r>
      <w:r w:rsidR="00484956" w:rsidRPr="00764631">
        <w:rPr>
          <w:i/>
          <w:sz w:val="24"/>
          <w:szCs w:val="24"/>
        </w:rPr>
        <w:t>Cell Culture</w:t>
      </w:r>
    </w:p>
    <w:p w:rsidR="001D6C13" w:rsidRDefault="00764631" w:rsidP="001A70CF">
      <w:pPr>
        <w:spacing w:line="480" w:lineRule="auto"/>
        <w:ind w:firstLine="720"/>
        <w:contextualSpacing/>
        <w:rPr>
          <w:sz w:val="24"/>
          <w:szCs w:val="24"/>
        </w:rPr>
      </w:pPr>
      <w:r>
        <w:rPr>
          <w:sz w:val="24"/>
          <w:szCs w:val="24"/>
        </w:rPr>
        <w:t xml:space="preserve">THP-1 cells were differentiated from </w:t>
      </w:r>
      <w:r w:rsidR="00A02287">
        <w:rPr>
          <w:sz w:val="24"/>
          <w:szCs w:val="24"/>
        </w:rPr>
        <w:t>monocytes to macrophages using p</w:t>
      </w:r>
      <w:r>
        <w:rPr>
          <w:sz w:val="24"/>
          <w:szCs w:val="24"/>
        </w:rPr>
        <w:t>horbol 12-myristate 13-acetate (PMA</w:t>
      </w:r>
      <w:r w:rsidR="001842AC">
        <w:rPr>
          <w:sz w:val="24"/>
          <w:szCs w:val="24"/>
        </w:rPr>
        <w:t>) as the differentiation agent</w:t>
      </w:r>
      <w:r w:rsidR="001842AC" w:rsidRPr="001842AC">
        <w:rPr>
          <w:sz w:val="24"/>
          <w:szCs w:val="24"/>
        </w:rPr>
        <w:t>. THP-1 was cultured using Roswell Park Memorial Institute-1640 media (RPMI 1640) (ATCC) containing 10% fetal bovine serum, 1% penicillin-streptomyc</w:t>
      </w:r>
      <w:r w:rsidR="001842AC">
        <w:rPr>
          <w:sz w:val="24"/>
          <w:szCs w:val="24"/>
        </w:rPr>
        <w:t xml:space="preserve">in, 1% sodium pyruvate, and 50 </w:t>
      </w:r>
      <w:r w:rsidR="001842AC">
        <w:rPr>
          <w:rFonts w:cstheme="minorHAnsi"/>
          <w:sz w:val="24"/>
          <w:szCs w:val="24"/>
        </w:rPr>
        <w:t>µ</w:t>
      </w:r>
      <w:r w:rsidR="001842AC" w:rsidRPr="001842AC">
        <w:rPr>
          <w:sz w:val="24"/>
          <w:szCs w:val="24"/>
        </w:rPr>
        <w:t>M beta-mercaptoethanol (to prevent cross-linking of Fc receptors on the cell by the antibody in serum and therefore avoiding damaging cel</w:t>
      </w:r>
      <w:r w:rsidR="001842AC">
        <w:rPr>
          <w:sz w:val="24"/>
          <w:szCs w:val="24"/>
        </w:rPr>
        <w:t>l function) and incubated at 37</w:t>
      </w:r>
      <w:r w:rsidR="001842AC">
        <w:rPr>
          <w:rFonts w:ascii="Perpetua" w:hAnsi="Perpetua"/>
          <w:sz w:val="24"/>
          <w:szCs w:val="24"/>
        </w:rPr>
        <w:t>º</w:t>
      </w:r>
      <w:r w:rsidR="001842AC" w:rsidRPr="001842AC">
        <w:rPr>
          <w:sz w:val="24"/>
          <w:szCs w:val="24"/>
        </w:rPr>
        <w:t>C in 5%CO</w:t>
      </w:r>
      <w:r w:rsidR="001842AC" w:rsidRPr="00CE62EB">
        <w:rPr>
          <w:sz w:val="24"/>
          <w:szCs w:val="24"/>
          <w:vertAlign w:val="subscript"/>
        </w:rPr>
        <w:t>2</w:t>
      </w:r>
      <w:r w:rsidR="001842AC" w:rsidRPr="001842AC">
        <w:rPr>
          <w:sz w:val="24"/>
          <w:szCs w:val="24"/>
        </w:rPr>
        <w:t xml:space="preserve">/95% air. PMA was added at a </w:t>
      </w:r>
      <w:r w:rsidR="001842AC" w:rsidRPr="001842AC">
        <w:rPr>
          <w:sz w:val="24"/>
          <w:szCs w:val="24"/>
        </w:rPr>
        <w:lastRenderedPageBreak/>
        <w:t>concentration of 162 nM to promote differentiation of THP-1 cells into macrophage</w:t>
      </w:r>
      <w:r w:rsidR="001D6C13">
        <w:rPr>
          <w:sz w:val="24"/>
          <w:szCs w:val="24"/>
        </w:rPr>
        <w:t>s</w:t>
      </w:r>
      <w:r w:rsidR="001842AC" w:rsidRPr="001842AC">
        <w:rPr>
          <w:sz w:val="24"/>
          <w:szCs w:val="24"/>
        </w:rPr>
        <w:t xml:space="preserve"> as previously des</w:t>
      </w:r>
      <w:r w:rsidR="001842AC">
        <w:rPr>
          <w:sz w:val="24"/>
          <w:szCs w:val="24"/>
        </w:rPr>
        <w:t xml:space="preserve">cribed by Furundzija et al </w:t>
      </w:r>
      <w:r w:rsidR="001842AC">
        <w:rPr>
          <w:sz w:val="24"/>
          <w:szCs w:val="24"/>
        </w:rPr>
        <w:fldChar w:fldCharType="begin"/>
      </w:r>
      <w:r w:rsidR="002C234E">
        <w:rPr>
          <w:sz w:val="24"/>
          <w:szCs w:val="24"/>
        </w:rPr>
        <w:instrText xml:space="preserve"> ADDIN EN.CITE &lt;EndNote&gt;&lt;Cite&gt;&lt;Author&gt;Furundzija&lt;/Author&gt;&lt;Year&gt;2010&lt;/Year&gt;&lt;RecNum&gt;15&lt;/RecNum&gt;&lt;DisplayText&gt;[13]&lt;/DisplayText&gt;&lt;record&gt;&lt;rec-number&gt;15&lt;/rec-number&gt;&lt;foreign-keys&gt;&lt;key app="EN" db-id="pxv5tsd245tzxmepesxpa5p8ezxftsfv2sz0" timestamp="1488925788"&gt;15&lt;/key&gt;&lt;/foreign-keys&gt;&lt;ref-type name="Journal Article"&gt;17&lt;/ref-type&gt;&lt;contributors&gt;&lt;authors&gt;&lt;author&gt;Furundzija, V.&lt;/author&gt;&lt;author&gt;Fritzsche, J.&lt;/author&gt;&lt;author&gt;Kaufmann, J.&lt;/author&gt;&lt;author&gt;Meyborg, H.&lt;/author&gt;&lt;author&gt;Fleck, E.&lt;/author&gt;&lt;author&gt;Kappert, K.&lt;/author&gt;&lt;author&gt;Stawowy, P.&lt;/author&gt;&lt;/authors&gt;&lt;/contributors&gt;&lt;auth-address&gt;Department of Medicine/Cardiology, Deutsches Herzzentrum Berlin, Augustenburger Platz 1, D-13353 Berlin, Germany.&lt;/auth-address&gt;&lt;titles&gt;&lt;title&gt;IGF-1 increases macrophage motility via PKC/p38-dependent alphavbeta3-integrin inside-out signaling&lt;/title&gt;&lt;secondary-title&gt;Biochem Biophys Res Commun&lt;/secondary-title&gt;&lt;/titles&gt;&lt;periodical&gt;&lt;full-title&gt;Biochem Biophys Res Commun&lt;/full-title&gt;&lt;/periodical&gt;&lt;pages&gt;786-91&lt;/pages&gt;&lt;volume&gt;394&lt;/volume&gt;&lt;number&gt;3&lt;/number&gt;&lt;keywords&gt;&lt;keyword&gt;Atherosclerosis/*metabolism/pathology&lt;/keyword&gt;&lt;keyword&gt;Cell Line&lt;/keyword&gt;&lt;keyword&gt;Cell Movement&lt;/keyword&gt;&lt;keyword&gt;*Chemotaxis&lt;/keyword&gt;&lt;keyword&gt;Humans&lt;/keyword&gt;&lt;keyword&gt;Insulin-Like Growth Factor I/pharmacology/*physiology&lt;/keyword&gt;&lt;keyword&gt;Integrin alphaVbeta3/antagonists &amp;amp; inhibitors/*metabolism&lt;/keyword&gt;&lt;keyword&gt;Macrophages/drug effects/*physiology&lt;/keyword&gt;&lt;keyword&gt;Protein Kinase C/antagonists &amp;amp; inhibitors/*metabolism&lt;/keyword&gt;&lt;keyword&gt;Signal Transduction&lt;/keyword&gt;&lt;keyword&gt;p38 Mitogen-Activated Protein Kinases/antagonists &amp;amp; inhibitors/*metabolism&lt;/keyword&gt;&lt;/keywords&gt;&lt;dates&gt;&lt;year&gt;2010&lt;/year&gt;&lt;pub-dates&gt;&lt;date&gt;Apr 09&lt;/date&gt;&lt;/pub-dates&gt;&lt;/dates&gt;&lt;isbn&gt;1090-2104 (Electronic)&amp;#xD;0006-291X (Linking)&lt;/isbn&gt;&lt;accession-num&gt;20230795&lt;/accession-num&gt;&lt;urls&gt;&lt;related-urls&gt;&lt;url&gt;https://www.ncbi.nlm.nih.gov/pubmed/20230795&lt;/url&gt;&lt;/related-urls&gt;&lt;/urls&gt;&lt;electronic-resource-num&gt;10.1016/j.bbrc.2010.03.072&lt;/electronic-resource-num&gt;&lt;/record&gt;&lt;/Cite&gt;&lt;/EndNote&gt;</w:instrText>
      </w:r>
      <w:r w:rsidR="001842AC">
        <w:rPr>
          <w:sz w:val="24"/>
          <w:szCs w:val="24"/>
        </w:rPr>
        <w:fldChar w:fldCharType="separate"/>
      </w:r>
      <w:r w:rsidR="002C234E">
        <w:rPr>
          <w:noProof/>
          <w:sz w:val="24"/>
          <w:szCs w:val="24"/>
        </w:rPr>
        <w:t>[</w:t>
      </w:r>
      <w:hyperlink w:anchor="_ENREF_13" w:tooltip="Furundzija, 2010 #15" w:history="1">
        <w:r w:rsidR="00D66844">
          <w:rPr>
            <w:noProof/>
            <w:sz w:val="24"/>
            <w:szCs w:val="24"/>
          </w:rPr>
          <w:t>13</w:t>
        </w:r>
      </w:hyperlink>
      <w:r w:rsidR="002C234E">
        <w:rPr>
          <w:noProof/>
          <w:sz w:val="24"/>
          <w:szCs w:val="24"/>
        </w:rPr>
        <w:t>]</w:t>
      </w:r>
      <w:r w:rsidR="001842AC">
        <w:rPr>
          <w:sz w:val="24"/>
          <w:szCs w:val="24"/>
        </w:rPr>
        <w:fldChar w:fldCharType="end"/>
      </w:r>
      <w:r w:rsidR="001842AC">
        <w:rPr>
          <w:sz w:val="24"/>
          <w:szCs w:val="24"/>
        </w:rPr>
        <w:t xml:space="preserve"> </w:t>
      </w:r>
      <w:r w:rsidR="001842AC" w:rsidRPr="001842AC">
        <w:rPr>
          <w:sz w:val="24"/>
          <w:szCs w:val="24"/>
        </w:rPr>
        <w:t xml:space="preserve"> with some modifications. Macrophage di</w:t>
      </w:r>
      <w:r w:rsidR="001D6C13">
        <w:rPr>
          <w:sz w:val="24"/>
          <w:szCs w:val="24"/>
        </w:rPr>
        <w:t>fferentiation was allowed for 24</w:t>
      </w:r>
      <w:r w:rsidR="001842AC" w:rsidRPr="001842AC">
        <w:rPr>
          <w:sz w:val="24"/>
          <w:szCs w:val="24"/>
        </w:rPr>
        <w:t xml:space="preserve"> h and it was determined by cell morphology and total adhesion to the plate. </w:t>
      </w:r>
      <w:r w:rsidR="00CE62EB">
        <w:rPr>
          <w:sz w:val="24"/>
          <w:szCs w:val="24"/>
        </w:rPr>
        <w:t xml:space="preserve">After differentiation, </w:t>
      </w:r>
      <w:r w:rsidR="001A70CF" w:rsidRPr="001A70CF">
        <w:rPr>
          <w:sz w:val="24"/>
          <w:szCs w:val="24"/>
        </w:rPr>
        <w:t>THP-1 cells were pre-treated with non-cytotoxic doses of BG-4 ranging from 6.25 to 50 ppm for 8 hours and the cells were challenged with 1 µg/mL LPS from Escherichia coli O55:B5 for 16 hours. Afterwards the cell spent medium was collected and analyzed for TNF-α and IL-6 secretion as measures of pro-inflammatory effects of LPS</w:t>
      </w:r>
      <w:r w:rsidR="001A70CF">
        <w:rPr>
          <w:sz w:val="24"/>
          <w:szCs w:val="24"/>
        </w:rPr>
        <w:t>.</w:t>
      </w:r>
    </w:p>
    <w:p w:rsidR="00167743" w:rsidRDefault="00167743" w:rsidP="008F11A3">
      <w:pPr>
        <w:spacing w:line="480" w:lineRule="auto"/>
        <w:contextualSpacing/>
        <w:rPr>
          <w:i/>
          <w:sz w:val="24"/>
          <w:szCs w:val="24"/>
        </w:rPr>
      </w:pPr>
      <w:r w:rsidRPr="00764631">
        <w:rPr>
          <w:i/>
          <w:sz w:val="24"/>
          <w:szCs w:val="24"/>
        </w:rPr>
        <w:t>2.3</w:t>
      </w:r>
      <w:r w:rsidR="00484956" w:rsidRPr="00764631">
        <w:rPr>
          <w:i/>
          <w:sz w:val="24"/>
          <w:szCs w:val="24"/>
        </w:rPr>
        <w:t xml:space="preserve"> Whole Cell Lys</w:t>
      </w:r>
      <w:r w:rsidR="00764631">
        <w:rPr>
          <w:i/>
          <w:sz w:val="24"/>
          <w:szCs w:val="24"/>
        </w:rPr>
        <w:t xml:space="preserve">ate Harvesting </w:t>
      </w:r>
    </w:p>
    <w:p w:rsidR="00764631" w:rsidRDefault="00764631" w:rsidP="00D121EE">
      <w:pPr>
        <w:spacing w:line="480" w:lineRule="auto"/>
        <w:ind w:firstLine="720"/>
        <w:contextualSpacing/>
        <w:rPr>
          <w:sz w:val="24"/>
          <w:szCs w:val="24"/>
        </w:rPr>
      </w:pPr>
      <w:r w:rsidRPr="00764631">
        <w:rPr>
          <w:sz w:val="24"/>
          <w:szCs w:val="24"/>
        </w:rPr>
        <w:t>To obtain the whole cell lysate, a RIPA lysis buffer-protease inhibitor</w:t>
      </w:r>
      <w:r w:rsidR="00CE62EB">
        <w:rPr>
          <w:sz w:val="24"/>
          <w:szCs w:val="24"/>
        </w:rPr>
        <w:t xml:space="preserve"> cocktail mix was prepared.  One hundred µL of lysis buffer was added to</w:t>
      </w:r>
      <w:r w:rsidRPr="00764631">
        <w:rPr>
          <w:sz w:val="24"/>
          <w:szCs w:val="24"/>
        </w:rPr>
        <w:t xml:space="preserve"> each wel</w:t>
      </w:r>
      <w:r w:rsidR="00CE62EB">
        <w:rPr>
          <w:sz w:val="24"/>
          <w:szCs w:val="24"/>
        </w:rPr>
        <w:t>l of a 6-well plate and the plate</w:t>
      </w:r>
      <w:r w:rsidRPr="00764631">
        <w:rPr>
          <w:sz w:val="24"/>
          <w:szCs w:val="24"/>
        </w:rPr>
        <w:t xml:space="preserve"> </w:t>
      </w:r>
      <w:r w:rsidR="00CE62EB">
        <w:rPr>
          <w:sz w:val="24"/>
          <w:szCs w:val="24"/>
        </w:rPr>
        <w:t>was</w:t>
      </w:r>
      <w:r w:rsidRPr="00764631">
        <w:rPr>
          <w:sz w:val="24"/>
          <w:szCs w:val="24"/>
        </w:rPr>
        <w:t xml:space="preserve"> incub</w:t>
      </w:r>
      <w:r w:rsidR="00CE62EB">
        <w:rPr>
          <w:sz w:val="24"/>
          <w:szCs w:val="24"/>
        </w:rPr>
        <w:t>ated at 4 °C</w:t>
      </w:r>
      <w:r>
        <w:rPr>
          <w:sz w:val="24"/>
          <w:szCs w:val="24"/>
        </w:rPr>
        <w:t xml:space="preserve"> for 5 min</w:t>
      </w:r>
      <w:r w:rsidRPr="00764631">
        <w:rPr>
          <w:sz w:val="24"/>
          <w:szCs w:val="24"/>
        </w:rPr>
        <w:t xml:space="preserve">.  Using a cell scraper, the plates were scraped and the cell lysates were transferred into pre-chilled 1.5-mL microfuge </w:t>
      </w:r>
      <w:r>
        <w:rPr>
          <w:sz w:val="24"/>
          <w:szCs w:val="24"/>
        </w:rPr>
        <w:t>tubes and vortexed for 5 min</w:t>
      </w:r>
      <w:r w:rsidRPr="00764631">
        <w:rPr>
          <w:sz w:val="24"/>
          <w:szCs w:val="24"/>
        </w:rPr>
        <w:t xml:space="preserve"> in a cold room.  They were then centrifu</w:t>
      </w:r>
      <w:r>
        <w:rPr>
          <w:sz w:val="24"/>
          <w:szCs w:val="24"/>
        </w:rPr>
        <w:t>ged at 14,000 x g for 10 min</w:t>
      </w:r>
      <w:r w:rsidRPr="00764631">
        <w:rPr>
          <w:sz w:val="24"/>
          <w:szCs w:val="24"/>
        </w:rPr>
        <w:t xml:space="preserve"> at 4</w:t>
      </w:r>
      <w:r w:rsidRPr="00764631">
        <w:rPr>
          <w:rFonts w:ascii="Perpetua" w:hAnsi="Perpetua"/>
          <w:sz w:val="24"/>
          <w:szCs w:val="24"/>
        </w:rPr>
        <w:t>º</w:t>
      </w:r>
      <w:r w:rsidRPr="00764631">
        <w:rPr>
          <w:sz w:val="24"/>
          <w:szCs w:val="24"/>
        </w:rPr>
        <w:t>C.</w:t>
      </w:r>
      <w:r>
        <w:rPr>
          <w:sz w:val="24"/>
          <w:szCs w:val="24"/>
        </w:rPr>
        <w:t xml:space="preserve">  The supernatant was collected and the pellet discarded.  The protein concentration of the supernatant was measured using Bradford Assay.  To the remaining supernatant, equal volumes of Laemmli buffer with </w:t>
      </w:r>
      <w:r>
        <w:rPr>
          <w:rFonts w:cstheme="minorHAnsi"/>
          <w:sz w:val="24"/>
          <w:szCs w:val="24"/>
        </w:rPr>
        <w:t>β</w:t>
      </w:r>
      <w:r>
        <w:rPr>
          <w:sz w:val="24"/>
          <w:szCs w:val="24"/>
        </w:rPr>
        <w:t xml:space="preserve">-mercaptoethanol were added and boiled for 5 min.  </w:t>
      </w:r>
      <w:r w:rsidR="00CE62EB">
        <w:rPr>
          <w:sz w:val="24"/>
          <w:szCs w:val="24"/>
        </w:rPr>
        <w:t>Cell lysates were stored at -20</w:t>
      </w:r>
      <w:r>
        <w:rPr>
          <w:sz w:val="24"/>
          <w:szCs w:val="24"/>
        </w:rPr>
        <w:t xml:space="preserve"> until analysis by Western Blot.</w:t>
      </w:r>
    </w:p>
    <w:p w:rsidR="00764631" w:rsidRDefault="00764631" w:rsidP="008F11A3">
      <w:pPr>
        <w:spacing w:line="480" w:lineRule="auto"/>
        <w:contextualSpacing/>
        <w:rPr>
          <w:i/>
          <w:sz w:val="24"/>
          <w:szCs w:val="24"/>
        </w:rPr>
      </w:pPr>
      <w:r>
        <w:rPr>
          <w:sz w:val="24"/>
          <w:szCs w:val="24"/>
        </w:rPr>
        <w:t xml:space="preserve">2.4 </w:t>
      </w:r>
      <w:r w:rsidRPr="00764631">
        <w:rPr>
          <w:i/>
          <w:sz w:val="24"/>
          <w:szCs w:val="24"/>
        </w:rPr>
        <w:t>Separation of Cytosolic and Nuclear Fractions</w:t>
      </w:r>
    </w:p>
    <w:p w:rsidR="00764631" w:rsidRPr="00764631" w:rsidRDefault="00764631" w:rsidP="00D121EE">
      <w:pPr>
        <w:spacing w:line="480" w:lineRule="auto"/>
        <w:ind w:firstLine="720"/>
        <w:contextualSpacing/>
        <w:rPr>
          <w:sz w:val="24"/>
          <w:szCs w:val="24"/>
        </w:rPr>
      </w:pPr>
      <w:r>
        <w:rPr>
          <w:sz w:val="24"/>
          <w:szCs w:val="24"/>
        </w:rPr>
        <w:t xml:space="preserve">In a similar fashion to the harvesting of the whole cell lysate, to separate the cytosolic and nuclear fractions </w:t>
      </w:r>
      <w:r w:rsidR="00D121EE">
        <w:rPr>
          <w:sz w:val="24"/>
          <w:szCs w:val="24"/>
        </w:rPr>
        <w:t>cells were washed with ice-cold PBS 2x</w:t>
      </w:r>
      <w:r w:rsidRPr="00D121EE">
        <w:rPr>
          <w:sz w:val="24"/>
          <w:szCs w:val="24"/>
        </w:rPr>
        <w:t>.  Using a cell scraper, the cells were then scraped with 500 µL ice-cold PBS and centrifuged for 5 min at 1000 x g at 4</w:t>
      </w:r>
      <w:r w:rsidRPr="00D121EE">
        <w:rPr>
          <w:rFonts w:ascii="Perpetua" w:hAnsi="Perpetua"/>
          <w:sz w:val="24"/>
          <w:szCs w:val="24"/>
        </w:rPr>
        <w:t>º</w:t>
      </w:r>
      <w:r w:rsidRPr="00D121EE">
        <w:rPr>
          <w:sz w:val="24"/>
          <w:szCs w:val="24"/>
        </w:rPr>
        <w:t xml:space="preserve">C.  The </w:t>
      </w:r>
      <w:r w:rsidRPr="00D121EE">
        <w:rPr>
          <w:sz w:val="24"/>
          <w:szCs w:val="24"/>
        </w:rPr>
        <w:lastRenderedPageBreak/>
        <w:t xml:space="preserve">supernatant was then discarded.  </w:t>
      </w:r>
      <w:r w:rsidR="00771376">
        <w:rPr>
          <w:sz w:val="24"/>
          <w:szCs w:val="24"/>
        </w:rPr>
        <w:t>One hundred µL of l</w:t>
      </w:r>
      <w:r w:rsidRPr="00D121EE">
        <w:rPr>
          <w:sz w:val="24"/>
          <w:szCs w:val="24"/>
        </w:rPr>
        <w:t>ysis buffer</w:t>
      </w:r>
      <w:r w:rsidR="00771376">
        <w:rPr>
          <w:sz w:val="24"/>
          <w:szCs w:val="24"/>
        </w:rPr>
        <w:t xml:space="preserve"> containing 0.01M DTT and protease inhibitors</w:t>
      </w:r>
      <w:r w:rsidRPr="00D121EE">
        <w:rPr>
          <w:sz w:val="24"/>
          <w:szCs w:val="24"/>
        </w:rPr>
        <w:t xml:space="preserve"> </w:t>
      </w:r>
      <w:r w:rsidRPr="00764631">
        <w:rPr>
          <w:sz w:val="24"/>
          <w:szCs w:val="24"/>
        </w:rPr>
        <w:t>was added and the cells were re-suspended by gently pipetting the suspens</w:t>
      </w:r>
      <w:r w:rsidR="00771376">
        <w:rPr>
          <w:sz w:val="24"/>
          <w:szCs w:val="24"/>
        </w:rPr>
        <w:t>ion</w:t>
      </w:r>
      <w:r w:rsidRPr="00764631">
        <w:rPr>
          <w:sz w:val="24"/>
          <w:szCs w:val="24"/>
        </w:rPr>
        <w:t>.  The cells were t</w:t>
      </w:r>
      <w:r>
        <w:rPr>
          <w:sz w:val="24"/>
          <w:szCs w:val="24"/>
        </w:rPr>
        <w:t>hen incubated on ice for 15 min</w:t>
      </w:r>
      <w:r w:rsidRPr="00764631">
        <w:rPr>
          <w:sz w:val="24"/>
          <w:szCs w:val="24"/>
        </w:rPr>
        <w:t xml:space="preserve"> to allow to swell.  </w:t>
      </w:r>
      <w:r w:rsidR="00771376">
        <w:rPr>
          <w:sz w:val="24"/>
          <w:szCs w:val="24"/>
        </w:rPr>
        <w:t xml:space="preserve">After which, </w:t>
      </w:r>
      <w:r w:rsidRPr="00764631">
        <w:rPr>
          <w:sz w:val="24"/>
          <w:szCs w:val="24"/>
        </w:rPr>
        <w:t xml:space="preserve">20 µL of 10% Triton X100 was added and vortexed vigorously for 10 seconds.  They were then centrifuged immediately for 1 min at 14,000 x g.  The supernatant (cytosolic fraction) was then discarded.  </w:t>
      </w:r>
      <w:r w:rsidR="00771376">
        <w:rPr>
          <w:sz w:val="24"/>
          <w:szCs w:val="24"/>
        </w:rPr>
        <w:t xml:space="preserve">To the pellet, </w:t>
      </w:r>
      <w:r w:rsidRPr="00764631">
        <w:rPr>
          <w:sz w:val="24"/>
          <w:szCs w:val="24"/>
        </w:rPr>
        <w:t>50 µL of extraction buffer</w:t>
      </w:r>
      <w:r w:rsidR="00771376">
        <w:rPr>
          <w:sz w:val="24"/>
          <w:szCs w:val="24"/>
        </w:rPr>
        <w:t xml:space="preserve"> containing 0.01 M DTT and protease inhibitors</w:t>
      </w:r>
      <w:r w:rsidRPr="00764631">
        <w:rPr>
          <w:sz w:val="24"/>
          <w:szCs w:val="24"/>
        </w:rPr>
        <w:t xml:space="preserve"> was </w:t>
      </w:r>
      <w:r w:rsidR="00771376">
        <w:rPr>
          <w:sz w:val="24"/>
          <w:szCs w:val="24"/>
        </w:rPr>
        <w:t>and vortex mixed</w:t>
      </w:r>
      <w:r w:rsidRPr="00764631">
        <w:rPr>
          <w:sz w:val="24"/>
          <w:szCs w:val="24"/>
        </w:rPr>
        <w:t xml:space="preserve"> in a cold room (4</w:t>
      </w:r>
      <w:r w:rsidRPr="00764631">
        <w:rPr>
          <w:rFonts w:ascii="Perpetua" w:hAnsi="Perpetua"/>
          <w:sz w:val="24"/>
          <w:szCs w:val="24"/>
        </w:rPr>
        <w:t>º</w:t>
      </w:r>
      <w:r w:rsidRPr="00764631">
        <w:rPr>
          <w:sz w:val="24"/>
          <w:szCs w:val="24"/>
        </w:rPr>
        <w:t>C) at high speed for 30 min.  They were then ce</w:t>
      </w:r>
      <w:r w:rsidR="00771376">
        <w:rPr>
          <w:sz w:val="24"/>
          <w:szCs w:val="24"/>
        </w:rPr>
        <w:t>ntrifuged for 5 min at 21,000 x g at 4 °C</w:t>
      </w:r>
      <w:r w:rsidRPr="00764631">
        <w:rPr>
          <w:sz w:val="24"/>
          <w:szCs w:val="24"/>
        </w:rPr>
        <w:t xml:space="preserve">.  The supernatant (nuclear fraction) was transferred to a pre-chilled microfuge tube.  </w:t>
      </w:r>
      <w:r w:rsidR="00771376">
        <w:rPr>
          <w:sz w:val="24"/>
          <w:szCs w:val="24"/>
        </w:rPr>
        <w:t>T</w:t>
      </w:r>
      <w:r w:rsidRPr="00764631">
        <w:rPr>
          <w:sz w:val="24"/>
          <w:szCs w:val="24"/>
        </w:rPr>
        <w:t xml:space="preserve">he protein concentrations were determined using Bradford Assay.  To the remaining fraction, equal volumes of Laemmli buffer with </w:t>
      </w:r>
      <w:r w:rsidRPr="00764631">
        <w:rPr>
          <w:rFonts w:cstheme="minorHAnsi"/>
          <w:sz w:val="24"/>
          <w:szCs w:val="24"/>
        </w:rPr>
        <w:t>β</w:t>
      </w:r>
      <w:r w:rsidRPr="00764631">
        <w:rPr>
          <w:sz w:val="24"/>
          <w:szCs w:val="24"/>
        </w:rPr>
        <w:t>-mercaptoethanol were added and boiled for 5 min.</w:t>
      </w:r>
      <w:r>
        <w:rPr>
          <w:sz w:val="24"/>
          <w:szCs w:val="24"/>
        </w:rPr>
        <w:t xml:space="preserve">  All boiled fractions were stored at -20</w:t>
      </w:r>
      <w:r>
        <w:rPr>
          <w:rFonts w:ascii="Perpetua" w:hAnsi="Perpetua"/>
          <w:sz w:val="24"/>
          <w:szCs w:val="24"/>
        </w:rPr>
        <w:t>º</w:t>
      </w:r>
      <w:r>
        <w:rPr>
          <w:sz w:val="24"/>
          <w:szCs w:val="24"/>
        </w:rPr>
        <w:t>C until analysis.</w:t>
      </w:r>
    </w:p>
    <w:p w:rsidR="00167743" w:rsidRDefault="00167743" w:rsidP="008F11A3">
      <w:pPr>
        <w:spacing w:line="480" w:lineRule="auto"/>
        <w:contextualSpacing/>
        <w:rPr>
          <w:i/>
          <w:sz w:val="24"/>
          <w:szCs w:val="24"/>
        </w:rPr>
      </w:pPr>
      <w:r w:rsidRPr="00764631">
        <w:rPr>
          <w:i/>
          <w:sz w:val="24"/>
          <w:szCs w:val="24"/>
        </w:rPr>
        <w:t>2.4</w:t>
      </w:r>
      <w:r w:rsidR="00484956" w:rsidRPr="00764631">
        <w:rPr>
          <w:i/>
          <w:sz w:val="24"/>
          <w:szCs w:val="24"/>
        </w:rPr>
        <w:t xml:space="preserve"> ELISA</w:t>
      </w:r>
    </w:p>
    <w:p w:rsidR="008F11A3" w:rsidRPr="008F11A3" w:rsidRDefault="000B38EE" w:rsidP="00D121EE">
      <w:pPr>
        <w:spacing w:line="480" w:lineRule="auto"/>
        <w:ind w:firstLine="720"/>
        <w:contextualSpacing/>
        <w:rPr>
          <w:sz w:val="24"/>
          <w:szCs w:val="24"/>
        </w:rPr>
      </w:pPr>
      <w:r>
        <w:rPr>
          <w:sz w:val="24"/>
          <w:szCs w:val="24"/>
        </w:rPr>
        <w:t>The Human IL-6 and TNF-α</w:t>
      </w:r>
      <w:r w:rsidR="008128E7">
        <w:rPr>
          <w:sz w:val="24"/>
          <w:szCs w:val="24"/>
        </w:rPr>
        <w:t xml:space="preserve"> MAX</w:t>
      </w:r>
      <w:r w:rsidR="008128E7">
        <w:rPr>
          <w:rFonts w:cstheme="minorHAnsi"/>
          <w:sz w:val="24"/>
          <w:szCs w:val="24"/>
        </w:rPr>
        <w:t>™</w:t>
      </w:r>
      <w:r w:rsidR="008128E7">
        <w:rPr>
          <w:sz w:val="24"/>
          <w:szCs w:val="24"/>
        </w:rPr>
        <w:t xml:space="preserve"> Deluxe Set from Bio-Legend (San Diego, CA, USA) was used for ELISA testing.  All reconstitutions and preparations were done as indicated on the instruction sheet from the manufacturer.  On Day 1</w:t>
      </w:r>
      <w:r>
        <w:rPr>
          <w:sz w:val="24"/>
          <w:szCs w:val="24"/>
        </w:rPr>
        <w:t>,</w:t>
      </w:r>
      <w:r w:rsidR="008128E7">
        <w:rPr>
          <w:sz w:val="24"/>
          <w:szCs w:val="24"/>
        </w:rPr>
        <w:t xml:space="preserve"> 100</w:t>
      </w:r>
      <w:r w:rsidR="00917537">
        <w:rPr>
          <w:sz w:val="24"/>
          <w:szCs w:val="24"/>
        </w:rPr>
        <w:t xml:space="preserve"> </w:t>
      </w:r>
      <w:r w:rsidR="008128E7">
        <w:rPr>
          <w:rFonts w:cstheme="minorHAnsi"/>
          <w:sz w:val="24"/>
          <w:szCs w:val="24"/>
        </w:rPr>
        <w:t>µ</w:t>
      </w:r>
      <w:r w:rsidR="008128E7">
        <w:rPr>
          <w:sz w:val="24"/>
          <w:szCs w:val="24"/>
        </w:rPr>
        <w:t>L of diluted Capture Antibody solution were added to each well and the plate was sealed and incubated overnight between 2</w:t>
      </w:r>
      <w:r w:rsidR="008128E7">
        <w:rPr>
          <w:rFonts w:ascii="Perpetua" w:hAnsi="Perpetua"/>
          <w:sz w:val="24"/>
          <w:szCs w:val="24"/>
        </w:rPr>
        <w:t>º</w:t>
      </w:r>
      <w:r w:rsidR="008128E7">
        <w:rPr>
          <w:sz w:val="24"/>
          <w:szCs w:val="24"/>
        </w:rPr>
        <w:t>C and 8</w:t>
      </w:r>
      <w:r w:rsidR="008128E7">
        <w:rPr>
          <w:rFonts w:ascii="Perpetua" w:hAnsi="Perpetua"/>
          <w:sz w:val="24"/>
          <w:szCs w:val="24"/>
        </w:rPr>
        <w:t>º</w:t>
      </w:r>
      <w:r w:rsidR="008128E7">
        <w:rPr>
          <w:sz w:val="24"/>
          <w:szCs w:val="24"/>
        </w:rPr>
        <w:t xml:space="preserve">C.  On Day 2 the plate (each well) was washed 4 times with </w:t>
      </w:r>
      <w:r>
        <w:rPr>
          <w:sz w:val="24"/>
          <w:szCs w:val="24"/>
        </w:rPr>
        <w:t>wash b</w:t>
      </w:r>
      <w:r w:rsidR="00917537">
        <w:rPr>
          <w:sz w:val="24"/>
          <w:szCs w:val="24"/>
        </w:rPr>
        <w:t xml:space="preserve">uffer and 200 </w:t>
      </w:r>
      <w:r w:rsidR="00917537">
        <w:rPr>
          <w:rFonts w:cstheme="minorHAnsi"/>
          <w:sz w:val="24"/>
          <w:szCs w:val="24"/>
        </w:rPr>
        <w:t>µ</w:t>
      </w:r>
      <w:r w:rsidR="00917537">
        <w:rPr>
          <w:sz w:val="24"/>
          <w:szCs w:val="24"/>
        </w:rPr>
        <w:t>L 1X Assay Diluent A was added to each well to block the plate.  It was then sealed and incubated at room temperature for an hour while on a plate shaker.  A</w:t>
      </w:r>
      <w:r>
        <w:rPr>
          <w:sz w:val="24"/>
          <w:szCs w:val="24"/>
        </w:rPr>
        <w:t>fter washing 4 more times with wash b</w:t>
      </w:r>
      <w:r w:rsidR="00917537">
        <w:rPr>
          <w:sz w:val="24"/>
          <w:szCs w:val="24"/>
        </w:rPr>
        <w:t xml:space="preserve">uffer, </w:t>
      </w:r>
      <w:r>
        <w:rPr>
          <w:sz w:val="24"/>
          <w:szCs w:val="24"/>
        </w:rPr>
        <w:t xml:space="preserve">100 µL of </w:t>
      </w:r>
      <w:r w:rsidR="00917537">
        <w:rPr>
          <w:sz w:val="24"/>
          <w:szCs w:val="24"/>
        </w:rPr>
        <w:t xml:space="preserve">either standard dilutions or </w:t>
      </w:r>
      <w:r>
        <w:rPr>
          <w:sz w:val="24"/>
          <w:szCs w:val="24"/>
        </w:rPr>
        <w:t xml:space="preserve">diluted </w:t>
      </w:r>
      <w:r w:rsidR="00917537">
        <w:rPr>
          <w:sz w:val="24"/>
          <w:szCs w:val="24"/>
        </w:rPr>
        <w:t>samples</w:t>
      </w:r>
      <w:r>
        <w:rPr>
          <w:sz w:val="24"/>
          <w:szCs w:val="24"/>
        </w:rPr>
        <w:t xml:space="preserve"> was added to each well</w:t>
      </w:r>
      <w:r w:rsidR="00917537">
        <w:rPr>
          <w:sz w:val="24"/>
          <w:szCs w:val="24"/>
        </w:rPr>
        <w:t>.  The plate was sealed and incubated at room temperature for 2 hours with shaking.  The plate was washed 4 more times and 100</w:t>
      </w:r>
      <w:r w:rsidR="00917537" w:rsidRPr="00917537">
        <w:rPr>
          <w:rFonts w:cstheme="minorHAnsi"/>
          <w:sz w:val="24"/>
          <w:szCs w:val="24"/>
        </w:rPr>
        <w:t xml:space="preserve"> </w:t>
      </w:r>
      <w:r w:rsidR="00917537">
        <w:rPr>
          <w:rFonts w:cstheme="minorHAnsi"/>
          <w:sz w:val="24"/>
          <w:szCs w:val="24"/>
        </w:rPr>
        <w:t>µ</w:t>
      </w:r>
      <w:r>
        <w:rPr>
          <w:sz w:val="24"/>
          <w:szCs w:val="24"/>
        </w:rPr>
        <w:t>L detection a</w:t>
      </w:r>
      <w:r w:rsidR="00917537">
        <w:rPr>
          <w:sz w:val="24"/>
          <w:szCs w:val="24"/>
        </w:rPr>
        <w:t xml:space="preserve">ntibody solution was added and the plate was </w:t>
      </w:r>
      <w:r w:rsidR="00917537">
        <w:rPr>
          <w:sz w:val="24"/>
          <w:szCs w:val="24"/>
        </w:rPr>
        <w:lastRenderedPageBreak/>
        <w:t xml:space="preserve">incubated with shaking for another hour at room temperature.  After washing the plate 4X, 100 </w:t>
      </w:r>
      <w:r w:rsidR="00917537">
        <w:rPr>
          <w:rFonts w:cstheme="minorHAnsi"/>
          <w:sz w:val="24"/>
          <w:szCs w:val="24"/>
        </w:rPr>
        <w:t>µ</w:t>
      </w:r>
      <w:r w:rsidR="00917537">
        <w:rPr>
          <w:sz w:val="24"/>
          <w:szCs w:val="24"/>
        </w:rPr>
        <w:t>L diluted Avidin-HRP solution was added to each well and the plate was sealed and incubated for 30 min with shaking at room temperature.  The plate was then washed 5X with soa</w:t>
      </w:r>
      <w:r>
        <w:rPr>
          <w:sz w:val="24"/>
          <w:szCs w:val="24"/>
        </w:rPr>
        <w:t>king for 30 sec-1 min per wash and</w:t>
      </w:r>
      <w:r w:rsidR="00917537">
        <w:rPr>
          <w:sz w:val="24"/>
          <w:szCs w:val="24"/>
        </w:rPr>
        <w:t xml:space="preserve"> 100 </w:t>
      </w:r>
      <w:r w:rsidR="00917537">
        <w:rPr>
          <w:rFonts w:cstheme="minorHAnsi"/>
          <w:sz w:val="24"/>
          <w:szCs w:val="24"/>
        </w:rPr>
        <w:t>µ</w:t>
      </w:r>
      <w:r>
        <w:rPr>
          <w:sz w:val="24"/>
          <w:szCs w:val="24"/>
        </w:rPr>
        <w:t>L of substrate solution</w:t>
      </w:r>
      <w:r w:rsidR="00917537">
        <w:rPr>
          <w:sz w:val="24"/>
          <w:szCs w:val="24"/>
        </w:rPr>
        <w:t xml:space="preserve"> was added and the plate incubated in the dark</w:t>
      </w:r>
      <w:r>
        <w:rPr>
          <w:sz w:val="24"/>
          <w:szCs w:val="24"/>
        </w:rPr>
        <w:t xml:space="preserve"> for 20 min.  The reaction was stopped by adding 1</w:t>
      </w:r>
      <w:r w:rsidR="00917537">
        <w:rPr>
          <w:sz w:val="24"/>
          <w:szCs w:val="24"/>
        </w:rPr>
        <w:t xml:space="preserve">00 </w:t>
      </w:r>
      <w:r w:rsidR="00917537">
        <w:rPr>
          <w:rFonts w:cstheme="minorHAnsi"/>
          <w:sz w:val="24"/>
          <w:szCs w:val="24"/>
        </w:rPr>
        <w:t>µ</w:t>
      </w:r>
      <w:r>
        <w:rPr>
          <w:sz w:val="24"/>
          <w:szCs w:val="24"/>
        </w:rPr>
        <w:t>L of 2 M H</w:t>
      </w:r>
      <w:r w:rsidRPr="000B38EE">
        <w:rPr>
          <w:sz w:val="24"/>
          <w:szCs w:val="24"/>
          <w:vertAlign w:val="subscript"/>
        </w:rPr>
        <w:t>2</w:t>
      </w:r>
      <w:r>
        <w:rPr>
          <w:sz w:val="24"/>
          <w:szCs w:val="24"/>
        </w:rPr>
        <w:t>SO</w:t>
      </w:r>
      <w:r w:rsidRPr="000B38EE">
        <w:rPr>
          <w:sz w:val="24"/>
          <w:szCs w:val="24"/>
          <w:vertAlign w:val="subscript"/>
        </w:rPr>
        <w:t>4</w:t>
      </w:r>
      <w:r w:rsidR="00917537">
        <w:rPr>
          <w:sz w:val="24"/>
          <w:szCs w:val="24"/>
        </w:rPr>
        <w:t xml:space="preserve"> to each well and the absorbance read at 450 nm </w:t>
      </w:r>
      <w:r w:rsidR="00395C5C">
        <w:rPr>
          <w:sz w:val="24"/>
          <w:szCs w:val="24"/>
        </w:rPr>
        <w:t>on a</w:t>
      </w:r>
      <w:r w:rsidR="00395C5C" w:rsidRPr="00395C5C">
        <w:t xml:space="preserve"> </w:t>
      </w:r>
      <w:r w:rsidR="00395C5C" w:rsidRPr="00395C5C">
        <w:rPr>
          <w:sz w:val="24"/>
          <w:szCs w:val="24"/>
        </w:rPr>
        <w:t>Cambrex ELX 808 microplate reader (Biotek Instruments, Winooski VT, USA)</w:t>
      </w:r>
      <w:r w:rsidR="00917537">
        <w:rPr>
          <w:sz w:val="24"/>
          <w:szCs w:val="24"/>
        </w:rPr>
        <w:t xml:space="preserve">.  </w:t>
      </w:r>
      <w:r>
        <w:rPr>
          <w:sz w:val="24"/>
          <w:szCs w:val="24"/>
        </w:rPr>
        <w:t>The concentration of IL-6 and TNF-α was calculated from the generated standard curve.</w:t>
      </w:r>
    </w:p>
    <w:p w:rsidR="00484956" w:rsidRDefault="00484956" w:rsidP="008F11A3">
      <w:pPr>
        <w:spacing w:line="480" w:lineRule="auto"/>
        <w:contextualSpacing/>
        <w:rPr>
          <w:i/>
          <w:sz w:val="24"/>
          <w:szCs w:val="24"/>
        </w:rPr>
      </w:pPr>
      <w:r w:rsidRPr="00764631">
        <w:rPr>
          <w:i/>
          <w:sz w:val="24"/>
          <w:szCs w:val="24"/>
        </w:rPr>
        <w:t>2.5 SDS-PAGE and Western Blot</w:t>
      </w:r>
    </w:p>
    <w:p w:rsidR="00395C5C" w:rsidRPr="00395C5C" w:rsidRDefault="00395C5C" w:rsidP="007D6E84">
      <w:pPr>
        <w:spacing w:line="480" w:lineRule="auto"/>
        <w:ind w:firstLine="720"/>
        <w:contextualSpacing/>
        <w:rPr>
          <w:sz w:val="24"/>
          <w:szCs w:val="24"/>
        </w:rPr>
      </w:pPr>
      <w:r>
        <w:rPr>
          <w:sz w:val="24"/>
          <w:szCs w:val="24"/>
        </w:rPr>
        <w:t>Frozen samples were thawed at room temperature and vortexed for about 3</w:t>
      </w:r>
      <w:r w:rsidR="007D6E84">
        <w:rPr>
          <w:sz w:val="24"/>
          <w:szCs w:val="24"/>
        </w:rPr>
        <w:t xml:space="preserve"> seconds.  A 1X Tris/glycine SDS</w:t>
      </w:r>
      <w:r>
        <w:rPr>
          <w:sz w:val="24"/>
          <w:szCs w:val="24"/>
        </w:rPr>
        <w:t xml:space="preserve"> buffer was prepared (</w:t>
      </w:r>
      <w:r w:rsidRPr="00395C5C">
        <w:rPr>
          <w:sz w:val="24"/>
          <w:szCs w:val="24"/>
        </w:rPr>
        <w:t>100 mL 10X Tris/glycine SDS buffer (161-0732, Biorad) + 900 mL deionized water</w:t>
      </w:r>
      <w:r>
        <w:rPr>
          <w:sz w:val="24"/>
          <w:szCs w:val="24"/>
        </w:rPr>
        <w:t xml:space="preserve">).  The gel cassette was placed in the electrode assembly and the frame was clamped.  The center was filled with running buffer to ensure no leaks.  After placing the assembly into the electrophoresis tank, the tank was filled with running buffer and the wells were loaded with 5 </w:t>
      </w:r>
      <w:r>
        <w:rPr>
          <w:rFonts w:cstheme="minorHAnsi"/>
          <w:sz w:val="24"/>
          <w:szCs w:val="24"/>
        </w:rPr>
        <w:t>µ</w:t>
      </w:r>
      <w:r>
        <w:rPr>
          <w:sz w:val="24"/>
          <w:szCs w:val="24"/>
        </w:rPr>
        <w:t xml:space="preserve">L Precision Plus Protein Dual Color Standard (molecular weight standard) and samples with pre-determined volume based on </w:t>
      </w:r>
      <w:r w:rsidR="007D6E84">
        <w:rPr>
          <w:sz w:val="24"/>
          <w:szCs w:val="24"/>
        </w:rPr>
        <w:t>equal protein loading were loaded</w:t>
      </w:r>
      <w:r>
        <w:rPr>
          <w:sz w:val="24"/>
          <w:szCs w:val="24"/>
        </w:rPr>
        <w:t xml:space="preserve">.  </w:t>
      </w:r>
      <w:r w:rsidR="007D6E84">
        <w:rPr>
          <w:sz w:val="24"/>
          <w:szCs w:val="24"/>
        </w:rPr>
        <w:t>Protein separation</w:t>
      </w:r>
      <w:r>
        <w:rPr>
          <w:sz w:val="24"/>
          <w:szCs w:val="24"/>
        </w:rPr>
        <w:t xml:space="preserve"> was run at 200V</w:t>
      </w:r>
      <w:r w:rsidR="007D6E84">
        <w:rPr>
          <w:sz w:val="24"/>
          <w:szCs w:val="24"/>
        </w:rPr>
        <w:t xml:space="preserve"> for 30-35 min</w:t>
      </w:r>
      <w:r>
        <w:rPr>
          <w:sz w:val="24"/>
          <w:szCs w:val="24"/>
        </w:rPr>
        <w:t>.</w:t>
      </w:r>
      <w:r w:rsidR="007D6E84">
        <w:rPr>
          <w:sz w:val="24"/>
          <w:szCs w:val="24"/>
        </w:rPr>
        <w:t xml:space="preserve"> The gels were then pre-equilibrated in ice-cold blotting buffer and proteins</w:t>
      </w:r>
      <w:r>
        <w:rPr>
          <w:sz w:val="24"/>
          <w:szCs w:val="24"/>
        </w:rPr>
        <w:t xml:space="preserve">  </w:t>
      </w:r>
      <w:r w:rsidRPr="00395C5C">
        <w:rPr>
          <w:sz w:val="24"/>
          <w:szCs w:val="24"/>
        </w:rPr>
        <w:t xml:space="preserve">were transferred to PVDF membrane (GE Healthcare Life Sciences, Pittsburgh PA) at 110 V for 1 h at 4 °C. The blots were blocked with 5% non-fat dry milk for 1 h at room temperature, washed three times with TBS containing 0.1% Tween 20 (TBST) for 5 min and incubated with primary antibody overnight at 4 °C at 1:1000 dilution. The blots were washed with TBST five times for 5 min and incubated with secondary antibody at 1:5000 </w:t>
      </w:r>
      <w:r w:rsidRPr="00395C5C">
        <w:rPr>
          <w:sz w:val="24"/>
          <w:szCs w:val="24"/>
        </w:rPr>
        <w:lastRenderedPageBreak/>
        <w:t>dilution for 2 h at room temperature. After washing with TBST, the blots were imaged with C-Digit Blot scanner (Li-Cor Biosciences, Lincoln, NE) using WesternSure ECL Substrate (Li-Cor Biosciences, Lincoln, NE). The intensity of bands was quantified using Image Studio Software (Li-Cor Biosciences, Lincoln,</w:t>
      </w:r>
      <w:r w:rsidR="00AE37F8">
        <w:rPr>
          <w:sz w:val="24"/>
          <w:szCs w:val="24"/>
        </w:rPr>
        <w:t xml:space="preserve"> NE, USA).</w:t>
      </w:r>
    </w:p>
    <w:p w:rsidR="00484956" w:rsidRDefault="00484956" w:rsidP="008F11A3">
      <w:pPr>
        <w:spacing w:line="480" w:lineRule="auto"/>
        <w:contextualSpacing/>
        <w:rPr>
          <w:i/>
          <w:sz w:val="24"/>
          <w:szCs w:val="24"/>
        </w:rPr>
      </w:pPr>
      <w:r w:rsidRPr="00764631">
        <w:rPr>
          <w:i/>
          <w:sz w:val="24"/>
          <w:szCs w:val="24"/>
        </w:rPr>
        <w:t>2.6 Intracellular Reactive Oxygen Species</w:t>
      </w:r>
    </w:p>
    <w:p w:rsidR="00AE37F8" w:rsidRDefault="00AE37F8" w:rsidP="00D121EE">
      <w:pPr>
        <w:spacing w:line="480" w:lineRule="auto"/>
        <w:ind w:firstLine="720"/>
        <w:contextualSpacing/>
        <w:rPr>
          <w:rFonts w:cstheme="minorHAnsi"/>
          <w:sz w:val="24"/>
          <w:szCs w:val="24"/>
        </w:rPr>
      </w:pPr>
      <w:r>
        <w:rPr>
          <w:sz w:val="24"/>
          <w:szCs w:val="24"/>
        </w:rPr>
        <w:t xml:space="preserve">For fluorescence microscopy, the THP-1 cells were seeded and treated as appropriate and the cells were then washed with PBS twice. </w:t>
      </w:r>
      <w:r w:rsidR="003944F2">
        <w:rPr>
          <w:sz w:val="24"/>
          <w:szCs w:val="24"/>
        </w:rPr>
        <w:t xml:space="preserve">One-mL of </w:t>
      </w:r>
      <w:r>
        <w:rPr>
          <w:sz w:val="24"/>
          <w:szCs w:val="24"/>
        </w:rPr>
        <w:t xml:space="preserve">10 </w:t>
      </w:r>
      <w:r>
        <w:rPr>
          <w:rFonts w:cstheme="minorHAnsi"/>
          <w:sz w:val="24"/>
          <w:szCs w:val="24"/>
        </w:rPr>
        <w:t xml:space="preserve">µM </w:t>
      </w:r>
      <w:r w:rsidRPr="00AE37F8">
        <w:rPr>
          <w:rFonts w:cstheme="minorHAnsi"/>
          <w:sz w:val="24"/>
          <w:szCs w:val="24"/>
        </w:rPr>
        <w:t>2′,7′-dichlorofluorescein diacetate</w:t>
      </w:r>
      <w:r>
        <w:rPr>
          <w:rFonts w:cstheme="minorHAnsi"/>
          <w:sz w:val="24"/>
          <w:szCs w:val="24"/>
        </w:rPr>
        <w:t xml:space="preserve"> was added to cover the whole surface of the cells.  After incubation at 37</w:t>
      </w:r>
      <w:r w:rsidR="003944F2">
        <w:rPr>
          <w:rFonts w:cstheme="minorHAnsi"/>
          <w:sz w:val="24"/>
          <w:szCs w:val="24"/>
        </w:rPr>
        <w:t xml:space="preserve"> </w:t>
      </w:r>
      <w:r>
        <w:rPr>
          <w:rFonts w:ascii="Perpetua" w:hAnsi="Perpetua" w:cstheme="minorHAnsi"/>
          <w:sz w:val="24"/>
          <w:szCs w:val="24"/>
        </w:rPr>
        <w:t>º</w:t>
      </w:r>
      <w:r>
        <w:rPr>
          <w:rFonts w:cstheme="minorHAnsi"/>
          <w:sz w:val="24"/>
          <w:szCs w:val="24"/>
        </w:rPr>
        <w:t>C for 30 min in the carbon dioxide incubator, t</w:t>
      </w:r>
      <w:r w:rsidR="003944F2">
        <w:rPr>
          <w:rFonts w:cstheme="minorHAnsi"/>
          <w:sz w:val="24"/>
          <w:szCs w:val="24"/>
        </w:rPr>
        <w:t>he stain solution was removed and washed</w:t>
      </w:r>
      <w:r>
        <w:rPr>
          <w:rFonts w:cstheme="minorHAnsi"/>
          <w:sz w:val="24"/>
          <w:szCs w:val="24"/>
        </w:rPr>
        <w:t xml:space="preserve"> with PBS twice.  The cells were overlaid with 50% glycerol and </w:t>
      </w:r>
      <w:r w:rsidR="004F5D81">
        <w:rPr>
          <w:rFonts w:cstheme="minorHAnsi"/>
          <w:sz w:val="24"/>
          <w:szCs w:val="24"/>
        </w:rPr>
        <w:t xml:space="preserve">imaged using the </w:t>
      </w:r>
      <w:r w:rsidR="004F5D81" w:rsidRPr="004F5D81">
        <w:rPr>
          <w:rFonts w:cstheme="minorHAnsi"/>
          <w:sz w:val="24"/>
          <w:szCs w:val="24"/>
        </w:rPr>
        <w:t>Invitrogen EVOS FL auto cell imaging system (ThermoFisher Scientific, Waltham MA).</w:t>
      </w:r>
    </w:p>
    <w:p w:rsidR="00AE37F8" w:rsidRDefault="00AE37F8" w:rsidP="008F11A3">
      <w:pPr>
        <w:spacing w:line="480" w:lineRule="auto"/>
        <w:contextualSpacing/>
        <w:rPr>
          <w:rFonts w:cstheme="minorHAnsi"/>
          <w:sz w:val="24"/>
          <w:szCs w:val="24"/>
        </w:rPr>
      </w:pPr>
      <w:r>
        <w:rPr>
          <w:rFonts w:cstheme="minorHAnsi"/>
          <w:sz w:val="24"/>
          <w:szCs w:val="24"/>
        </w:rPr>
        <w:tab/>
        <w:t xml:space="preserve">For fluorescence spectroscopy cells were seeded the same way and washed with PBS 2X. </w:t>
      </w:r>
      <w:r w:rsidR="003944F2">
        <w:rPr>
          <w:rFonts w:cstheme="minorHAnsi"/>
          <w:sz w:val="24"/>
          <w:szCs w:val="24"/>
        </w:rPr>
        <w:t xml:space="preserve">Cells were dislodged from the plate by adding 200 µL of trypsin-EDTA solution and incubated at 37 °C for 5 min. After incubation, </w:t>
      </w:r>
      <w:r>
        <w:rPr>
          <w:rFonts w:cstheme="minorHAnsi"/>
          <w:sz w:val="24"/>
          <w:szCs w:val="24"/>
        </w:rPr>
        <w:t xml:space="preserve">800 µL of complete medium with 10% FBS was added to inactivate trypsin and then centrifuged at 1000 x g for 5 min </w:t>
      </w:r>
      <w:r w:rsidR="003944F2">
        <w:rPr>
          <w:rFonts w:cstheme="minorHAnsi"/>
          <w:sz w:val="24"/>
          <w:szCs w:val="24"/>
        </w:rPr>
        <w:t>and the supernatant discarded. One</w:t>
      </w:r>
      <w:r w:rsidR="004F5D81">
        <w:rPr>
          <w:rFonts w:cstheme="minorHAnsi"/>
          <w:sz w:val="24"/>
          <w:szCs w:val="24"/>
        </w:rPr>
        <w:t xml:space="preserve"> mL of PBS was added to carefully re-suspend the cells and then centrifuged. </w:t>
      </w:r>
      <w:r w:rsidR="003944F2">
        <w:rPr>
          <w:rFonts w:cstheme="minorHAnsi"/>
          <w:sz w:val="24"/>
          <w:szCs w:val="24"/>
        </w:rPr>
        <w:t xml:space="preserve">Tye cells were re-suspended in </w:t>
      </w:r>
      <w:r w:rsidR="004F5D81" w:rsidRPr="004F5D81">
        <w:rPr>
          <w:rFonts w:cstheme="minorHAnsi"/>
          <w:sz w:val="24"/>
          <w:szCs w:val="24"/>
        </w:rPr>
        <w:t xml:space="preserve">500 µL </w:t>
      </w:r>
      <w:r w:rsidR="004F5D81">
        <w:rPr>
          <w:rFonts w:cstheme="minorHAnsi"/>
          <w:sz w:val="24"/>
          <w:szCs w:val="24"/>
        </w:rPr>
        <w:t xml:space="preserve">of </w:t>
      </w:r>
      <w:r w:rsidR="004F5D81" w:rsidRPr="004F5D81">
        <w:rPr>
          <w:rFonts w:cstheme="minorHAnsi"/>
          <w:sz w:val="24"/>
          <w:szCs w:val="24"/>
        </w:rPr>
        <w:t>PBS containing 10 µM 2′,7′-dichlorofluorescein diacetate</w:t>
      </w:r>
      <w:r w:rsidR="004F5D81">
        <w:rPr>
          <w:rFonts w:cstheme="minorHAnsi"/>
          <w:sz w:val="24"/>
          <w:szCs w:val="24"/>
        </w:rPr>
        <w:t xml:space="preserve"> </w:t>
      </w:r>
      <w:r w:rsidR="003944F2">
        <w:rPr>
          <w:rFonts w:cstheme="minorHAnsi"/>
          <w:sz w:val="24"/>
          <w:szCs w:val="24"/>
        </w:rPr>
        <w:t xml:space="preserve">and </w:t>
      </w:r>
      <w:r w:rsidR="004F5D81">
        <w:rPr>
          <w:rFonts w:cstheme="minorHAnsi"/>
          <w:sz w:val="24"/>
          <w:szCs w:val="24"/>
        </w:rPr>
        <w:t>incubated at 37</w:t>
      </w:r>
      <w:r w:rsidR="004F5D81">
        <w:rPr>
          <w:rFonts w:ascii="Perpetua" w:hAnsi="Perpetua" w:cstheme="minorHAnsi"/>
          <w:sz w:val="24"/>
          <w:szCs w:val="24"/>
        </w:rPr>
        <w:t>º</w:t>
      </w:r>
      <w:r w:rsidR="004F5D81">
        <w:rPr>
          <w:rFonts w:cstheme="minorHAnsi"/>
          <w:sz w:val="24"/>
          <w:szCs w:val="24"/>
        </w:rPr>
        <w:t>C for 30 min in the carbon dioxide incubator.  After vortex</w:t>
      </w:r>
      <w:r w:rsidR="003944F2">
        <w:rPr>
          <w:rFonts w:cstheme="minorHAnsi"/>
          <w:sz w:val="24"/>
          <w:szCs w:val="24"/>
        </w:rPr>
        <w:t xml:space="preserve"> mixing</w:t>
      </w:r>
      <w:r w:rsidR="004F5D81">
        <w:rPr>
          <w:rFonts w:cstheme="minorHAnsi"/>
          <w:sz w:val="24"/>
          <w:szCs w:val="24"/>
        </w:rPr>
        <w:t xml:space="preserve">, 200 µL of the suspension (in duplicate) was plated in a 96-well black plate.  </w:t>
      </w:r>
      <w:r w:rsidR="004F5D81" w:rsidRPr="000A7099">
        <w:rPr>
          <w:rFonts w:cstheme="minorHAnsi"/>
          <w:sz w:val="24"/>
          <w:szCs w:val="24"/>
        </w:rPr>
        <w:t>Fluorescence inte</w:t>
      </w:r>
      <w:r w:rsidR="000A7099">
        <w:rPr>
          <w:rFonts w:cstheme="minorHAnsi"/>
          <w:sz w:val="24"/>
          <w:szCs w:val="24"/>
        </w:rPr>
        <w:t>nsity was read at 485 nm/528 nm on a Synergy microplate reader (BioTek, Winooski, VT, USA).</w:t>
      </w:r>
    </w:p>
    <w:p w:rsidR="00D039A0" w:rsidRDefault="00D039A0" w:rsidP="008F11A3">
      <w:pPr>
        <w:spacing w:line="480" w:lineRule="auto"/>
        <w:contextualSpacing/>
        <w:rPr>
          <w:i/>
          <w:sz w:val="24"/>
          <w:szCs w:val="24"/>
        </w:rPr>
      </w:pPr>
    </w:p>
    <w:p w:rsidR="00D039A0" w:rsidRDefault="00D039A0" w:rsidP="008F11A3">
      <w:pPr>
        <w:spacing w:line="480" w:lineRule="auto"/>
        <w:contextualSpacing/>
        <w:rPr>
          <w:i/>
          <w:sz w:val="24"/>
          <w:szCs w:val="24"/>
        </w:rPr>
      </w:pPr>
    </w:p>
    <w:p w:rsidR="00484956" w:rsidRDefault="00484956" w:rsidP="008F11A3">
      <w:pPr>
        <w:spacing w:line="480" w:lineRule="auto"/>
        <w:contextualSpacing/>
        <w:rPr>
          <w:i/>
          <w:sz w:val="24"/>
          <w:szCs w:val="24"/>
        </w:rPr>
      </w:pPr>
      <w:r w:rsidRPr="00764631">
        <w:rPr>
          <w:i/>
          <w:sz w:val="24"/>
          <w:szCs w:val="24"/>
        </w:rPr>
        <w:lastRenderedPageBreak/>
        <w:t>2.7 Immunofluorescence (p-STAT3 and p-65)</w:t>
      </w:r>
    </w:p>
    <w:p w:rsidR="00F36EED" w:rsidRPr="00890F11" w:rsidRDefault="00F36EED" w:rsidP="00D121EE">
      <w:pPr>
        <w:spacing w:line="480" w:lineRule="auto"/>
        <w:ind w:firstLine="720"/>
        <w:contextualSpacing/>
        <w:rPr>
          <w:sz w:val="24"/>
          <w:szCs w:val="24"/>
        </w:rPr>
      </w:pPr>
      <w:r>
        <w:rPr>
          <w:sz w:val="24"/>
          <w:szCs w:val="24"/>
        </w:rPr>
        <w:t>Cells were treated per protocol, growth medium</w:t>
      </w:r>
      <w:r w:rsidR="00D121EE">
        <w:rPr>
          <w:sz w:val="24"/>
          <w:szCs w:val="24"/>
        </w:rPr>
        <w:t xml:space="preserve"> removed, and washed with PBS 2x</w:t>
      </w:r>
      <w:r>
        <w:rPr>
          <w:sz w:val="24"/>
          <w:szCs w:val="24"/>
        </w:rPr>
        <w:t xml:space="preserve">.  </w:t>
      </w:r>
      <w:r w:rsidR="003944F2">
        <w:rPr>
          <w:sz w:val="24"/>
          <w:szCs w:val="24"/>
        </w:rPr>
        <w:t xml:space="preserve">Cells were fixed with </w:t>
      </w:r>
      <w:r>
        <w:rPr>
          <w:sz w:val="24"/>
          <w:szCs w:val="24"/>
        </w:rPr>
        <w:t xml:space="preserve">500 </w:t>
      </w:r>
      <w:r>
        <w:rPr>
          <w:rFonts w:cstheme="minorHAnsi"/>
          <w:sz w:val="24"/>
          <w:szCs w:val="24"/>
        </w:rPr>
        <w:t>µ</w:t>
      </w:r>
      <w:r>
        <w:rPr>
          <w:sz w:val="24"/>
          <w:szCs w:val="24"/>
        </w:rPr>
        <w:t xml:space="preserve">L </w:t>
      </w:r>
      <w:r w:rsidR="003944F2">
        <w:rPr>
          <w:sz w:val="24"/>
          <w:szCs w:val="24"/>
        </w:rPr>
        <w:t>of 4% paraformaldehyde</w:t>
      </w:r>
      <w:r>
        <w:rPr>
          <w:sz w:val="24"/>
          <w:szCs w:val="24"/>
        </w:rPr>
        <w:t xml:space="preserve"> at room temperature for 15 min.  After washing th</w:t>
      </w:r>
      <w:r w:rsidR="00D121EE">
        <w:rPr>
          <w:sz w:val="24"/>
          <w:szCs w:val="24"/>
        </w:rPr>
        <w:t>e cells 3x</w:t>
      </w:r>
      <w:r>
        <w:rPr>
          <w:sz w:val="24"/>
          <w:szCs w:val="24"/>
        </w:rPr>
        <w:t xml:space="preserve"> (5 min each time) with PBS, 500 </w:t>
      </w:r>
      <w:r>
        <w:rPr>
          <w:rFonts w:cstheme="minorHAnsi"/>
          <w:sz w:val="24"/>
          <w:szCs w:val="24"/>
        </w:rPr>
        <w:t>µ</w:t>
      </w:r>
      <w:r>
        <w:rPr>
          <w:sz w:val="24"/>
          <w:szCs w:val="24"/>
        </w:rPr>
        <w:t>L</w:t>
      </w:r>
      <w:r w:rsidR="001505E0">
        <w:rPr>
          <w:sz w:val="24"/>
          <w:szCs w:val="24"/>
        </w:rPr>
        <w:t xml:space="preserve"> of 0.1% Triton X100 was added and then incubated for 10 min at room temperature.  Cells were washed as before and 5% BSA was added to each well (500 </w:t>
      </w:r>
      <w:r w:rsidR="001505E0">
        <w:rPr>
          <w:rFonts w:cstheme="minorHAnsi"/>
          <w:sz w:val="24"/>
          <w:szCs w:val="24"/>
        </w:rPr>
        <w:t>µ</w:t>
      </w:r>
      <w:r w:rsidR="001505E0">
        <w:rPr>
          <w:sz w:val="24"/>
          <w:szCs w:val="24"/>
        </w:rPr>
        <w:t xml:space="preserve">L) and incubated for 1 hour at room temperature (blocking step).  Cells </w:t>
      </w:r>
      <w:r w:rsidR="003944F2">
        <w:rPr>
          <w:sz w:val="24"/>
          <w:szCs w:val="24"/>
        </w:rPr>
        <w:t xml:space="preserve">were </w:t>
      </w:r>
      <w:r w:rsidR="001505E0">
        <w:rPr>
          <w:sz w:val="24"/>
          <w:szCs w:val="24"/>
        </w:rPr>
        <w:t xml:space="preserve">washed as before and 200 </w:t>
      </w:r>
      <w:r w:rsidR="001505E0">
        <w:rPr>
          <w:rFonts w:cstheme="minorHAnsi"/>
          <w:sz w:val="24"/>
          <w:szCs w:val="24"/>
        </w:rPr>
        <w:t>µ</w:t>
      </w:r>
      <w:r w:rsidR="001505E0">
        <w:rPr>
          <w:sz w:val="24"/>
          <w:szCs w:val="24"/>
        </w:rPr>
        <w:t>L of diluted primary antibody were added to each well and incubated at 4</w:t>
      </w:r>
      <w:r w:rsidR="001505E0">
        <w:rPr>
          <w:rFonts w:ascii="Perpetua" w:hAnsi="Perpetua"/>
          <w:sz w:val="24"/>
          <w:szCs w:val="24"/>
        </w:rPr>
        <w:t>º</w:t>
      </w:r>
      <w:r w:rsidR="001505E0">
        <w:rPr>
          <w:sz w:val="24"/>
          <w:szCs w:val="24"/>
        </w:rPr>
        <w:t>C overnight.  Cells were washed as before and 200</w:t>
      </w:r>
      <w:r w:rsidR="001505E0" w:rsidRPr="001505E0">
        <w:rPr>
          <w:rFonts w:cstheme="minorHAnsi"/>
          <w:sz w:val="24"/>
          <w:szCs w:val="24"/>
        </w:rPr>
        <w:t xml:space="preserve"> </w:t>
      </w:r>
      <w:r w:rsidR="001505E0">
        <w:rPr>
          <w:rFonts w:cstheme="minorHAnsi"/>
          <w:sz w:val="24"/>
          <w:szCs w:val="24"/>
        </w:rPr>
        <w:t>µ</w:t>
      </w:r>
      <w:r w:rsidR="001505E0">
        <w:rPr>
          <w:sz w:val="24"/>
          <w:szCs w:val="24"/>
        </w:rPr>
        <w:t>L of diluted secondary antibody was added and incubate for 2 hours at room temperature in the dark.  The cells were washed and 2 drops of the mounting medium with DAPI was a</w:t>
      </w:r>
      <w:r w:rsidR="00890F11">
        <w:rPr>
          <w:sz w:val="24"/>
          <w:szCs w:val="24"/>
        </w:rPr>
        <w:t>dded.  The cells</w:t>
      </w:r>
      <w:r w:rsidR="001505E0">
        <w:rPr>
          <w:sz w:val="24"/>
          <w:szCs w:val="24"/>
        </w:rPr>
        <w:t xml:space="preserve"> cure</w:t>
      </w:r>
      <w:r w:rsidR="00890F11">
        <w:rPr>
          <w:sz w:val="24"/>
          <w:szCs w:val="24"/>
        </w:rPr>
        <w:t>d</w:t>
      </w:r>
      <w:r w:rsidR="001505E0">
        <w:rPr>
          <w:sz w:val="24"/>
          <w:szCs w:val="24"/>
        </w:rPr>
        <w:t xml:space="preserve"> for 24 hours at room temperature in the dark and were then imaged using a fluorescence microscope.  The primary antibodies were </w:t>
      </w:r>
      <w:r w:rsidR="001505E0" w:rsidRPr="00890F11">
        <w:rPr>
          <w:sz w:val="24"/>
          <w:szCs w:val="24"/>
        </w:rPr>
        <w:t xml:space="preserve">p65 (1-mL 5% BSA, 4-mL PBS and 25 µL p-65 antibody) and c-Jun (1-mL </w:t>
      </w:r>
      <w:r w:rsidR="003944F2">
        <w:rPr>
          <w:sz w:val="24"/>
          <w:szCs w:val="24"/>
        </w:rPr>
        <w:t>5% BSA, 4-mL PBS and 25 µL p-STAT3</w:t>
      </w:r>
      <w:r w:rsidR="001505E0" w:rsidRPr="00890F11">
        <w:rPr>
          <w:sz w:val="24"/>
          <w:szCs w:val="24"/>
        </w:rPr>
        <w:t xml:space="preserve"> antibody. Vortexed prior to use)</w:t>
      </w:r>
      <w:r w:rsidR="004E449D" w:rsidRPr="00890F11">
        <w:rPr>
          <w:sz w:val="24"/>
          <w:szCs w:val="24"/>
        </w:rPr>
        <w:t xml:space="preserve">.  </w:t>
      </w:r>
      <w:r w:rsidR="001505E0" w:rsidRPr="00890F11">
        <w:rPr>
          <w:sz w:val="24"/>
          <w:szCs w:val="24"/>
        </w:rPr>
        <w:t xml:space="preserve">The secondary antibody was </w:t>
      </w:r>
      <w:r w:rsidR="004E449D" w:rsidRPr="00890F11">
        <w:rPr>
          <w:sz w:val="24"/>
          <w:szCs w:val="24"/>
        </w:rPr>
        <w:t>Alexa-Fluor 488-conjugated anti-rabbit (2-mL 5%BSA, 8-mL PBS and 10 µL goat antirabbit Alexa-Fluor 488 conjugate).</w:t>
      </w:r>
    </w:p>
    <w:p w:rsidR="00CF39BE" w:rsidRPr="00F36EED" w:rsidRDefault="00CF39BE" w:rsidP="008F11A3">
      <w:pPr>
        <w:spacing w:line="480" w:lineRule="auto"/>
        <w:contextualSpacing/>
        <w:rPr>
          <w:sz w:val="24"/>
          <w:szCs w:val="24"/>
        </w:rPr>
      </w:pPr>
    </w:p>
    <w:p w:rsidR="00484956" w:rsidRDefault="00484956" w:rsidP="008F11A3">
      <w:pPr>
        <w:spacing w:line="480" w:lineRule="auto"/>
        <w:contextualSpacing/>
        <w:rPr>
          <w:i/>
          <w:sz w:val="24"/>
          <w:szCs w:val="24"/>
        </w:rPr>
      </w:pPr>
      <w:r w:rsidRPr="00764631">
        <w:rPr>
          <w:i/>
          <w:sz w:val="24"/>
          <w:szCs w:val="24"/>
        </w:rPr>
        <w:t>2.8 Statistical Analysis</w:t>
      </w:r>
      <w:r w:rsidR="002A335E">
        <w:rPr>
          <w:i/>
          <w:sz w:val="24"/>
          <w:szCs w:val="24"/>
        </w:rPr>
        <w:t xml:space="preserve"> </w:t>
      </w:r>
    </w:p>
    <w:p w:rsidR="002A335E" w:rsidRDefault="002A335E" w:rsidP="008F11A3">
      <w:pPr>
        <w:spacing w:line="480" w:lineRule="auto"/>
        <w:contextualSpacing/>
        <w:rPr>
          <w:sz w:val="24"/>
          <w:szCs w:val="24"/>
        </w:rPr>
      </w:pPr>
      <w:r w:rsidRPr="002A335E">
        <w:rPr>
          <w:sz w:val="24"/>
          <w:szCs w:val="24"/>
        </w:rPr>
        <w:t>Data were analyzed using analysis of variance utilizing the proc GLM procedure of Statistical Analysis System software version 9.4. Means were separated using Tukey’s posthoc analysis at P &lt; 0.05.</w:t>
      </w:r>
    </w:p>
    <w:p w:rsidR="002A335E" w:rsidRPr="002A335E" w:rsidRDefault="002A335E" w:rsidP="008F11A3">
      <w:pPr>
        <w:spacing w:line="480" w:lineRule="auto"/>
        <w:contextualSpacing/>
        <w:rPr>
          <w:sz w:val="24"/>
          <w:szCs w:val="24"/>
        </w:rPr>
      </w:pPr>
    </w:p>
    <w:p w:rsidR="009153A0" w:rsidRDefault="009153A0" w:rsidP="008F11A3">
      <w:pPr>
        <w:spacing w:line="480" w:lineRule="auto"/>
        <w:contextualSpacing/>
        <w:rPr>
          <w:b/>
          <w:sz w:val="24"/>
          <w:szCs w:val="24"/>
        </w:rPr>
      </w:pPr>
    </w:p>
    <w:p w:rsidR="009153A0" w:rsidRDefault="009153A0" w:rsidP="008F11A3">
      <w:pPr>
        <w:spacing w:line="480" w:lineRule="auto"/>
        <w:contextualSpacing/>
        <w:rPr>
          <w:b/>
          <w:sz w:val="24"/>
          <w:szCs w:val="24"/>
        </w:rPr>
      </w:pPr>
    </w:p>
    <w:p w:rsidR="0082660B" w:rsidRDefault="00FF7698" w:rsidP="008F11A3">
      <w:pPr>
        <w:spacing w:line="480" w:lineRule="auto"/>
        <w:contextualSpacing/>
        <w:rPr>
          <w:sz w:val="24"/>
          <w:szCs w:val="24"/>
        </w:rPr>
      </w:pPr>
      <w:r w:rsidRPr="002C234E">
        <w:rPr>
          <w:b/>
          <w:sz w:val="24"/>
          <w:szCs w:val="24"/>
        </w:rPr>
        <w:t>3. Results an</w:t>
      </w:r>
      <w:r w:rsidR="00167743" w:rsidRPr="002C234E">
        <w:rPr>
          <w:b/>
          <w:sz w:val="24"/>
          <w:szCs w:val="24"/>
        </w:rPr>
        <w:t>d D</w:t>
      </w:r>
      <w:r w:rsidRPr="002C234E">
        <w:rPr>
          <w:b/>
          <w:sz w:val="24"/>
          <w:szCs w:val="24"/>
        </w:rPr>
        <w:t>iscussion</w:t>
      </w:r>
      <w:r w:rsidR="002C234E">
        <w:rPr>
          <w:sz w:val="24"/>
          <w:szCs w:val="24"/>
        </w:rPr>
        <w:t xml:space="preserve"> </w:t>
      </w:r>
    </w:p>
    <w:p w:rsidR="00890F11" w:rsidRDefault="00890F11" w:rsidP="008F11A3">
      <w:pPr>
        <w:spacing w:line="480" w:lineRule="auto"/>
        <w:contextualSpacing/>
        <w:rPr>
          <w:i/>
          <w:sz w:val="24"/>
          <w:szCs w:val="24"/>
        </w:rPr>
      </w:pPr>
      <w:r w:rsidRPr="001A70CF">
        <w:rPr>
          <w:i/>
          <w:sz w:val="24"/>
          <w:szCs w:val="24"/>
        </w:rPr>
        <w:t xml:space="preserve">3.1 </w:t>
      </w:r>
      <w:r w:rsidR="001A70CF">
        <w:rPr>
          <w:i/>
          <w:sz w:val="24"/>
          <w:szCs w:val="24"/>
        </w:rPr>
        <w:t>BG-4 Pre-treatment reduced the secretion of pro-inflammatory cytokines</w:t>
      </w:r>
    </w:p>
    <w:p w:rsidR="002C234E" w:rsidRDefault="002C234E" w:rsidP="002C234E">
      <w:pPr>
        <w:spacing w:line="480" w:lineRule="auto"/>
        <w:ind w:firstLine="720"/>
        <w:contextualSpacing/>
        <w:rPr>
          <w:sz w:val="24"/>
          <w:szCs w:val="24"/>
        </w:rPr>
      </w:pPr>
      <w:r>
        <w:rPr>
          <w:sz w:val="24"/>
          <w:szCs w:val="24"/>
        </w:rPr>
        <w:t>M</w:t>
      </w:r>
      <w:r w:rsidR="0014201B">
        <w:rPr>
          <w:sz w:val="24"/>
          <w:szCs w:val="24"/>
        </w:rPr>
        <w:t>acrophages</w:t>
      </w:r>
      <w:r>
        <w:rPr>
          <w:sz w:val="24"/>
          <w:szCs w:val="24"/>
        </w:rPr>
        <w:t xml:space="preserve"> respond to LPS by expressing many inflammatory cytokines.  The pathway occurs as follows:  LPS binds to LPS-binding protein and is delivered to the cell surface receptor CD14.  LPS is then transferred to the transmembrane signaling receptor TLR4 and protein MD2.  Other intracellular signaling pathways are activated by LPS stimulation including the </w:t>
      </w:r>
      <w:r w:rsidRPr="00F255B8">
        <w:rPr>
          <w:sz w:val="24"/>
          <w:szCs w:val="24"/>
        </w:rPr>
        <w:t>NF-κB</w:t>
      </w:r>
      <w:r w:rsidR="0014201B">
        <w:rPr>
          <w:sz w:val="24"/>
          <w:szCs w:val="24"/>
        </w:rPr>
        <w:t xml:space="preserve"> pathway</w:t>
      </w:r>
      <w:r>
        <w:rPr>
          <w:sz w:val="24"/>
          <w:szCs w:val="24"/>
        </w:rPr>
        <w:fldChar w:fldCharType="begin"/>
      </w:r>
      <w:r>
        <w:rPr>
          <w:sz w:val="24"/>
          <w:szCs w:val="24"/>
        </w:rPr>
        <w:instrText xml:space="preserve"> ADDIN EN.CITE &lt;EndNote&gt;&lt;Cite&gt;&lt;Author&gt;Guha&lt;/Author&gt;&lt;Year&gt;2001&lt;/Year&gt;&lt;RecNum&gt;2&lt;/RecNum&gt;&lt;DisplayText&gt;[14]&lt;/DisplayText&gt;&lt;record&gt;&lt;rec-number&gt;2&lt;/rec-number&gt;&lt;foreign-keys&gt;&lt;key app="EN" db-id="pxv5tsd245tzxmepesxpa5p8ezxftsfv2sz0" timestamp="1488772837"&gt;2&lt;/key&gt;&lt;/foreign-keys&gt;&lt;ref-type name="Journal Article"&gt;17&lt;/ref-type&gt;&lt;contributors&gt;&lt;authors&gt;&lt;author&gt;Guha, M.&lt;/author&gt;&lt;author&gt;Mackman, N.&lt;/author&gt;&lt;/authors&gt;&lt;/contributors&gt;&lt;auth-address&gt;Departments of Immunology, C-204, The Scripps Research Institute, 10550 North Torrey Pines Road, La Jolla, CA 92037, USA.&lt;/auth-address&gt;&lt;titles&gt;&lt;title&gt;LPS induction of gene expression in human monocytes&lt;/title&gt;&lt;secondary-title&gt;Cell Signal&lt;/secondary-title&gt;&lt;/titles&gt;&lt;periodical&gt;&lt;full-title&gt;Cell Signal&lt;/full-title&gt;&lt;/periodical&gt;&lt;pages&gt;85-94&lt;/pages&gt;&lt;volume&gt;13&lt;/volume&gt;&lt;number&gt;2&lt;/number&gt;&lt;keywords&gt;&lt;keyword&gt;Animals&lt;/keyword&gt;&lt;keyword&gt;Antigens, CD14/biosynthesis&lt;/keyword&gt;&lt;keyword&gt;Antigens, Surface/metabolism&lt;/keyword&gt;&lt;keyword&gt;*Drosophila Proteins&lt;/keyword&gt;&lt;keyword&gt;Humans&lt;/keyword&gt;&lt;keyword&gt;Lipopolysaccharides/*metabolism&lt;/keyword&gt;&lt;keyword&gt;Lymphocyte Antigen 96&lt;/keyword&gt;&lt;keyword&gt;MAP Kinase Signaling System&lt;/keyword&gt;&lt;keyword&gt;Membrane Glycoproteins/metabolism&lt;/keyword&gt;&lt;keyword&gt;Mitogen-Activated Protein Kinase 8&lt;/keyword&gt;&lt;keyword&gt;Mitogen-Activated Protein Kinases/metabolism&lt;/keyword&gt;&lt;keyword&gt;Models, Biological&lt;/keyword&gt;&lt;keyword&gt;Monocytes/*metabolism&lt;/keyword&gt;&lt;keyword&gt;NF-kappa B/metabolism&lt;/keyword&gt;&lt;keyword&gt;Protein Binding&lt;/keyword&gt;&lt;keyword&gt;Receptors, Cell Surface/metabolism&lt;/keyword&gt;&lt;keyword&gt;Sepsis/metabolism&lt;/keyword&gt;&lt;keyword&gt;Signal Transduction&lt;/keyword&gt;&lt;keyword&gt;Toll-Like Receptor 4&lt;/keyword&gt;&lt;keyword&gt;Toll-Like Receptors&lt;/keyword&gt;&lt;keyword&gt;p38 Mitogen-Activated Protein Kinases&lt;/keyword&gt;&lt;/keywords&gt;&lt;dates&gt;&lt;year&gt;2001&lt;/year&gt;&lt;pub-dates&gt;&lt;date&gt;Feb&lt;/date&gt;&lt;/pub-dates&gt;&lt;/dates&gt;&lt;isbn&gt;0898-6568 (Print)&amp;#xD;0898-6568 (Linking)&lt;/isbn&gt;&lt;accession-num&gt;11257452&lt;/accession-num&gt;&lt;urls&gt;&lt;related-urls&gt;&lt;url&gt;https://www.ncbi.nlm.nih.gov/pubmed/11257452&lt;/url&gt;&lt;/related-urls&gt;&lt;/urls&gt;&lt;/record&gt;&lt;/Cite&gt;&lt;/EndNote&gt;</w:instrText>
      </w:r>
      <w:r>
        <w:rPr>
          <w:sz w:val="24"/>
          <w:szCs w:val="24"/>
        </w:rPr>
        <w:fldChar w:fldCharType="separate"/>
      </w:r>
      <w:r>
        <w:rPr>
          <w:noProof/>
          <w:sz w:val="24"/>
          <w:szCs w:val="24"/>
        </w:rPr>
        <w:t>[</w:t>
      </w:r>
      <w:hyperlink w:anchor="_ENREF_14" w:tooltip="Guha, 2001 #2" w:history="1">
        <w:r w:rsidR="00D66844">
          <w:rPr>
            <w:noProof/>
            <w:sz w:val="24"/>
            <w:szCs w:val="24"/>
          </w:rPr>
          <w:t>14</w:t>
        </w:r>
      </w:hyperlink>
      <w:r>
        <w:rPr>
          <w:noProof/>
          <w:sz w:val="24"/>
          <w:szCs w:val="24"/>
        </w:rPr>
        <w:t>]</w:t>
      </w:r>
      <w:r>
        <w:rPr>
          <w:sz w:val="24"/>
          <w:szCs w:val="24"/>
        </w:rPr>
        <w:fldChar w:fldCharType="end"/>
      </w:r>
      <w:r w:rsidR="0014201B">
        <w:rPr>
          <w:sz w:val="24"/>
          <w:szCs w:val="24"/>
        </w:rPr>
        <w:t>.</w:t>
      </w:r>
    </w:p>
    <w:p w:rsidR="002A335E" w:rsidRPr="00EC4B8D" w:rsidRDefault="002C234E" w:rsidP="00EC4B8D">
      <w:pPr>
        <w:spacing w:line="480" w:lineRule="auto"/>
        <w:ind w:firstLine="720"/>
        <w:contextualSpacing/>
        <w:rPr>
          <w:sz w:val="24"/>
          <w:szCs w:val="24"/>
        </w:rPr>
      </w:pPr>
      <w:r>
        <w:rPr>
          <w:sz w:val="24"/>
          <w:szCs w:val="24"/>
        </w:rPr>
        <w:t>As</w:t>
      </w:r>
      <w:r w:rsidR="001A70CF">
        <w:rPr>
          <w:sz w:val="24"/>
          <w:szCs w:val="24"/>
        </w:rPr>
        <w:t xml:space="preserve"> shown in </w:t>
      </w:r>
      <w:r w:rsidR="001A70CF" w:rsidRPr="00E15A16">
        <w:rPr>
          <w:b/>
          <w:sz w:val="24"/>
          <w:szCs w:val="24"/>
        </w:rPr>
        <w:t>Figure 2A</w:t>
      </w:r>
      <w:r w:rsidR="001A70CF">
        <w:rPr>
          <w:sz w:val="24"/>
          <w:szCs w:val="24"/>
        </w:rPr>
        <w:t>, LPS-treatment led to increased TNF-</w:t>
      </w:r>
      <w:r w:rsidR="001A70CF">
        <w:rPr>
          <w:rFonts w:cstheme="minorHAnsi"/>
          <w:sz w:val="24"/>
          <w:szCs w:val="24"/>
        </w:rPr>
        <w:t>α</w:t>
      </w:r>
      <w:r w:rsidR="001A70CF">
        <w:rPr>
          <w:sz w:val="24"/>
          <w:szCs w:val="24"/>
        </w:rPr>
        <w:t xml:space="preserve"> secretion by THP-1 cells from 33.2 pg/mL to 1164.3 pg/mL.  </w:t>
      </w:r>
      <w:r w:rsidR="001A70CF" w:rsidRPr="001A70CF">
        <w:rPr>
          <w:sz w:val="24"/>
          <w:szCs w:val="24"/>
        </w:rPr>
        <w:t xml:space="preserve">The increased secretion of TNF-α induced by LPS was dose-dependently reduced by BG-4 pre-treatment. At a concentration of 6.25 ppm, BG-4 significantly reduced TNF-α secretion by 16.2% and at 50 ppm, BG-4 reduced TNF-α secretion by 50.7%. </w:t>
      </w:r>
      <w:r w:rsidR="001A70CF" w:rsidRPr="001A70CF">
        <w:rPr>
          <w:b/>
          <w:sz w:val="24"/>
          <w:szCs w:val="24"/>
        </w:rPr>
        <w:t xml:space="preserve">Figure 2B </w:t>
      </w:r>
      <w:r w:rsidR="001A70CF" w:rsidRPr="001A70CF">
        <w:rPr>
          <w:sz w:val="24"/>
          <w:szCs w:val="24"/>
        </w:rPr>
        <w:t xml:space="preserve">shows the effect of LPS and BG-4 treatment on IL-6 secretion by THP-1 macrophages. LPS treatment led to a significant increase in IL-6 secretion by THP-1 macrophages compared to untreated cells (13.8 vs 466.5 pg/mL). BG-4 treatment starting at 12.5 ppm dose-dependently reduced IL-6 secretion induced by LPS in THP-1 macrophages reaching 88.4% reduction at 50 ppm. Previous reports have shown the cancer promoting effects of pro-inflammatory cytokines TNF-α and IL-6. For instance, analysis </w:t>
      </w:r>
      <w:r w:rsidR="001A70CF">
        <w:rPr>
          <w:sz w:val="24"/>
          <w:szCs w:val="24"/>
        </w:rPr>
        <w:t>of different colonic polyps has</w:t>
      </w:r>
      <w:r w:rsidR="001A70CF" w:rsidRPr="001A70CF">
        <w:rPr>
          <w:sz w:val="24"/>
          <w:szCs w:val="24"/>
        </w:rPr>
        <w:t xml:space="preserve"> shown an increased TNF-α expression in serrated adenoma and hyperplastic polyps as compared to normal colonic mucosa</w:t>
      </w:r>
      <w:r>
        <w:rPr>
          <w:sz w:val="24"/>
          <w:szCs w:val="24"/>
          <w:vertAlign w:val="superscript"/>
        </w:rPr>
        <w:t xml:space="preserve"> </w:t>
      </w:r>
      <w:r w:rsidRPr="002C234E">
        <w:rPr>
          <w:sz w:val="24"/>
          <w:szCs w:val="24"/>
        </w:rPr>
        <w:fldChar w:fldCharType="begin"/>
      </w:r>
      <w:r w:rsidRPr="002C234E">
        <w:rPr>
          <w:sz w:val="24"/>
          <w:szCs w:val="24"/>
        </w:rPr>
        <w:instrText xml:space="preserve"> ADDIN EN.CITE &lt;EndNote&gt;&lt;Cite&gt;&lt;Author&gt;Szylberg&lt;/Author&gt;&lt;Year&gt;2016&lt;/Year&gt;&lt;RecNum&gt;16&lt;/RecNum&gt;&lt;DisplayText&gt;[15]&lt;/DisplayText&gt;&lt;record&gt;&lt;rec-number&gt;16&lt;/rec-number&gt;&lt;foreign-keys&gt;&lt;key app="EN" db-id="pxv5tsd245tzxmepesxpa5p8ezxftsfv2sz0" timestamp="1488986990"&gt;16&lt;/key&gt;&lt;/foreign-keys&gt;&lt;ref-type name="Journal Article"&gt;17&lt;/ref-type&gt;&lt;contributors&gt;&lt;authors&gt;&lt;author&gt;Szylberg, L.&lt;/author&gt;&lt;author&gt;Janiczek, M.&lt;/author&gt;&lt;author&gt;Popiel, A.&lt;/author&gt;&lt;author&gt;Marszalek, A.&lt;/author&gt;&lt;/authors&gt;&lt;/contributors&gt;&lt;auth-address&gt;Department of Clinical Pathomorphology, Collegium Medicum in Bydgoszcz, Nicolaus Copernicus University in Torun, Poland.&amp;#xD;Department of Clinical Pathomorphology, Collegium Medicum in Bydgoszcz, Nicolaus Copernicus University in Torun, Poland; Department of Tumor Pathology and Prophylaxis, Poznan University of Medical Sciences and Greater Poland Cancer Center, Poznan, Poland.&lt;/auth-address&gt;&lt;titles&gt;&lt;title&gt;Expression of COX-2, IL-1beta, TNF-alpha and IL-4 in epithelium of serrated adenoma, adenoma and hyperplastic polyp&lt;/title&gt;&lt;secondary-title&gt;Arch Med Sci&lt;/secondary-title&gt;&lt;/titles&gt;&lt;periodical&gt;&lt;full-title&gt;Arch Med Sci&lt;/full-title&gt;&lt;/periodical&gt;&lt;pages&gt;172-8&lt;/pages&gt;&lt;volume&gt;12&lt;/volume&gt;&lt;number&gt;1&lt;/number&gt;&lt;keywords&gt;&lt;keyword&gt;inflammatory cytokines&lt;/keyword&gt;&lt;keyword&gt;polyps&lt;/keyword&gt;&lt;/keywords&gt;&lt;dates&gt;&lt;year&gt;2016&lt;/year&gt;&lt;pub-dates&gt;&lt;date&gt;Feb 01&lt;/date&gt;&lt;/pub-dates&gt;&lt;/dates&gt;&lt;isbn&gt;1734-1922 (Print)&amp;#xD;1734-1922 (Linking)&lt;/isbn&gt;&lt;accession-num&gt;26925134&lt;/accession-num&gt;&lt;urls&gt;&lt;related-urls&gt;&lt;url&gt;https://www.ncbi.nlm.nih.gov/pubmed/26925134&lt;/url&gt;&lt;/related-urls&gt;&lt;/urls&gt;&lt;custom2&gt;PMC4754379&lt;/custom2&gt;&lt;electronic-resource-num&gt;10.5114/aoms.2016.57594&lt;/electronic-resource-num&gt;&lt;/record&gt;&lt;/Cite&gt;&lt;/EndNote&gt;</w:instrText>
      </w:r>
      <w:r w:rsidRPr="002C234E">
        <w:rPr>
          <w:sz w:val="24"/>
          <w:szCs w:val="24"/>
        </w:rPr>
        <w:fldChar w:fldCharType="separate"/>
      </w:r>
      <w:r w:rsidRPr="002C234E">
        <w:rPr>
          <w:noProof/>
          <w:sz w:val="24"/>
          <w:szCs w:val="24"/>
        </w:rPr>
        <w:t>[</w:t>
      </w:r>
      <w:hyperlink w:anchor="_ENREF_15" w:tooltip="Szylberg, 2016 #16" w:history="1">
        <w:r w:rsidR="00D66844" w:rsidRPr="002C234E">
          <w:rPr>
            <w:noProof/>
            <w:sz w:val="24"/>
            <w:szCs w:val="24"/>
          </w:rPr>
          <w:t>15</w:t>
        </w:r>
      </w:hyperlink>
      <w:r w:rsidRPr="002C234E">
        <w:rPr>
          <w:noProof/>
          <w:sz w:val="24"/>
          <w:szCs w:val="24"/>
        </w:rPr>
        <w:t>]</w:t>
      </w:r>
      <w:r w:rsidRPr="002C234E">
        <w:rPr>
          <w:sz w:val="24"/>
          <w:szCs w:val="24"/>
        </w:rPr>
        <w:fldChar w:fldCharType="end"/>
      </w:r>
      <w:r w:rsidR="001A70CF" w:rsidRPr="001A70CF">
        <w:rPr>
          <w:sz w:val="24"/>
          <w:szCs w:val="24"/>
        </w:rPr>
        <w:t xml:space="preserve"> while factors that can increase the risk of CRC such as high fat diet have shown to upregulate TNFα secretion promoting formation of colonic adenoma </w:t>
      </w:r>
      <w:r w:rsidR="001A70CF" w:rsidRPr="001A70CF">
        <w:rPr>
          <w:i/>
          <w:sz w:val="24"/>
          <w:szCs w:val="24"/>
        </w:rPr>
        <w:t>in vivo</w:t>
      </w:r>
      <w:r>
        <w:rPr>
          <w:i/>
          <w:sz w:val="24"/>
          <w:szCs w:val="24"/>
        </w:rPr>
        <w:t xml:space="preserve"> </w:t>
      </w:r>
      <w:r w:rsidRPr="002C234E">
        <w:rPr>
          <w:sz w:val="24"/>
          <w:szCs w:val="24"/>
        </w:rPr>
        <w:fldChar w:fldCharType="begin">
          <w:fldData xml:space="preserve">PEVuZE5vdGU+PENpdGU+PEF1dGhvcj5aaHU8L0F1dGhvcj48WWVhcj4yMDE0PC9ZZWFyPjxSZWNO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</w:fldData>
        </w:fldChar>
      </w:r>
      <w:r w:rsidRPr="002C234E">
        <w:rPr>
          <w:sz w:val="24"/>
          <w:szCs w:val="24"/>
        </w:rPr>
        <w:instrText xml:space="preserve"> ADDIN EN.CITE </w:instrText>
      </w:r>
      <w:r w:rsidRPr="002C234E">
        <w:rPr>
          <w:sz w:val="24"/>
          <w:szCs w:val="24"/>
        </w:rPr>
        <w:fldChar w:fldCharType="begin">
          <w:fldData xml:space="preserve">PEVuZE5vdGU+PENpdGU+PEF1dGhvcj5aaHU8L0F1dGhvcj48WWVhcj4yMDE0PC9ZZWFyPjxSZWNO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</w:fldData>
        </w:fldChar>
      </w:r>
      <w:r w:rsidRPr="002C234E">
        <w:rPr>
          <w:sz w:val="24"/>
          <w:szCs w:val="24"/>
        </w:rPr>
        <w:instrText xml:space="preserve"> ADDIN EN.CITE.DATA </w:instrText>
      </w:r>
      <w:r w:rsidRPr="002C234E">
        <w:rPr>
          <w:sz w:val="24"/>
          <w:szCs w:val="24"/>
        </w:rPr>
      </w:r>
      <w:r w:rsidRPr="002C234E">
        <w:rPr>
          <w:sz w:val="24"/>
          <w:szCs w:val="24"/>
        </w:rPr>
        <w:fldChar w:fldCharType="end"/>
      </w:r>
      <w:r w:rsidRPr="002C234E">
        <w:rPr>
          <w:sz w:val="24"/>
          <w:szCs w:val="24"/>
        </w:rPr>
      </w:r>
      <w:r w:rsidRPr="002C234E">
        <w:rPr>
          <w:sz w:val="24"/>
          <w:szCs w:val="24"/>
        </w:rPr>
        <w:fldChar w:fldCharType="separate"/>
      </w:r>
      <w:r w:rsidRPr="002C234E">
        <w:rPr>
          <w:noProof/>
          <w:sz w:val="24"/>
          <w:szCs w:val="24"/>
        </w:rPr>
        <w:t>[</w:t>
      </w:r>
      <w:hyperlink w:anchor="_ENREF_16" w:tooltip="Zhu, 2014 #17" w:history="1">
        <w:r w:rsidR="00D66844" w:rsidRPr="002C234E">
          <w:rPr>
            <w:noProof/>
            <w:sz w:val="24"/>
            <w:szCs w:val="24"/>
          </w:rPr>
          <w:t>16</w:t>
        </w:r>
      </w:hyperlink>
      <w:r w:rsidRPr="002C234E">
        <w:rPr>
          <w:noProof/>
          <w:sz w:val="24"/>
          <w:szCs w:val="24"/>
        </w:rPr>
        <w:t>]</w:t>
      </w:r>
      <w:r w:rsidRPr="002C234E">
        <w:rPr>
          <w:sz w:val="24"/>
          <w:szCs w:val="24"/>
        </w:rPr>
        <w:fldChar w:fldCharType="end"/>
      </w:r>
      <w:r w:rsidR="001A70CF" w:rsidRPr="001A70CF">
        <w:rPr>
          <w:sz w:val="24"/>
          <w:szCs w:val="24"/>
        </w:rPr>
        <w:t xml:space="preserve">. In addition, chronic ethanol feeding increased gene expression of pro-inflammatory cytokines IL-1α, IL-6 </w:t>
      </w:r>
      <w:r w:rsidR="001A70CF" w:rsidRPr="001A70CF">
        <w:rPr>
          <w:sz w:val="24"/>
          <w:szCs w:val="24"/>
        </w:rPr>
        <w:lastRenderedPageBreak/>
        <w:t>and TNF-α at a precancerous stage in chemically-induced colonic tumorigenesis in mice</w:t>
      </w:r>
      <w:r>
        <w:rPr>
          <w:sz w:val="24"/>
          <w:szCs w:val="24"/>
        </w:rPr>
        <w:t xml:space="preserve"> </w:t>
      </w:r>
      <w:r>
        <w:rPr>
          <w:sz w:val="24"/>
          <w:szCs w:val="24"/>
        </w:rPr>
        <w:fldChar w:fldCharType="begin">
          <w:fldData xml:space="preserve">PEVuZE5vdGU+PENpdGU+PEF1dGhvcj5TaHVrbGE8L0F1dGhvcj48WWVhcj4yMDE2PC9ZZWFyPjxS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</w:fldData>
        </w:fldChar>
      </w:r>
      <w:r>
        <w:rPr>
          <w:sz w:val="24"/>
          <w:szCs w:val="24"/>
        </w:rPr>
        <w:instrText xml:space="preserve"> ADDIN EN.CITE </w:instrText>
      </w:r>
      <w:r>
        <w:rPr>
          <w:sz w:val="24"/>
          <w:szCs w:val="24"/>
        </w:rPr>
        <w:fldChar w:fldCharType="begin">
          <w:fldData xml:space="preserve">PEVuZE5vdGU+PENpdGU+PEF1dGhvcj5TaHVrbGE8L0F1dGhvcj48WWVhcj4yMDE2PC9ZZWFyPjxS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</w:fldData>
        </w:fldChar>
      </w:r>
      <w:r>
        <w:rPr>
          <w:sz w:val="24"/>
          <w:szCs w:val="24"/>
        </w:rPr>
        <w:instrText xml:space="preserve"> ADDIN EN.CITE.DATA </w:instrText>
      </w:r>
      <w:r>
        <w:rPr>
          <w:sz w:val="24"/>
          <w:szCs w:val="24"/>
        </w:rPr>
      </w:r>
      <w:r>
        <w:rPr>
          <w:sz w:val="24"/>
          <w:szCs w:val="24"/>
        </w:rPr>
        <w:fldChar w:fldCharType="end"/>
      </w:r>
      <w:r>
        <w:rPr>
          <w:sz w:val="24"/>
          <w:szCs w:val="24"/>
        </w:rPr>
      </w:r>
      <w:r>
        <w:rPr>
          <w:sz w:val="24"/>
          <w:szCs w:val="24"/>
        </w:rPr>
        <w:fldChar w:fldCharType="separate"/>
      </w:r>
      <w:r>
        <w:rPr>
          <w:noProof/>
          <w:sz w:val="24"/>
          <w:szCs w:val="24"/>
        </w:rPr>
        <w:t>[</w:t>
      </w:r>
      <w:hyperlink w:anchor="_ENREF_17" w:tooltip="Shukla, 2016 #18" w:history="1">
        <w:r w:rsidR="00D66844">
          <w:rPr>
            <w:noProof/>
            <w:sz w:val="24"/>
            <w:szCs w:val="24"/>
          </w:rPr>
          <w:t>17</w:t>
        </w:r>
      </w:hyperlink>
      <w:r>
        <w:rPr>
          <w:noProof/>
          <w:sz w:val="24"/>
          <w:szCs w:val="24"/>
        </w:rPr>
        <w:t>]</w:t>
      </w:r>
      <w:r>
        <w:rPr>
          <w:sz w:val="24"/>
          <w:szCs w:val="24"/>
        </w:rPr>
        <w:fldChar w:fldCharType="end"/>
      </w:r>
      <w:r>
        <w:rPr>
          <w:sz w:val="24"/>
          <w:szCs w:val="24"/>
        </w:rPr>
        <w:t>. Our</w:t>
      </w:r>
      <w:r w:rsidR="001A70CF" w:rsidRPr="001A70CF">
        <w:rPr>
          <w:sz w:val="24"/>
          <w:szCs w:val="24"/>
        </w:rPr>
        <w:t xml:space="preserve"> study indicated that BG-4 pre-treatment for 8 hours reduced TNF-α and IL-6 secretion by THP-1 macrophages whe</w:t>
      </w:r>
      <w:r w:rsidR="00A25B6E">
        <w:rPr>
          <w:sz w:val="24"/>
          <w:szCs w:val="24"/>
        </w:rPr>
        <w:t xml:space="preserve">n challenged by LPS.   </w:t>
      </w:r>
    </w:p>
    <w:p w:rsidR="00890F11" w:rsidRDefault="00EC4B8D" w:rsidP="008F11A3">
      <w:pPr>
        <w:spacing w:line="480" w:lineRule="auto"/>
        <w:contextualSpacing/>
        <w:rPr>
          <w:i/>
          <w:sz w:val="24"/>
          <w:szCs w:val="24"/>
        </w:rPr>
      </w:pPr>
      <w:r w:rsidRPr="001469A1">
        <w:rPr>
          <w:i/>
          <w:sz w:val="24"/>
          <w:szCs w:val="24"/>
        </w:rPr>
        <w:t>3.2</w:t>
      </w:r>
      <w:r w:rsidR="00A25B6E" w:rsidRPr="001469A1">
        <w:rPr>
          <w:i/>
          <w:sz w:val="24"/>
          <w:szCs w:val="24"/>
        </w:rPr>
        <w:t xml:space="preserve"> Western Blot</w:t>
      </w:r>
      <w:r w:rsidR="0014201B">
        <w:rPr>
          <w:i/>
          <w:sz w:val="24"/>
          <w:szCs w:val="24"/>
        </w:rPr>
        <w:t xml:space="preserve"> analysis of p-ERK ½ and p-STAT3</w:t>
      </w:r>
    </w:p>
    <w:p w:rsidR="0075144C" w:rsidRPr="001469A1" w:rsidRDefault="001469A1" w:rsidP="008F11A3">
      <w:pPr>
        <w:spacing w:line="480" w:lineRule="auto"/>
        <w:contextualSpacing/>
        <w:rPr>
          <w:sz w:val="24"/>
          <w:szCs w:val="24"/>
        </w:rPr>
      </w:pPr>
      <w:r>
        <w:rPr>
          <w:sz w:val="24"/>
          <w:szCs w:val="24"/>
        </w:rPr>
        <w:t>We then</w:t>
      </w:r>
      <w:r w:rsidRPr="001469A1">
        <w:rPr>
          <w:sz w:val="24"/>
          <w:szCs w:val="24"/>
        </w:rPr>
        <w:t xml:space="preserve"> analyzed proteins associated with overproductio</w:t>
      </w:r>
      <w:r>
        <w:rPr>
          <w:sz w:val="24"/>
          <w:szCs w:val="24"/>
        </w:rPr>
        <w:t xml:space="preserve">n of pro-inflammatory cytokines.  More </w:t>
      </w:r>
      <w:r w:rsidRPr="001469A1">
        <w:rPr>
          <w:sz w:val="24"/>
          <w:szCs w:val="24"/>
        </w:rPr>
        <w:t>specifically</w:t>
      </w:r>
      <w:r>
        <w:rPr>
          <w:sz w:val="24"/>
          <w:szCs w:val="24"/>
        </w:rPr>
        <w:t>,</w:t>
      </w:r>
      <w:r w:rsidRPr="001469A1">
        <w:rPr>
          <w:sz w:val="24"/>
          <w:szCs w:val="24"/>
        </w:rPr>
        <w:t xml:space="preserve"> we measured the ph</w:t>
      </w:r>
      <w:r w:rsidR="0014201B">
        <w:rPr>
          <w:sz w:val="24"/>
          <w:szCs w:val="24"/>
        </w:rPr>
        <w:t>osphorylation of extracellular regulated k</w:t>
      </w:r>
      <w:r w:rsidRPr="001469A1">
        <w:rPr>
          <w:sz w:val="24"/>
          <w:szCs w:val="24"/>
        </w:rPr>
        <w:t>inase</w:t>
      </w:r>
      <w:r w:rsidR="0014201B">
        <w:rPr>
          <w:sz w:val="24"/>
          <w:szCs w:val="24"/>
        </w:rPr>
        <w:t xml:space="preserve"> ½</w:t>
      </w:r>
      <w:r w:rsidR="00B36818">
        <w:rPr>
          <w:sz w:val="24"/>
          <w:szCs w:val="24"/>
        </w:rPr>
        <w:t xml:space="preserve"> (p-ERK</w:t>
      </w:r>
      <w:r w:rsidR="0014201B">
        <w:rPr>
          <w:sz w:val="24"/>
          <w:szCs w:val="24"/>
        </w:rPr>
        <w:t xml:space="preserve"> ½)</w:t>
      </w:r>
      <w:r w:rsidRPr="001469A1">
        <w:rPr>
          <w:sz w:val="24"/>
          <w:szCs w:val="24"/>
        </w:rPr>
        <w:t xml:space="preserve"> and </w:t>
      </w:r>
      <w:r w:rsidR="0014201B">
        <w:rPr>
          <w:bCs/>
          <w:sz w:val="24"/>
          <w:szCs w:val="24"/>
        </w:rPr>
        <w:t>s</w:t>
      </w:r>
      <w:r w:rsidRPr="001469A1">
        <w:rPr>
          <w:bCs/>
          <w:sz w:val="24"/>
          <w:szCs w:val="24"/>
        </w:rPr>
        <w:t>ignal transducer and activator of transcription 3</w:t>
      </w:r>
      <w:r w:rsidR="00B36818">
        <w:rPr>
          <w:bCs/>
          <w:sz w:val="24"/>
          <w:szCs w:val="24"/>
        </w:rPr>
        <w:t xml:space="preserve"> (pSTAT-3)</w:t>
      </w:r>
      <w:r w:rsidR="0014201B">
        <w:rPr>
          <w:bCs/>
          <w:sz w:val="24"/>
          <w:szCs w:val="24"/>
        </w:rPr>
        <w:t xml:space="preserve"> </w:t>
      </w:r>
      <w:r>
        <w:rPr>
          <w:bCs/>
          <w:sz w:val="24"/>
          <w:szCs w:val="24"/>
        </w:rPr>
        <w:t>(</w:t>
      </w:r>
      <w:r w:rsidRPr="001469A1">
        <w:rPr>
          <w:b/>
          <w:bCs/>
          <w:sz w:val="24"/>
          <w:szCs w:val="24"/>
        </w:rPr>
        <w:t>Figure 3a</w:t>
      </w:r>
      <w:r>
        <w:rPr>
          <w:bCs/>
          <w:sz w:val="24"/>
          <w:szCs w:val="24"/>
        </w:rPr>
        <w:t xml:space="preserve">).  The negative control shows a very low expression as seen in the Western Blot in </w:t>
      </w:r>
      <w:r w:rsidRPr="001469A1">
        <w:rPr>
          <w:b/>
          <w:bCs/>
          <w:sz w:val="24"/>
          <w:szCs w:val="24"/>
        </w:rPr>
        <w:t>Figure 3b</w:t>
      </w:r>
      <w:r>
        <w:rPr>
          <w:bCs/>
          <w:sz w:val="24"/>
          <w:szCs w:val="24"/>
        </w:rPr>
        <w:t>.</w:t>
      </w:r>
      <w:r>
        <w:rPr>
          <w:sz w:val="24"/>
          <w:szCs w:val="24"/>
        </w:rPr>
        <w:t xml:space="preserve">  </w:t>
      </w:r>
      <w:r w:rsidRPr="001469A1">
        <w:rPr>
          <w:sz w:val="24"/>
          <w:szCs w:val="24"/>
        </w:rPr>
        <w:t xml:space="preserve">Overall BG-4 </w:t>
      </w:r>
      <w:r w:rsidR="0014201B">
        <w:rPr>
          <w:sz w:val="24"/>
          <w:szCs w:val="24"/>
        </w:rPr>
        <w:t>expression of p-ERK 1/2 and</w:t>
      </w:r>
      <w:r w:rsidRPr="001469A1">
        <w:rPr>
          <w:sz w:val="24"/>
          <w:szCs w:val="24"/>
        </w:rPr>
        <w:t xml:space="preserve"> p-STAT3</w:t>
      </w:r>
      <w:r w:rsidR="0014201B">
        <w:rPr>
          <w:sz w:val="24"/>
          <w:szCs w:val="24"/>
        </w:rPr>
        <w:t xml:space="preserve"> but only p-ERK ½ reached statistical significance.</w:t>
      </w:r>
    </w:p>
    <w:p w:rsidR="00890F11" w:rsidRDefault="00EC4B8D" w:rsidP="008F11A3">
      <w:pPr>
        <w:spacing w:line="480" w:lineRule="auto"/>
        <w:contextualSpacing/>
        <w:rPr>
          <w:i/>
          <w:sz w:val="24"/>
          <w:szCs w:val="24"/>
        </w:rPr>
      </w:pPr>
      <w:r>
        <w:rPr>
          <w:i/>
          <w:sz w:val="24"/>
          <w:szCs w:val="24"/>
        </w:rPr>
        <w:t>3.3</w:t>
      </w:r>
      <w:r w:rsidR="00A25B6E" w:rsidRPr="00A25B6E">
        <w:rPr>
          <w:i/>
          <w:sz w:val="24"/>
          <w:szCs w:val="24"/>
        </w:rPr>
        <w:t xml:space="preserve"> Intracellular Reactive Oxygen Species</w:t>
      </w:r>
    </w:p>
    <w:p w:rsidR="00A25B6E" w:rsidRPr="00A25B6E" w:rsidRDefault="00A25B6E" w:rsidP="00A25B6E">
      <w:pPr>
        <w:spacing w:line="480" w:lineRule="auto"/>
        <w:contextualSpacing/>
        <w:rPr>
          <w:rFonts w:cstheme="minorHAnsi"/>
          <w:sz w:val="24"/>
          <w:szCs w:val="24"/>
        </w:rPr>
      </w:pPr>
      <w:r>
        <w:rPr>
          <w:i/>
          <w:sz w:val="24"/>
          <w:szCs w:val="24"/>
        </w:rPr>
        <w:tab/>
      </w:r>
      <w:r w:rsidRPr="00A25B6E">
        <w:rPr>
          <w:rFonts w:cstheme="minorHAnsi"/>
          <w:sz w:val="24"/>
          <w:szCs w:val="24"/>
        </w:rPr>
        <w:t>We then tested the capability of BG-4 to reduce production of intracellular reactive oxygen species in LPS-induced THP-1 macrophages. Intracellular reactive oxygen species was measured by staining THP-1 macrophages with 2′,7′-dichlorodihydrofluorescein diacetate (H</w:t>
      </w:r>
      <w:r w:rsidRPr="00A25B6E">
        <w:rPr>
          <w:rFonts w:cstheme="minorHAnsi"/>
          <w:sz w:val="24"/>
          <w:szCs w:val="24"/>
          <w:vertAlign w:val="subscript"/>
        </w:rPr>
        <w:t>2</w:t>
      </w:r>
      <w:r w:rsidRPr="00A25B6E">
        <w:rPr>
          <w:rFonts w:cstheme="minorHAnsi"/>
          <w:sz w:val="24"/>
          <w:szCs w:val="24"/>
        </w:rPr>
        <w:t xml:space="preserve">DCFDA) which becomes the highly green fluorescent 2′,7′-dichlorofluorescein upon oxidation. As shown in </w:t>
      </w:r>
      <w:r w:rsidR="0075144C">
        <w:rPr>
          <w:rFonts w:cstheme="minorHAnsi"/>
          <w:b/>
          <w:sz w:val="24"/>
          <w:szCs w:val="24"/>
        </w:rPr>
        <w:t>Figure 4</w:t>
      </w:r>
      <w:r w:rsidRPr="00A25B6E">
        <w:rPr>
          <w:rFonts w:cstheme="minorHAnsi"/>
          <w:b/>
          <w:sz w:val="24"/>
          <w:szCs w:val="24"/>
        </w:rPr>
        <w:t xml:space="preserve">, </w:t>
      </w:r>
      <w:r w:rsidRPr="00A25B6E">
        <w:rPr>
          <w:rFonts w:cstheme="minorHAnsi"/>
          <w:sz w:val="24"/>
          <w:szCs w:val="24"/>
        </w:rPr>
        <w:t>LPS treatment led to increase</w:t>
      </w:r>
      <w:r>
        <w:rPr>
          <w:rFonts w:cstheme="minorHAnsi"/>
          <w:sz w:val="24"/>
          <w:szCs w:val="24"/>
        </w:rPr>
        <w:t>d</w:t>
      </w:r>
      <w:r w:rsidRPr="00A25B6E">
        <w:rPr>
          <w:rFonts w:cstheme="minorHAnsi"/>
          <w:sz w:val="24"/>
          <w:szCs w:val="24"/>
        </w:rPr>
        <w:t xml:space="preserve"> green fluorescence by THP-1 cells </w:t>
      </w:r>
      <w:r w:rsidR="0075144C">
        <w:rPr>
          <w:rFonts w:cstheme="minorHAnsi"/>
          <w:b/>
          <w:sz w:val="24"/>
          <w:szCs w:val="24"/>
        </w:rPr>
        <w:t>(Figure 4</w:t>
      </w:r>
      <w:r w:rsidRPr="00A25B6E">
        <w:rPr>
          <w:rFonts w:cstheme="minorHAnsi"/>
          <w:b/>
          <w:sz w:val="24"/>
          <w:szCs w:val="24"/>
        </w:rPr>
        <w:t>A, top panel at 4x magnification, scale bar 1000 µm and bottom panel at 20 x magnification, scale bar at 200 µm)</w:t>
      </w:r>
      <w:r w:rsidRPr="00A25B6E">
        <w:rPr>
          <w:rFonts w:cstheme="minorHAnsi"/>
          <w:sz w:val="24"/>
          <w:szCs w:val="24"/>
        </w:rPr>
        <w:t xml:space="preserve"> which was validated by</w:t>
      </w:r>
      <w:r w:rsidR="00B36818">
        <w:rPr>
          <w:rFonts w:cstheme="minorHAnsi"/>
          <w:sz w:val="24"/>
          <w:szCs w:val="24"/>
        </w:rPr>
        <w:t xml:space="preserve"> a</w:t>
      </w:r>
      <w:r w:rsidRPr="00A25B6E">
        <w:rPr>
          <w:rFonts w:cstheme="minorHAnsi"/>
          <w:sz w:val="24"/>
          <w:szCs w:val="24"/>
        </w:rPr>
        <w:t xml:space="preserve"> fluorescence spectrophotometry experiment </w:t>
      </w:r>
      <w:r w:rsidR="0075144C">
        <w:rPr>
          <w:rFonts w:cstheme="minorHAnsi"/>
          <w:b/>
          <w:sz w:val="24"/>
          <w:szCs w:val="24"/>
        </w:rPr>
        <w:t>(Figure 4</w:t>
      </w:r>
      <w:r w:rsidRPr="00A25B6E">
        <w:rPr>
          <w:rFonts w:cstheme="minorHAnsi"/>
          <w:b/>
          <w:sz w:val="24"/>
          <w:szCs w:val="24"/>
        </w:rPr>
        <w:t xml:space="preserve">B). </w:t>
      </w:r>
      <w:r w:rsidRPr="00A25B6E">
        <w:rPr>
          <w:rFonts w:cstheme="minorHAnsi"/>
          <w:sz w:val="24"/>
          <w:szCs w:val="24"/>
        </w:rPr>
        <w:t>Pre-treatment of BG-4 for 8 hours prior to LPS induction led to a dose-dependent green fluorescence indicating the capability of BG-4 to reduce production of intracellular reactive oxygen species induced by LPS in THP-1 macrophages.</w:t>
      </w:r>
    </w:p>
    <w:p w:rsidR="00D039A0" w:rsidRDefault="00D039A0" w:rsidP="008F11A3">
      <w:pPr>
        <w:spacing w:line="480" w:lineRule="auto"/>
        <w:contextualSpacing/>
        <w:rPr>
          <w:i/>
          <w:sz w:val="24"/>
          <w:szCs w:val="24"/>
        </w:rPr>
      </w:pPr>
    </w:p>
    <w:p w:rsidR="00D039A0" w:rsidRDefault="00D039A0" w:rsidP="008F11A3">
      <w:pPr>
        <w:spacing w:line="480" w:lineRule="auto"/>
        <w:contextualSpacing/>
        <w:rPr>
          <w:i/>
          <w:sz w:val="24"/>
          <w:szCs w:val="24"/>
        </w:rPr>
      </w:pPr>
    </w:p>
    <w:p w:rsidR="00A25B6E" w:rsidRDefault="00EC4B8D" w:rsidP="008F11A3">
      <w:pPr>
        <w:spacing w:line="480" w:lineRule="auto"/>
        <w:contextualSpacing/>
        <w:rPr>
          <w:i/>
          <w:sz w:val="24"/>
          <w:szCs w:val="24"/>
        </w:rPr>
      </w:pPr>
      <w:r>
        <w:rPr>
          <w:i/>
          <w:sz w:val="24"/>
          <w:szCs w:val="24"/>
        </w:rPr>
        <w:lastRenderedPageBreak/>
        <w:t>3.4</w:t>
      </w:r>
      <w:r w:rsidR="00A25B6E" w:rsidRPr="00A25B6E">
        <w:rPr>
          <w:i/>
          <w:sz w:val="24"/>
          <w:szCs w:val="24"/>
        </w:rPr>
        <w:t xml:space="preserve"> </w:t>
      </w:r>
      <w:r w:rsidR="0014201B">
        <w:rPr>
          <w:i/>
          <w:sz w:val="24"/>
          <w:szCs w:val="24"/>
        </w:rPr>
        <w:t>Analysis of p65 subunit of NF-κB transcription factor</w:t>
      </w:r>
    </w:p>
    <w:p w:rsidR="002A335E" w:rsidRDefault="00A25B6E" w:rsidP="00A25B6E">
      <w:pPr>
        <w:spacing w:line="480" w:lineRule="auto"/>
        <w:contextualSpacing/>
        <w:rPr>
          <w:sz w:val="24"/>
          <w:szCs w:val="24"/>
        </w:rPr>
      </w:pPr>
      <w:r>
        <w:rPr>
          <w:sz w:val="24"/>
          <w:szCs w:val="24"/>
        </w:rPr>
        <w:tab/>
      </w:r>
      <w:r w:rsidRPr="00A25B6E">
        <w:rPr>
          <w:sz w:val="24"/>
          <w:szCs w:val="24"/>
        </w:rPr>
        <w:t>To further explain the anti-inflammatory effect of BG-4 using PMA-differentiated THP-1 macrophages, the expression of nuclear-factor of kappa B (NF-κB) p65 unit was measured using immunofluorescence microscopy</w:t>
      </w:r>
      <w:r w:rsidR="0014201B">
        <w:rPr>
          <w:sz w:val="24"/>
          <w:szCs w:val="24"/>
        </w:rPr>
        <w:t xml:space="preserve"> and western blotting of THP-1 nuclear lysates</w:t>
      </w:r>
      <w:r w:rsidRPr="00A25B6E">
        <w:rPr>
          <w:sz w:val="24"/>
          <w:szCs w:val="24"/>
        </w:rPr>
        <w:t xml:space="preserve">. As shown in </w:t>
      </w:r>
      <w:r w:rsidR="0075144C">
        <w:rPr>
          <w:b/>
          <w:sz w:val="24"/>
          <w:szCs w:val="24"/>
        </w:rPr>
        <w:t>Figure 5</w:t>
      </w:r>
      <w:r w:rsidRPr="00A25B6E">
        <w:rPr>
          <w:b/>
          <w:sz w:val="24"/>
          <w:szCs w:val="24"/>
        </w:rPr>
        <w:t xml:space="preserve">A, </w:t>
      </w:r>
      <w:r w:rsidRPr="00A25B6E">
        <w:rPr>
          <w:sz w:val="24"/>
          <w:szCs w:val="24"/>
        </w:rPr>
        <w:t>untreated THP-1 macrophages showed cytoplasmic localization of p65 unit (green). Upon treatment of 1 µg/mL LPS, strong nuclear staining of p65 unit can be seen indicating translocation of p65 from the cytoplasm into the nucleus (blue) of THP-1 macrophages. On the other hand, pre-treatment of THP-1 macrophages with 50 ppm BG-4 for 8 h prior to LPS-stimulation led to reduced p65 nuclear staining suggesting inhibition of p65 translocation from the cytoplasm into t</w:t>
      </w:r>
      <w:r>
        <w:rPr>
          <w:sz w:val="24"/>
          <w:szCs w:val="24"/>
        </w:rPr>
        <w:t>he nucleus of the cells. This was</w:t>
      </w:r>
      <w:r w:rsidRPr="00A25B6E">
        <w:rPr>
          <w:sz w:val="24"/>
          <w:szCs w:val="24"/>
        </w:rPr>
        <w:t xml:space="preserve"> further verified by western blotting of </w:t>
      </w:r>
      <w:r w:rsidR="00B36818">
        <w:rPr>
          <w:sz w:val="24"/>
          <w:szCs w:val="24"/>
        </w:rPr>
        <w:t xml:space="preserve">the </w:t>
      </w:r>
      <w:r w:rsidRPr="00A25B6E">
        <w:rPr>
          <w:sz w:val="24"/>
          <w:szCs w:val="24"/>
        </w:rPr>
        <w:t>nuclear fraction of THP-1 macrop</w:t>
      </w:r>
      <w:r>
        <w:rPr>
          <w:sz w:val="24"/>
          <w:szCs w:val="24"/>
        </w:rPr>
        <w:t xml:space="preserve">hages </w:t>
      </w:r>
      <w:r w:rsidRPr="00A25B6E">
        <w:rPr>
          <w:sz w:val="24"/>
          <w:szCs w:val="24"/>
        </w:rPr>
        <w:t>indicating reduced expression of NF-κB p65 subunit in BG-4 pre-treated THP-1 macrophages prior to LPS stimulation as compared</w:t>
      </w:r>
      <w:r w:rsidR="00B36818">
        <w:rPr>
          <w:sz w:val="24"/>
          <w:szCs w:val="24"/>
        </w:rPr>
        <w:t xml:space="preserve"> to</w:t>
      </w:r>
      <w:r w:rsidRPr="00A25B6E">
        <w:rPr>
          <w:sz w:val="24"/>
          <w:szCs w:val="24"/>
        </w:rPr>
        <w:t xml:space="preserve"> THP-1 macrophages that were stimulated with LPS alone (</w:t>
      </w:r>
      <w:r w:rsidR="0075144C">
        <w:rPr>
          <w:b/>
          <w:sz w:val="24"/>
          <w:szCs w:val="24"/>
        </w:rPr>
        <w:t>Figure 5</w:t>
      </w:r>
      <w:r w:rsidRPr="00A25B6E">
        <w:rPr>
          <w:b/>
          <w:sz w:val="24"/>
          <w:szCs w:val="24"/>
        </w:rPr>
        <w:t>B).</w:t>
      </w:r>
      <w:r w:rsidR="009E5CA4">
        <w:rPr>
          <w:b/>
          <w:sz w:val="24"/>
          <w:szCs w:val="24"/>
        </w:rPr>
        <w:t xml:space="preserve">  </w:t>
      </w:r>
      <w:r w:rsidRPr="00A25B6E">
        <w:rPr>
          <w:sz w:val="24"/>
          <w:szCs w:val="24"/>
        </w:rPr>
        <w:t>NF-κB is an essential transcription factor regulating various signaling pathways one of which is the expression of different genes and proteins involved in inflammation. The canonical NF-κB signaling involves the heterodimeric protein p50-p65 which is activated upon treatment of LPS. The p50 subunit helped in DNA binding while the p65 subunit is important in activating the transcriptional activity of NF-κB</w:t>
      </w:r>
      <w:r w:rsidR="009E5CA4">
        <w:rPr>
          <w:sz w:val="24"/>
          <w:szCs w:val="24"/>
        </w:rPr>
        <w:t xml:space="preserve"> </w:t>
      </w:r>
      <w:r w:rsidR="009E5CA4">
        <w:rPr>
          <w:sz w:val="24"/>
          <w:szCs w:val="24"/>
        </w:rPr>
        <w:fldChar w:fldCharType="begin"/>
      </w:r>
      <w:r w:rsidR="009E5CA4">
        <w:rPr>
          <w:sz w:val="24"/>
          <w:szCs w:val="24"/>
        </w:rPr>
        <w:instrText xml:space="preserve"> ADDIN EN.CITE &lt;EndNote&gt;&lt;Cite&gt;&lt;Author&gt;Oeckinghaus&lt;/Author&gt;&lt;Year&gt;2009&lt;/Year&gt;&lt;RecNum&gt;19&lt;/RecNum&gt;&lt;DisplayText&gt;[18]&lt;/DisplayText&gt;&lt;record&gt;&lt;rec-number&gt;19&lt;/rec-number&gt;&lt;foreign-keys&gt;&lt;key app="EN" db-id="pxv5tsd245tzxmepesxpa5p8ezxftsfv2sz0" timestamp="1488988285"&gt;19&lt;/key&gt;&lt;/foreign-keys&gt;&lt;ref-type name="Journal Article"&gt;17&lt;/ref-type&gt;&lt;contributors&gt;&lt;authors&gt;&lt;author&gt;Oeckinghaus, A.&lt;/author&gt;&lt;author&gt;Ghosh, S.&lt;/author&gt;&lt;/authors&gt;&lt;/contributors&gt;&lt;auth-address&gt;Department of Immunobiology, Yale University School of Medicine, New Haven, Connecticut 06520, USA.&lt;/auth-address&gt;&lt;titles&gt;&lt;title&gt;The NF-kappaB family of transcription factors and its regulation&lt;/title&gt;&lt;secondary-title&gt;Cold Spring Harb Perspect Biol&lt;/secondary-title&gt;&lt;/titles&gt;&lt;periodical&gt;&lt;full-title&gt;Cold Spring Harb Perspect Biol&lt;/full-title&gt;&lt;/periodical&gt;&lt;pages&gt;a000034&lt;/pages&gt;&lt;volume&gt;1&lt;/volume&gt;&lt;number&gt;4&lt;/number&gt;&lt;keywords&gt;&lt;keyword&gt;Animals&lt;/keyword&gt;&lt;keyword&gt;Cell Proliferation&lt;/keyword&gt;&lt;keyword&gt;Cytosol/metabolism&lt;/keyword&gt;&lt;keyword&gt;Dimerization&lt;/keyword&gt;&lt;keyword&gt;*Gene Expression Regulation&lt;/keyword&gt;&lt;keyword&gt;Humans&lt;/keyword&gt;&lt;keyword&gt;Immune System&lt;/keyword&gt;&lt;keyword&gt;Models, Biological&lt;/keyword&gt;&lt;keyword&gt;NF-kappa B/*metabolism&lt;/keyword&gt;&lt;keyword&gt;Protein Processing, Post-Translational&lt;/keyword&gt;&lt;keyword&gt;Signal Transduction&lt;/keyword&gt;&lt;keyword&gt;Transcription Factors/*metabolism&lt;/keyword&gt;&lt;/keywords&gt;&lt;dates&gt;&lt;year&gt;2009&lt;/year&gt;&lt;pub-dates&gt;&lt;date&gt;Oct&lt;/date&gt;&lt;/pub-dates&gt;&lt;/dates&gt;&lt;isbn&gt;1943-0264 (Electronic)&amp;#xD;1943-0264 (Linking)&lt;/isbn&gt;&lt;accession-num&gt;20066092&lt;/accession-num&gt;&lt;urls&gt;&lt;related-urls&gt;&lt;url&gt;https://www.ncbi.nlm.nih.gov/pubmed/20066092&lt;/url&gt;&lt;/related-urls&gt;&lt;/urls&gt;&lt;custom2&gt;PMC2773619&lt;/custom2&gt;&lt;electronic-resource-num&gt;10.1101/cshperspect.a000034&lt;/electronic-resource-num&gt;&lt;/record&gt;&lt;/Cite&gt;&lt;/EndNote&gt;</w:instrText>
      </w:r>
      <w:r w:rsidR="009E5CA4">
        <w:rPr>
          <w:sz w:val="24"/>
          <w:szCs w:val="24"/>
        </w:rPr>
        <w:fldChar w:fldCharType="separate"/>
      </w:r>
      <w:r w:rsidR="009E5CA4">
        <w:rPr>
          <w:noProof/>
          <w:sz w:val="24"/>
          <w:szCs w:val="24"/>
        </w:rPr>
        <w:t>[</w:t>
      </w:r>
      <w:hyperlink w:anchor="_ENREF_18" w:tooltip="Oeckinghaus, 2009 #19" w:history="1">
        <w:r w:rsidR="00D66844">
          <w:rPr>
            <w:noProof/>
            <w:sz w:val="24"/>
            <w:szCs w:val="24"/>
          </w:rPr>
          <w:t>18</w:t>
        </w:r>
      </w:hyperlink>
      <w:r w:rsidR="009E5CA4">
        <w:rPr>
          <w:noProof/>
          <w:sz w:val="24"/>
          <w:szCs w:val="24"/>
        </w:rPr>
        <w:t>]</w:t>
      </w:r>
      <w:r w:rsidR="009E5CA4">
        <w:rPr>
          <w:sz w:val="24"/>
          <w:szCs w:val="24"/>
        </w:rPr>
        <w:fldChar w:fldCharType="end"/>
      </w:r>
      <w:r w:rsidRPr="00A25B6E">
        <w:rPr>
          <w:sz w:val="24"/>
          <w:szCs w:val="24"/>
        </w:rPr>
        <w:t>.Previous reports have shown the associ</w:t>
      </w:r>
      <w:r w:rsidR="009E5CA4">
        <w:rPr>
          <w:sz w:val="24"/>
          <w:szCs w:val="24"/>
        </w:rPr>
        <w:t>ation of NF-κB signaling in playing an essential role in infl</w:t>
      </w:r>
      <w:r w:rsidR="00D66844">
        <w:rPr>
          <w:sz w:val="24"/>
          <w:szCs w:val="24"/>
        </w:rPr>
        <w:t xml:space="preserve">ammation and innate immunity.  </w:t>
      </w:r>
      <w:r w:rsidR="009E5CA4">
        <w:rPr>
          <w:sz w:val="24"/>
          <w:szCs w:val="24"/>
        </w:rPr>
        <w:t xml:space="preserve">For instance, </w:t>
      </w:r>
      <w:r w:rsidR="009E5CA4" w:rsidRPr="009E5CA4">
        <w:rPr>
          <w:sz w:val="24"/>
          <w:szCs w:val="24"/>
        </w:rPr>
        <w:t>NF-κB is increasingly recognized as a crucial player in many steps of cancer initiation and progression. During these latter processes</w:t>
      </w:r>
      <w:r w:rsidR="00B36818">
        <w:rPr>
          <w:sz w:val="24"/>
          <w:szCs w:val="24"/>
        </w:rPr>
        <w:t>,</w:t>
      </w:r>
      <w:r w:rsidR="009E5CA4" w:rsidRPr="009E5CA4">
        <w:rPr>
          <w:sz w:val="24"/>
          <w:szCs w:val="24"/>
        </w:rPr>
        <w:t xml:space="preserve"> NF-κB </w:t>
      </w:r>
      <w:r w:rsidR="00D66844">
        <w:rPr>
          <w:sz w:val="24"/>
          <w:szCs w:val="24"/>
        </w:rPr>
        <w:t>works</w:t>
      </w:r>
      <w:r w:rsidR="009E5CA4" w:rsidRPr="009E5CA4">
        <w:rPr>
          <w:sz w:val="24"/>
          <w:szCs w:val="24"/>
        </w:rPr>
        <w:t xml:space="preserve"> with multiple other s</w:t>
      </w:r>
      <w:r w:rsidR="00D66844">
        <w:rPr>
          <w:sz w:val="24"/>
          <w:szCs w:val="24"/>
        </w:rPr>
        <w:t>ignaling molecules and pathways to mediate crosstalk by other transcription factors such as STAT3 and p53.</w:t>
      </w:r>
      <w:r w:rsidR="009E5CA4" w:rsidRPr="009E5CA4">
        <w:rPr>
          <w:sz w:val="24"/>
          <w:szCs w:val="24"/>
        </w:rPr>
        <w:t xml:space="preserve"> These transcription factors </w:t>
      </w:r>
      <w:r w:rsidR="009E5CA4" w:rsidRPr="009E5CA4">
        <w:rPr>
          <w:sz w:val="24"/>
          <w:szCs w:val="24"/>
        </w:rPr>
        <w:lastRenderedPageBreak/>
        <w:t>either directly interact with NF-κB subuni</w:t>
      </w:r>
      <w:r w:rsidR="00D66844">
        <w:rPr>
          <w:sz w:val="24"/>
          <w:szCs w:val="24"/>
        </w:rPr>
        <w:t xml:space="preserve">ts or affect NF-κB target genes </w:t>
      </w:r>
      <w:r w:rsidR="00D66844">
        <w:rPr>
          <w:sz w:val="24"/>
          <w:szCs w:val="24"/>
        </w:rPr>
        <w:fldChar w:fldCharType="begin"/>
      </w:r>
      <w:r w:rsidR="00D66844">
        <w:rPr>
          <w:sz w:val="24"/>
          <w:szCs w:val="24"/>
        </w:rPr>
        <w:instrText xml:space="preserve"> ADDIN EN.CITE &lt;EndNote&gt;&lt;Cite&gt;&lt;Author&gt;Hoesel&lt;/Author&gt;&lt;Year&gt;2013&lt;/Year&gt;&lt;RecNum&gt;20&lt;/RecNum&gt;&lt;DisplayText&gt;[19]&lt;/DisplayText&gt;&lt;record&gt;&lt;rec-number&gt;20&lt;/rec-number&gt;&lt;foreign-keys&gt;&lt;key app="EN" db-id="pxv5tsd245tzxmepesxpa5p8ezxftsfv2sz0" timestamp="1488988525"&gt;20&lt;/key&gt;&lt;/foreign-keys&gt;&lt;ref-type name="Journal Article"&gt;17&lt;/ref-type&gt;&lt;contributors&gt;&lt;authors&gt;&lt;author&gt;Hoesel, B.&lt;/author&gt;&lt;author&gt;Schmid, J. A.&lt;/author&gt;&lt;/authors&gt;&lt;/contributors&gt;&lt;auth-address&gt;Department of Vascular Biology and Thrombosis Research, Center for Physiology and Pharmacology, Medical University Vienna, Schwarzspanierstrasse 17, 1090 Vienna, Austria.&lt;/auth-address&gt;&lt;titles&gt;&lt;title&gt;The complexity of NF-kappaB signaling in inflammation and cancer&lt;/title&gt;&lt;secondary-title&gt;Mol Cancer&lt;/secondary-title&gt;&lt;/titles&gt;&lt;periodical&gt;&lt;full-title&gt;Mol Cancer&lt;/full-title&gt;&lt;/periodical&gt;&lt;pages&gt;86&lt;/pages&gt;&lt;volume&gt;12&lt;/volume&gt;&lt;keywords&gt;&lt;keyword&gt;Animals&lt;/keyword&gt;&lt;keyword&gt;Gene Expression Regulation&lt;/keyword&gt;&lt;keyword&gt;Humans&lt;/keyword&gt;&lt;keyword&gt;Inflammation/drug therapy/genetics/*metabolism&lt;/keyword&gt;&lt;keyword&gt;MicroRNAs/genetics/metabolism&lt;/keyword&gt;&lt;keyword&gt;NF-kappa B/antagonists &amp;amp; inhibitors/*metabolism&lt;/keyword&gt;&lt;keyword&gt;Neoplasms/drug therapy/genetics/*metabolism&lt;/keyword&gt;&lt;keyword&gt;Protein Binding&lt;/keyword&gt;&lt;keyword&gt;*Signal Transduction&lt;/keyword&gt;&lt;keyword&gt;Transcription Factors/metabolism&lt;/keyword&gt;&lt;/keywords&gt;&lt;dates&gt;&lt;year&gt;2013&lt;/year&gt;&lt;pub-dates&gt;&lt;date&gt;Aug 02&lt;/date&gt;&lt;/pub-dates&gt;&lt;/dates&gt;&lt;isbn&gt;1476-4598 (Electronic)&amp;#xD;1476-4598 (Linking)&lt;/isbn&gt;&lt;accession-num&gt;23915189&lt;/accession-num&gt;&lt;urls&gt;&lt;related-urls&gt;&lt;url&gt;https://www.ncbi.nlm.nih.gov/pubmed/23915189&lt;/url&gt;&lt;/related-urls&gt;&lt;/urls&gt;&lt;custom2&gt;PMC3750319&lt;/custom2&gt;&lt;electronic-resource-num&gt;10.1186/1476-4598-12-86&lt;/electronic-resource-num&gt;&lt;/record&gt;&lt;/Cite&gt;&lt;/EndNote&gt;</w:instrText>
      </w:r>
      <w:r w:rsidR="00D66844">
        <w:rPr>
          <w:sz w:val="24"/>
          <w:szCs w:val="24"/>
        </w:rPr>
        <w:fldChar w:fldCharType="separate"/>
      </w:r>
      <w:r w:rsidR="00D66844">
        <w:rPr>
          <w:noProof/>
          <w:sz w:val="24"/>
          <w:szCs w:val="24"/>
        </w:rPr>
        <w:t>[</w:t>
      </w:r>
      <w:hyperlink w:anchor="_ENREF_19" w:tooltip="Hoesel, 2013 #20" w:history="1">
        <w:r w:rsidR="00D66844">
          <w:rPr>
            <w:noProof/>
            <w:sz w:val="24"/>
            <w:szCs w:val="24"/>
          </w:rPr>
          <w:t>19</w:t>
        </w:r>
      </w:hyperlink>
      <w:r w:rsidR="00D66844">
        <w:rPr>
          <w:noProof/>
          <w:sz w:val="24"/>
          <w:szCs w:val="24"/>
        </w:rPr>
        <w:t>]</w:t>
      </w:r>
      <w:r w:rsidR="00D66844">
        <w:rPr>
          <w:sz w:val="24"/>
          <w:szCs w:val="24"/>
        </w:rPr>
        <w:fldChar w:fldCharType="end"/>
      </w:r>
      <w:r w:rsidRPr="00A25B6E">
        <w:rPr>
          <w:i/>
          <w:sz w:val="24"/>
          <w:szCs w:val="24"/>
        </w:rPr>
        <w:t xml:space="preserve">. </w:t>
      </w:r>
      <w:r w:rsidR="00D66844">
        <w:rPr>
          <w:sz w:val="24"/>
          <w:szCs w:val="24"/>
        </w:rPr>
        <w:t>Our</w:t>
      </w:r>
      <w:r w:rsidRPr="00A25B6E">
        <w:rPr>
          <w:sz w:val="24"/>
          <w:szCs w:val="24"/>
        </w:rPr>
        <w:t xml:space="preserve"> data showed the capability of BG-4 to attenuate LPS-induced NF-κB signaling supporting our hypo</w:t>
      </w:r>
      <w:r w:rsidR="00D66844">
        <w:rPr>
          <w:sz w:val="24"/>
          <w:szCs w:val="24"/>
        </w:rPr>
        <w:t>thesis that BG-4 can have an anti-inflammatory effect against THP-1 macrophages.</w:t>
      </w:r>
      <w:r w:rsidRPr="00A25B6E">
        <w:rPr>
          <w:sz w:val="24"/>
          <w:szCs w:val="24"/>
        </w:rPr>
        <w:t xml:space="preserve"> To further elucidate the mechanism by which BG-4 can be used as a chemo</w:t>
      </w:r>
      <w:r w:rsidR="00D66844">
        <w:rPr>
          <w:sz w:val="24"/>
          <w:szCs w:val="24"/>
        </w:rPr>
        <w:t>preventive agent against THP-1 cells</w:t>
      </w:r>
      <w:r w:rsidRPr="00A25B6E">
        <w:rPr>
          <w:sz w:val="24"/>
          <w:szCs w:val="24"/>
        </w:rPr>
        <w:t xml:space="preserve">, activation of signal transducer and activator of transcription 3 (STAT3) was measured by immunofluorescence utilizing antibody specific to phosphorylated form of STAT3. As shown in </w:t>
      </w:r>
      <w:r w:rsidR="0075144C">
        <w:rPr>
          <w:b/>
          <w:sz w:val="24"/>
          <w:szCs w:val="24"/>
        </w:rPr>
        <w:t>Figure 6</w:t>
      </w:r>
      <w:r w:rsidRPr="00A25B6E">
        <w:rPr>
          <w:b/>
          <w:sz w:val="24"/>
          <w:szCs w:val="24"/>
        </w:rPr>
        <w:t xml:space="preserve">, </w:t>
      </w:r>
      <w:r w:rsidRPr="00A25B6E">
        <w:rPr>
          <w:sz w:val="24"/>
          <w:szCs w:val="24"/>
        </w:rPr>
        <w:t>untreated THP-1 macrophages have very low expression of p-STAT3 while</w:t>
      </w:r>
      <w:r w:rsidRPr="00A25B6E">
        <w:rPr>
          <w:b/>
          <w:sz w:val="24"/>
          <w:szCs w:val="24"/>
        </w:rPr>
        <w:t xml:space="preserve"> </w:t>
      </w:r>
      <w:r w:rsidRPr="00A25B6E">
        <w:rPr>
          <w:sz w:val="24"/>
          <w:szCs w:val="24"/>
        </w:rPr>
        <w:t>LPS treatment led to increased green staining of THP-1 macrophages indicative of increased activation of STAT3 through phosphorylation. Pre-treatment of THP-1 macrophages with 25 and 50 ppm BG-4 for 8 h prior to LPS treatment reduced the green fluorescence staining showing the capability of BG-4 to prevent phosphorylation of STAT3. Activation of STAT3 signaling has be</w:t>
      </w:r>
      <w:r w:rsidR="00D66844">
        <w:rPr>
          <w:sz w:val="24"/>
          <w:szCs w:val="24"/>
        </w:rPr>
        <w:t xml:space="preserve">en implicated as the central mechanism in the development, progression, and maintenance of many human tumors.  It has also been validated as an anti-cancer target as it is involved in the critical functions of cell differentiation and immune responses </w:t>
      </w:r>
      <w:r w:rsidR="00D66844">
        <w:rPr>
          <w:sz w:val="24"/>
          <w:szCs w:val="24"/>
        </w:rPr>
        <w:fldChar w:fldCharType="begin"/>
      </w:r>
      <w:r w:rsidR="00D66844">
        <w:rPr>
          <w:sz w:val="24"/>
          <w:szCs w:val="24"/>
        </w:rPr>
        <w:instrText xml:space="preserve"> ADDIN EN.CITE &lt;EndNote&gt;&lt;Cite&gt;&lt;Author&gt;Johnston&lt;/Author&gt;&lt;Year&gt;2011&lt;/Year&gt;&lt;RecNum&gt;21&lt;/RecNum&gt;&lt;DisplayText&gt;[20]&lt;/DisplayText&gt;&lt;record&gt;&lt;rec-number&gt;21&lt;/rec-number&gt;&lt;foreign-keys&gt;&lt;key app="EN" db-id="pxv5tsd245tzxmepesxpa5p8ezxftsfv2sz0" timestamp="1488989146"&gt;21&lt;/key&gt;&lt;/foreign-keys&gt;&lt;ref-type name="Journal Article"&gt;17&lt;/ref-type&gt;&lt;contributors&gt;&lt;authors&gt;&lt;author&gt;Johnston, P. A.&lt;/author&gt;&lt;author&gt;Grandis, J. R.&lt;/author&gt;&lt;/authors&gt;&lt;/contributors&gt;&lt;auth-address&gt;School of Pharmaceutical Sciences, School of Medicine, University of Pittsburgh, Pittsburgh, PA, USA.&lt;/auth-address&gt;&lt;titles&gt;&lt;title&gt;STAT3 signaling: anticancer strategies and challenges&lt;/title&gt;&lt;secondary-title&gt;Mol Interv&lt;/secondary-title&gt;&lt;/titles&gt;&lt;periodical&gt;&lt;full-title&gt;Mol Interv&lt;/full-title&gt;&lt;/periodical&gt;&lt;pages&gt;18-26&lt;/pages&gt;&lt;volume&gt;11&lt;/volume&gt;&lt;number&gt;1&lt;/number&gt;&lt;keywords&gt;&lt;keyword&gt;Antineoplastic Agents/*pharmacology&lt;/keyword&gt;&lt;keyword&gt;Humans&lt;/keyword&gt;&lt;keyword&gt;Neoplasms/*metabolism&lt;/keyword&gt;&lt;keyword&gt;Protein Binding/drug effects&lt;/keyword&gt;&lt;keyword&gt;Protein Transport/drug effects&lt;/keyword&gt;&lt;keyword&gt;STAT3 Transcription Factor/chemistry/*metabolism&lt;/keyword&gt;&lt;keyword&gt;Signal Transduction/*drug effects&lt;/keyword&gt;&lt;/keywords&gt;&lt;dates&gt;&lt;year&gt;2011&lt;/year&gt;&lt;pub-dates&gt;&lt;date&gt;Feb&lt;/date&gt;&lt;/pub-dates&gt;&lt;/dates&gt;&lt;isbn&gt;1543-2548 (Electronic)&amp;#xD;1534-0384 (Linking)&lt;/isbn&gt;&lt;accession-num&gt;21441118&lt;/accession-num&gt;&lt;urls&gt;&lt;related-urls&gt;&lt;url&gt;https://www.ncbi.nlm.nih.gov/pubmed/21441118&lt;/url&gt;&lt;/related-urls&gt;&lt;/urls&gt;&lt;custom2&gt;PMC3063716&lt;/custom2&gt;&lt;electronic-resource-num&gt;10.1124/mi.11.1.4&lt;/electronic-resource-num&gt;&lt;/record&gt;&lt;/Cite&gt;&lt;/EndNote&gt;</w:instrText>
      </w:r>
      <w:r w:rsidR="00D66844">
        <w:rPr>
          <w:sz w:val="24"/>
          <w:szCs w:val="24"/>
        </w:rPr>
        <w:fldChar w:fldCharType="separate"/>
      </w:r>
      <w:r w:rsidR="00D66844">
        <w:rPr>
          <w:noProof/>
          <w:sz w:val="24"/>
          <w:szCs w:val="24"/>
        </w:rPr>
        <w:t>[</w:t>
      </w:r>
      <w:hyperlink w:anchor="_ENREF_20" w:tooltip="Johnston, 2011 #21" w:history="1">
        <w:r w:rsidR="00D66844">
          <w:rPr>
            <w:noProof/>
            <w:sz w:val="24"/>
            <w:szCs w:val="24"/>
          </w:rPr>
          <w:t>20</w:t>
        </w:r>
      </w:hyperlink>
      <w:r w:rsidR="00D66844">
        <w:rPr>
          <w:noProof/>
          <w:sz w:val="24"/>
          <w:szCs w:val="24"/>
        </w:rPr>
        <w:t>]</w:t>
      </w:r>
      <w:r w:rsidR="00D66844">
        <w:rPr>
          <w:sz w:val="24"/>
          <w:szCs w:val="24"/>
        </w:rPr>
        <w:fldChar w:fldCharType="end"/>
      </w:r>
      <w:r w:rsidR="00D66844">
        <w:rPr>
          <w:sz w:val="24"/>
          <w:szCs w:val="24"/>
        </w:rPr>
        <w:t xml:space="preserve">.  </w:t>
      </w:r>
    </w:p>
    <w:p w:rsidR="00B36818" w:rsidRPr="00B36818" w:rsidRDefault="00B36818" w:rsidP="00A25B6E">
      <w:pPr>
        <w:spacing w:line="480" w:lineRule="auto"/>
        <w:contextualSpacing/>
        <w:rPr>
          <w:sz w:val="24"/>
          <w:szCs w:val="24"/>
        </w:rPr>
      </w:pPr>
    </w:p>
    <w:p w:rsidR="00FF7698" w:rsidRDefault="00167743" w:rsidP="008F11A3">
      <w:pPr>
        <w:spacing w:line="480" w:lineRule="auto"/>
        <w:contextualSpacing/>
        <w:rPr>
          <w:b/>
          <w:sz w:val="24"/>
          <w:szCs w:val="24"/>
        </w:rPr>
      </w:pPr>
      <w:r w:rsidRPr="002A335E">
        <w:rPr>
          <w:b/>
          <w:sz w:val="24"/>
          <w:szCs w:val="24"/>
        </w:rPr>
        <w:t>4. Conclusion</w:t>
      </w:r>
    </w:p>
    <w:p w:rsidR="009153A0" w:rsidRPr="009153A0" w:rsidRDefault="0014201B" w:rsidP="009153A0">
      <w:pPr>
        <w:spacing w:line="480" w:lineRule="auto"/>
        <w:ind w:firstLine="720"/>
        <w:contextualSpacing/>
      </w:pPr>
      <w:r>
        <w:rPr>
          <w:sz w:val="24"/>
          <w:szCs w:val="24"/>
        </w:rPr>
        <w:t>Our data show</w:t>
      </w:r>
      <w:r w:rsidR="002A335E" w:rsidRPr="002A335E">
        <w:rPr>
          <w:sz w:val="24"/>
          <w:szCs w:val="24"/>
        </w:rPr>
        <w:t xml:space="preserve"> the capability of BG-4 to reduce LPS-induced inflammation in THP-1 human macrophages by reducing the secretion of pro-inflammatory cytokines IL-6 and TNF-α. In addition, BG-4 pre-treatment led to reduced nuclear translocation of p65 subunit of NF-κB and p</w:t>
      </w:r>
      <w:r w:rsidR="009153A0">
        <w:rPr>
          <w:sz w:val="24"/>
          <w:szCs w:val="24"/>
        </w:rPr>
        <w:t xml:space="preserve">hosphorylation of STAT3.  </w:t>
      </w:r>
      <w:r w:rsidR="009153A0" w:rsidRPr="009153A0">
        <w:rPr>
          <w:b/>
          <w:sz w:val="24"/>
          <w:szCs w:val="24"/>
        </w:rPr>
        <w:t>Figure 7</w:t>
      </w:r>
      <w:r w:rsidR="009153A0">
        <w:rPr>
          <w:b/>
          <w:sz w:val="24"/>
          <w:szCs w:val="24"/>
        </w:rPr>
        <w:t xml:space="preserve"> </w:t>
      </w:r>
      <w:r w:rsidR="009153A0">
        <w:rPr>
          <w:sz w:val="24"/>
          <w:szCs w:val="24"/>
        </w:rPr>
        <w:t xml:space="preserve">shows the proposed mechanism of action for preventing inflammation.  </w:t>
      </w:r>
      <w:r w:rsidR="009153A0" w:rsidRPr="009153A0">
        <w:t xml:space="preserve">LPS </w:t>
      </w:r>
      <w:r w:rsidR="009153A0">
        <w:t>treatment of THP-1 macrophages leads</w:t>
      </w:r>
      <w:r w:rsidR="009153A0" w:rsidRPr="009153A0">
        <w:t xml:space="preserve"> to phosphorylation of ERK which activates</w:t>
      </w:r>
      <w:r w:rsidR="009153A0">
        <w:t xml:space="preserve"> the</w:t>
      </w:r>
      <w:r w:rsidR="009153A0" w:rsidRPr="009153A0">
        <w:t xml:space="preserve"> translocation of p-65 to the nucleus</w:t>
      </w:r>
      <w:r w:rsidR="009153A0">
        <w:t>.  This leads</w:t>
      </w:r>
      <w:r w:rsidR="009153A0" w:rsidRPr="009153A0">
        <w:t xml:space="preserve"> to</w:t>
      </w:r>
      <w:r w:rsidR="009153A0">
        <w:t xml:space="preserve"> the</w:t>
      </w:r>
      <w:r w:rsidR="009153A0" w:rsidRPr="009153A0">
        <w:t xml:space="preserve"> product</w:t>
      </w:r>
      <w:r w:rsidR="009153A0">
        <w:t xml:space="preserve">ion of reactive oxygen </w:t>
      </w:r>
      <w:r w:rsidR="009153A0">
        <w:lastRenderedPageBreak/>
        <w:t>species a</w:t>
      </w:r>
      <w:r w:rsidR="009153A0" w:rsidRPr="009153A0">
        <w:t>nd maturation of pro-inflammatory cytokines that can lead to chronic inflammation</w:t>
      </w:r>
      <w:r w:rsidR="009153A0">
        <w:t xml:space="preserve">.  </w:t>
      </w:r>
      <w:r w:rsidR="009153A0" w:rsidRPr="009153A0">
        <w:rPr>
          <w:sz w:val="24"/>
          <w:szCs w:val="24"/>
        </w:rPr>
        <w:t xml:space="preserve">Our results showed that BG-4 pre-treatment inhibited </w:t>
      </w:r>
      <w:r w:rsidR="009153A0">
        <w:rPr>
          <w:sz w:val="24"/>
          <w:szCs w:val="24"/>
        </w:rPr>
        <w:t xml:space="preserve">phosphorylation of extracellular regulated kinase </w:t>
      </w:r>
      <w:r w:rsidR="009153A0" w:rsidRPr="009153A0">
        <w:rPr>
          <w:sz w:val="24"/>
          <w:szCs w:val="24"/>
        </w:rPr>
        <w:t xml:space="preserve">leading to reduced translocation of p65 to </w:t>
      </w:r>
      <w:r w:rsidR="009153A0">
        <w:rPr>
          <w:sz w:val="24"/>
          <w:szCs w:val="24"/>
        </w:rPr>
        <w:t>the nucleus and reduction of reactive oxygen species.</w:t>
      </w:r>
      <w:r w:rsidR="009153A0">
        <w:t xml:space="preserve">  </w:t>
      </w:r>
      <w:r w:rsidR="009153A0" w:rsidRPr="009153A0">
        <w:rPr>
          <w:sz w:val="24"/>
          <w:szCs w:val="24"/>
        </w:rPr>
        <w:t xml:space="preserve">This leads to </w:t>
      </w:r>
      <w:r w:rsidR="009153A0">
        <w:rPr>
          <w:sz w:val="24"/>
          <w:szCs w:val="24"/>
        </w:rPr>
        <w:t xml:space="preserve">a </w:t>
      </w:r>
      <w:r w:rsidR="009153A0" w:rsidRPr="009153A0">
        <w:rPr>
          <w:sz w:val="24"/>
          <w:szCs w:val="24"/>
        </w:rPr>
        <w:t>reduction of pro-inflammatory cytokines IL-6 and TNF-alpha which can possib</w:t>
      </w:r>
      <w:r w:rsidR="009153A0">
        <w:rPr>
          <w:sz w:val="24"/>
          <w:szCs w:val="24"/>
        </w:rPr>
        <w:t>ly explain the chemopreventive e</w:t>
      </w:r>
      <w:r w:rsidR="009153A0" w:rsidRPr="009153A0">
        <w:rPr>
          <w:sz w:val="24"/>
          <w:szCs w:val="24"/>
        </w:rPr>
        <w:t>ffect of BG-4 against chronic inflammation</w:t>
      </w:r>
      <w:r w:rsidR="004A2675">
        <w:rPr>
          <w:sz w:val="24"/>
          <w:szCs w:val="24"/>
        </w:rPr>
        <w:t>.</w:t>
      </w:r>
    </w:p>
    <w:p w:rsidR="002A335E" w:rsidRPr="009153A0" w:rsidRDefault="002A335E" w:rsidP="002A335E">
      <w:pPr>
        <w:spacing w:line="480" w:lineRule="auto"/>
        <w:ind w:firstLine="720"/>
        <w:contextualSpacing/>
        <w:rPr>
          <w:sz w:val="24"/>
          <w:szCs w:val="24"/>
        </w:rPr>
      </w:pPr>
    </w:p>
    <w:p w:rsidR="002A335E" w:rsidRPr="002A335E" w:rsidRDefault="002A335E" w:rsidP="008F11A3">
      <w:pPr>
        <w:spacing w:line="480" w:lineRule="auto"/>
        <w:contextualSpacing/>
        <w:rPr>
          <w:sz w:val="24"/>
          <w:szCs w:val="24"/>
        </w:rPr>
      </w:pPr>
    </w:p>
    <w:p w:rsidR="008E23C1" w:rsidRDefault="00FF7698" w:rsidP="008F11A3">
      <w:pPr>
        <w:spacing w:line="480" w:lineRule="auto"/>
        <w:contextualSpacing/>
        <w:rPr>
          <w:b/>
          <w:sz w:val="24"/>
          <w:szCs w:val="24"/>
        </w:rPr>
      </w:pPr>
      <w:r w:rsidRPr="008E23C1">
        <w:rPr>
          <w:b/>
          <w:sz w:val="24"/>
          <w:szCs w:val="24"/>
        </w:rPr>
        <w:t xml:space="preserve">Acknowledgements </w:t>
      </w:r>
    </w:p>
    <w:p w:rsidR="008E23C1" w:rsidRPr="008E23C1" w:rsidRDefault="008E23C1" w:rsidP="008F11A3">
      <w:pPr>
        <w:spacing w:line="480" w:lineRule="auto"/>
        <w:contextualSpacing/>
        <w:rPr>
          <w:sz w:val="24"/>
          <w:szCs w:val="24"/>
        </w:rPr>
      </w:pPr>
      <w:r>
        <w:rPr>
          <w:sz w:val="24"/>
          <w:szCs w:val="24"/>
        </w:rPr>
        <w:t>The University of Tennessee Chancellor’s Honors Program for an Honors Undergraduate Research Grant.</w:t>
      </w:r>
    </w:p>
    <w:p w:rsidR="008E23C1" w:rsidRPr="00764631" w:rsidRDefault="008E23C1" w:rsidP="008F11A3">
      <w:pPr>
        <w:spacing w:line="480" w:lineRule="auto"/>
        <w:contextualSpacing/>
        <w:rPr>
          <w:sz w:val="24"/>
          <w:szCs w:val="24"/>
        </w:rPr>
      </w:pPr>
    </w:p>
    <w:p w:rsidR="0043610C" w:rsidRPr="0003274A" w:rsidRDefault="00FF7698" w:rsidP="0003274A">
      <w:pPr>
        <w:spacing w:line="480" w:lineRule="auto"/>
        <w:contextualSpacing/>
        <w:rPr>
          <w:sz w:val="24"/>
          <w:szCs w:val="24"/>
        </w:rPr>
      </w:pPr>
      <w:r w:rsidRPr="00764631">
        <w:rPr>
          <w:sz w:val="24"/>
          <w:szCs w:val="24"/>
        </w:rPr>
        <w:t>References</w:t>
      </w:r>
    </w:p>
    <w:p w:rsidR="00D66844" w:rsidRPr="00D66844" w:rsidRDefault="0043610C" w:rsidP="00D66844">
      <w:pPr>
        <w:pStyle w:val="EndNoteBibliography"/>
        <w:spacing w:after="0"/>
        <w:ind w:left="720" w:hanging="720"/>
      </w:pPr>
      <w:r>
        <w:rPr>
          <w:sz w:val="24"/>
          <w:szCs w:val="24"/>
        </w:rPr>
        <w:fldChar w:fldCharType="begin"/>
      </w:r>
      <w:r>
        <w:rPr>
          <w:sz w:val="24"/>
          <w:szCs w:val="24"/>
        </w:rPr>
        <w:instrText xml:space="preserve"> ADDIN EN.REFLIST </w:instrText>
      </w:r>
      <w:r>
        <w:rPr>
          <w:sz w:val="24"/>
          <w:szCs w:val="24"/>
        </w:rPr>
        <w:fldChar w:fldCharType="separate"/>
      </w:r>
      <w:bookmarkStart w:id="0" w:name="_ENREF_1"/>
      <w:r w:rsidR="00D66844" w:rsidRPr="00D66844">
        <w:t>1.</w:t>
      </w:r>
      <w:r w:rsidR="00D66844" w:rsidRPr="00D66844">
        <w:tab/>
        <w:t xml:space="preserve">Joseph B, J.D., </w:t>
      </w:r>
      <w:r w:rsidR="00D66844" w:rsidRPr="00D66844">
        <w:rPr>
          <w:i/>
        </w:rPr>
        <w:t>Antidiabetic effects of Momordica charantia (bitter melon) and its medicinal potency.</w:t>
      </w:r>
      <w:r w:rsidR="00D66844" w:rsidRPr="00D66844">
        <w:t xml:space="preserve"> Asian Pacific Journal of Tropical Disease, 2013. </w:t>
      </w:r>
      <w:r w:rsidR="00D66844" w:rsidRPr="00D66844">
        <w:rPr>
          <w:b/>
        </w:rPr>
        <w:t>3</w:t>
      </w:r>
      <w:r w:rsidR="00D66844" w:rsidRPr="00D66844">
        <w:t>(2): p. 93-102.</w:t>
      </w:r>
      <w:bookmarkEnd w:id="0"/>
    </w:p>
    <w:p w:rsidR="00D66844" w:rsidRPr="00D66844" w:rsidRDefault="00D66844" w:rsidP="00D66844">
      <w:pPr>
        <w:pStyle w:val="EndNoteBibliography"/>
        <w:spacing w:after="0"/>
        <w:ind w:left="720" w:hanging="720"/>
      </w:pPr>
      <w:bookmarkStart w:id="1" w:name="_ENREF_2"/>
      <w:r w:rsidRPr="00D66844">
        <w:t>2.</w:t>
      </w:r>
      <w:r w:rsidRPr="00D66844">
        <w:tab/>
        <w:t xml:space="preserve">Yung, M.M., et al., </w:t>
      </w:r>
      <w:r w:rsidRPr="00D66844">
        <w:rPr>
          <w:i/>
        </w:rPr>
        <w:t>Bitter Melon (Momordica charantia) Extract Inhibits Tumorigenicity and Overcomes Cisplatin-Resistance in Ovarian Cancer Cells Through Targeting AMPK Signaling Cascade.</w:t>
      </w:r>
      <w:r w:rsidRPr="00D66844">
        <w:t xml:space="preserve"> Integr Cancer Ther, 2016. </w:t>
      </w:r>
      <w:r w:rsidRPr="00D66844">
        <w:rPr>
          <w:b/>
        </w:rPr>
        <w:t>15</w:t>
      </w:r>
      <w:r w:rsidRPr="00D66844">
        <w:t>(3): p. 376-89.</w:t>
      </w:r>
      <w:bookmarkEnd w:id="1"/>
    </w:p>
    <w:p w:rsidR="00D66844" w:rsidRPr="00D66844" w:rsidRDefault="00D66844" w:rsidP="00D66844">
      <w:pPr>
        <w:pStyle w:val="EndNoteBibliography"/>
        <w:spacing w:after="0"/>
        <w:ind w:left="720" w:hanging="720"/>
      </w:pPr>
      <w:bookmarkStart w:id="2" w:name="_ENREF_3"/>
      <w:r w:rsidRPr="00D66844">
        <w:t>3.</w:t>
      </w:r>
      <w:r w:rsidRPr="00D66844">
        <w:tab/>
        <w:t xml:space="preserve">Fan, X., et al., </w:t>
      </w:r>
      <w:r w:rsidRPr="00D66844">
        <w:rPr>
          <w:i/>
        </w:rPr>
        <w:t>Alpha-MMC and MAP30, two ribosome-inactivating proteins extracted from Momordica charantia, induce cell cycle arrest and apoptosis in A549 human lung carcinoma cells.</w:t>
      </w:r>
      <w:r w:rsidRPr="00D66844">
        <w:t xml:space="preserve"> Mol Med Rep, 2015. </w:t>
      </w:r>
      <w:r w:rsidRPr="00D66844">
        <w:rPr>
          <w:b/>
        </w:rPr>
        <w:t>11</w:t>
      </w:r>
      <w:r w:rsidRPr="00D66844">
        <w:t>(5): p. 3553-8.</w:t>
      </w:r>
      <w:bookmarkEnd w:id="2"/>
    </w:p>
    <w:p w:rsidR="00D66844" w:rsidRPr="00D66844" w:rsidRDefault="00D66844" w:rsidP="00D66844">
      <w:pPr>
        <w:pStyle w:val="EndNoteBibliography"/>
        <w:spacing w:after="0"/>
        <w:ind w:left="720" w:hanging="720"/>
      </w:pPr>
      <w:bookmarkStart w:id="3" w:name="_ENREF_4"/>
      <w:r w:rsidRPr="00D66844">
        <w:t>4.</w:t>
      </w:r>
      <w:r w:rsidRPr="00D66844">
        <w:tab/>
        <w:t xml:space="preserve">Dia, V.P. and H.B. Krishnan, </w:t>
      </w:r>
      <w:r w:rsidRPr="00D66844">
        <w:rPr>
          <w:i/>
        </w:rPr>
        <w:t>BG-4, a novel anticancer peptide from bitter gourd (Momordica charantia), promotes apoptosis in human colon cancer cells.</w:t>
      </w:r>
      <w:r w:rsidRPr="00D66844">
        <w:t xml:space="preserve"> Sci Rep, 2016. </w:t>
      </w:r>
      <w:r w:rsidRPr="00D66844">
        <w:rPr>
          <w:b/>
        </w:rPr>
        <w:t>6</w:t>
      </w:r>
      <w:r w:rsidRPr="00D66844">
        <w:t>: p. 33532.</w:t>
      </w:r>
      <w:bookmarkEnd w:id="3"/>
    </w:p>
    <w:p w:rsidR="00D66844" w:rsidRPr="00D66844" w:rsidRDefault="00D66844" w:rsidP="00D66844">
      <w:pPr>
        <w:pStyle w:val="EndNoteBibliography"/>
        <w:spacing w:after="0"/>
        <w:ind w:left="720" w:hanging="720"/>
      </w:pPr>
      <w:bookmarkStart w:id="4" w:name="_ENREF_5"/>
      <w:r w:rsidRPr="00D66844">
        <w:t>5.</w:t>
      </w:r>
      <w:r w:rsidRPr="00D66844">
        <w:tab/>
        <w:t xml:space="preserve">Wang, J., et al., </w:t>
      </w:r>
      <w:r w:rsidRPr="00D66844">
        <w:rPr>
          <w:i/>
        </w:rPr>
        <w:t>Suppressive effects on cell proliferation and motility in gastric cancer SGC-7901 cells by introducing ulinastatin in vitro.</w:t>
      </w:r>
      <w:r w:rsidRPr="00D66844">
        <w:t xml:space="preserve"> Anticancer Drugs, 2016. </w:t>
      </w:r>
      <w:r w:rsidRPr="00D66844">
        <w:rPr>
          <w:b/>
        </w:rPr>
        <w:t>27</w:t>
      </w:r>
      <w:r w:rsidRPr="00D66844">
        <w:t>(7): p. 651-9.</w:t>
      </w:r>
      <w:bookmarkEnd w:id="4"/>
    </w:p>
    <w:p w:rsidR="00D66844" w:rsidRPr="00D66844" w:rsidRDefault="00D66844" w:rsidP="00D66844">
      <w:pPr>
        <w:pStyle w:val="EndNoteBibliography"/>
        <w:spacing w:after="0"/>
        <w:ind w:left="720" w:hanging="720"/>
      </w:pPr>
      <w:bookmarkStart w:id="5" w:name="_ENREF_6"/>
      <w:r w:rsidRPr="00D66844">
        <w:t>6.</w:t>
      </w:r>
      <w:r w:rsidRPr="00D66844">
        <w:tab/>
        <w:t xml:space="preserve">Song, B., et al., </w:t>
      </w:r>
      <w:r w:rsidRPr="00D66844">
        <w:rPr>
          <w:i/>
        </w:rPr>
        <w:t>Ulinastatin reduces the resistance of liver cancer cells to epirubicin by inhibiting autophagy.</w:t>
      </w:r>
      <w:r w:rsidRPr="00D66844">
        <w:t xml:space="preserve"> PLoS One, 2015. </w:t>
      </w:r>
      <w:r w:rsidRPr="00D66844">
        <w:rPr>
          <w:b/>
        </w:rPr>
        <w:t>10</w:t>
      </w:r>
      <w:r w:rsidRPr="00D66844">
        <w:t>(3): p. e0120694.</w:t>
      </w:r>
      <w:bookmarkEnd w:id="5"/>
    </w:p>
    <w:p w:rsidR="00D66844" w:rsidRPr="00D66844" w:rsidRDefault="00D66844" w:rsidP="00D66844">
      <w:pPr>
        <w:pStyle w:val="EndNoteBibliography"/>
        <w:spacing w:after="0"/>
        <w:ind w:left="720" w:hanging="720"/>
      </w:pPr>
      <w:bookmarkStart w:id="6" w:name="_ENREF_7"/>
      <w:r w:rsidRPr="00D66844">
        <w:t>7.</w:t>
      </w:r>
      <w:r w:rsidRPr="00D66844">
        <w:tab/>
        <w:t xml:space="preserve">Dia, V.P., et al., </w:t>
      </w:r>
      <w:r w:rsidRPr="00D66844">
        <w:rPr>
          <w:i/>
        </w:rPr>
        <w:t>Bowman-Birk and Kunitz protease inhibitors among antinutrients and bioactives modified by germination and hydrolysis in Brazilian soybean cultivar BRS 133.</w:t>
      </w:r>
      <w:r w:rsidRPr="00D66844">
        <w:t xml:space="preserve"> J Agric Food Chem, 2012. </w:t>
      </w:r>
      <w:r w:rsidRPr="00D66844">
        <w:rPr>
          <w:b/>
        </w:rPr>
        <w:t>60</w:t>
      </w:r>
      <w:r w:rsidRPr="00D66844">
        <w:t>(32): p. 7886-94.</w:t>
      </w:r>
      <w:bookmarkEnd w:id="6"/>
    </w:p>
    <w:p w:rsidR="00D66844" w:rsidRPr="00D66844" w:rsidRDefault="00D66844" w:rsidP="00D66844">
      <w:pPr>
        <w:pStyle w:val="EndNoteBibliography"/>
        <w:spacing w:after="0"/>
        <w:ind w:left="720" w:hanging="720"/>
      </w:pPr>
      <w:bookmarkStart w:id="7" w:name="_ENREF_8"/>
      <w:r w:rsidRPr="00D66844">
        <w:t>8.</w:t>
      </w:r>
      <w:r w:rsidRPr="00D66844">
        <w:tab/>
        <w:t xml:space="preserve">Oparin, P.B., et al., </w:t>
      </w:r>
      <w:r w:rsidRPr="00D66844">
        <w:rPr>
          <w:i/>
        </w:rPr>
        <w:t>Buckwheat trypsin inhibitor with helical hairpin structure belongs to a new family of plant defence peptides.</w:t>
      </w:r>
      <w:r w:rsidRPr="00D66844">
        <w:t xml:space="preserve"> Biochem J, 2012. </w:t>
      </w:r>
      <w:r w:rsidRPr="00D66844">
        <w:rPr>
          <w:b/>
        </w:rPr>
        <w:t>446</w:t>
      </w:r>
      <w:r w:rsidRPr="00D66844">
        <w:t>(1): p. 69-77.</w:t>
      </w:r>
      <w:bookmarkEnd w:id="7"/>
    </w:p>
    <w:p w:rsidR="00D66844" w:rsidRPr="00D66844" w:rsidRDefault="00D66844" w:rsidP="00D66844">
      <w:pPr>
        <w:pStyle w:val="EndNoteBibliography"/>
        <w:spacing w:after="0"/>
        <w:ind w:left="720" w:hanging="720"/>
      </w:pPr>
      <w:bookmarkStart w:id="8" w:name="_ENREF_9"/>
      <w:r w:rsidRPr="00D66844">
        <w:t>9.</w:t>
      </w:r>
      <w:r w:rsidRPr="00D66844">
        <w:tab/>
        <w:t xml:space="preserve">Wati, R.K., et al., </w:t>
      </w:r>
      <w:r w:rsidRPr="00D66844">
        <w:rPr>
          <w:i/>
        </w:rPr>
        <w:t>Trypsin inhibitor from 3 legume seeds: fractionation and proteolytic inhibition study.</w:t>
      </w:r>
      <w:r w:rsidRPr="00D66844">
        <w:t xml:space="preserve"> J Food Sci, 2010. </w:t>
      </w:r>
      <w:r w:rsidRPr="00D66844">
        <w:rPr>
          <w:b/>
        </w:rPr>
        <w:t>75</w:t>
      </w:r>
      <w:r w:rsidRPr="00D66844">
        <w:t>(3): p. C223-8.</w:t>
      </w:r>
      <w:bookmarkEnd w:id="8"/>
    </w:p>
    <w:p w:rsidR="00D66844" w:rsidRPr="00D66844" w:rsidRDefault="00D66844" w:rsidP="00D66844">
      <w:pPr>
        <w:pStyle w:val="EndNoteBibliography"/>
        <w:spacing w:after="0"/>
        <w:ind w:left="720" w:hanging="720"/>
      </w:pPr>
      <w:bookmarkStart w:id="9" w:name="_ENREF_10"/>
      <w:r w:rsidRPr="00D66844">
        <w:lastRenderedPageBreak/>
        <w:t>10.</w:t>
      </w:r>
      <w:r w:rsidRPr="00D66844">
        <w:tab/>
        <w:t xml:space="preserve">Sakamoto, H., et al., </w:t>
      </w:r>
      <w:r w:rsidRPr="00D66844">
        <w:rPr>
          <w:i/>
        </w:rPr>
        <w:t>Biomechanical strain induces class a scavenger receptor expression in human monocyte/macrophages and THP-1 cells: a potential mechanism of increased atherosclerosis in hypertension.</w:t>
      </w:r>
      <w:r w:rsidRPr="00D66844">
        <w:t xml:space="preserve"> Circulation, 2001. </w:t>
      </w:r>
      <w:r w:rsidRPr="00D66844">
        <w:rPr>
          <w:b/>
        </w:rPr>
        <w:t>104</w:t>
      </w:r>
      <w:r w:rsidRPr="00D66844">
        <w:t>(1): p. 109-14.</w:t>
      </w:r>
      <w:bookmarkEnd w:id="9"/>
    </w:p>
    <w:p w:rsidR="00D66844" w:rsidRPr="00D66844" w:rsidRDefault="00D66844" w:rsidP="00D66844">
      <w:pPr>
        <w:pStyle w:val="EndNoteBibliography"/>
        <w:spacing w:after="0"/>
        <w:ind w:left="720" w:hanging="720"/>
      </w:pPr>
      <w:bookmarkStart w:id="10" w:name="_ENREF_11"/>
      <w:r w:rsidRPr="00D66844">
        <w:t>11.</w:t>
      </w:r>
      <w:r w:rsidRPr="00D66844">
        <w:tab/>
        <w:t xml:space="preserve">Sharif, O., et al., </w:t>
      </w:r>
      <w:r w:rsidRPr="00D66844">
        <w:rPr>
          <w:i/>
        </w:rPr>
        <w:t>Transcriptional profiling of the LPS induced NF-kappaB response in macrophages.</w:t>
      </w:r>
      <w:r w:rsidRPr="00D66844">
        <w:t xml:space="preserve"> BMC Immunol, 2007. </w:t>
      </w:r>
      <w:r w:rsidRPr="00D66844">
        <w:rPr>
          <w:b/>
        </w:rPr>
        <w:t>8</w:t>
      </w:r>
      <w:r w:rsidRPr="00D66844">
        <w:t>: p. 1.</w:t>
      </w:r>
      <w:bookmarkEnd w:id="10"/>
    </w:p>
    <w:p w:rsidR="00D66844" w:rsidRPr="00D66844" w:rsidRDefault="00D66844" w:rsidP="00D66844">
      <w:pPr>
        <w:pStyle w:val="EndNoteBibliography"/>
        <w:spacing w:after="0"/>
        <w:ind w:left="720" w:hanging="720"/>
      </w:pPr>
      <w:bookmarkStart w:id="11" w:name="_ENREF_12"/>
      <w:r w:rsidRPr="00D66844">
        <w:t>12.</w:t>
      </w:r>
      <w:r w:rsidRPr="00D66844">
        <w:tab/>
        <w:t xml:space="preserve">Chanput, W., et al., </w:t>
      </w:r>
      <w:r w:rsidRPr="00D66844">
        <w:rPr>
          <w:i/>
        </w:rPr>
        <w:t>Transcription profiles of LPS-stimulated THP-1 monocytes and macrophages: a tool to study inflammation modulating effects of food-derived compounds.</w:t>
      </w:r>
      <w:r w:rsidRPr="00D66844">
        <w:t xml:space="preserve"> Food Funct, 2010. </w:t>
      </w:r>
      <w:r w:rsidRPr="00D66844">
        <w:rPr>
          <w:b/>
        </w:rPr>
        <w:t>1</w:t>
      </w:r>
      <w:r w:rsidRPr="00D66844">
        <w:t>(3): p. 254-61.</w:t>
      </w:r>
      <w:bookmarkEnd w:id="11"/>
    </w:p>
    <w:p w:rsidR="00D66844" w:rsidRPr="00D66844" w:rsidRDefault="00D66844" w:rsidP="00D66844">
      <w:pPr>
        <w:pStyle w:val="EndNoteBibliography"/>
        <w:spacing w:after="0"/>
        <w:ind w:left="720" w:hanging="720"/>
      </w:pPr>
      <w:bookmarkStart w:id="12" w:name="_ENREF_13"/>
      <w:r w:rsidRPr="00D66844">
        <w:t>13.</w:t>
      </w:r>
      <w:r w:rsidRPr="00D66844">
        <w:tab/>
        <w:t xml:space="preserve">Furundzija, V., et al., </w:t>
      </w:r>
      <w:r w:rsidRPr="00D66844">
        <w:rPr>
          <w:i/>
        </w:rPr>
        <w:t>IGF-1 increases macrophage motility via PKC/p38-dependent alphavbeta3-integrin inside-out signaling.</w:t>
      </w:r>
      <w:r w:rsidRPr="00D66844">
        <w:t xml:space="preserve"> Biochem Biophys Res Commun, 2010. </w:t>
      </w:r>
      <w:r w:rsidRPr="00D66844">
        <w:rPr>
          <w:b/>
        </w:rPr>
        <w:t>394</w:t>
      </w:r>
      <w:r w:rsidRPr="00D66844">
        <w:t>(3): p. 786-91.</w:t>
      </w:r>
      <w:bookmarkEnd w:id="12"/>
    </w:p>
    <w:p w:rsidR="00D66844" w:rsidRPr="00D66844" w:rsidRDefault="00D66844" w:rsidP="00D66844">
      <w:pPr>
        <w:pStyle w:val="EndNoteBibliography"/>
        <w:spacing w:after="0"/>
        <w:ind w:left="720" w:hanging="720"/>
      </w:pPr>
      <w:bookmarkStart w:id="13" w:name="_ENREF_14"/>
      <w:r w:rsidRPr="00D66844">
        <w:t>14.</w:t>
      </w:r>
      <w:r w:rsidRPr="00D66844">
        <w:tab/>
        <w:t xml:space="preserve">Guha, M. and N. Mackman, </w:t>
      </w:r>
      <w:r w:rsidRPr="00D66844">
        <w:rPr>
          <w:i/>
        </w:rPr>
        <w:t>LPS induction of gene expression in human monocytes.</w:t>
      </w:r>
      <w:r w:rsidRPr="00D66844">
        <w:t xml:space="preserve"> Cell Signal, 2001. </w:t>
      </w:r>
      <w:r w:rsidRPr="00D66844">
        <w:rPr>
          <w:b/>
        </w:rPr>
        <w:t>13</w:t>
      </w:r>
      <w:r w:rsidRPr="00D66844">
        <w:t>(2): p. 85-94.</w:t>
      </w:r>
      <w:bookmarkEnd w:id="13"/>
    </w:p>
    <w:p w:rsidR="00D66844" w:rsidRPr="00D66844" w:rsidRDefault="00D66844" w:rsidP="00D66844">
      <w:pPr>
        <w:pStyle w:val="EndNoteBibliography"/>
        <w:spacing w:after="0"/>
        <w:ind w:left="720" w:hanging="720"/>
      </w:pPr>
      <w:bookmarkStart w:id="14" w:name="_ENREF_15"/>
      <w:r w:rsidRPr="00D66844">
        <w:t>15.</w:t>
      </w:r>
      <w:r w:rsidRPr="00D66844">
        <w:tab/>
        <w:t xml:space="preserve">Szylberg, L., et al., </w:t>
      </w:r>
      <w:r w:rsidRPr="00D66844">
        <w:rPr>
          <w:i/>
        </w:rPr>
        <w:t>Expression of COX-2, IL-1beta, TNF-alpha and IL-4 in epithelium of serrated adenoma, adenoma and hyperplastic polyp.</w:t>
      </w:r>
      <w:r w:rsidRPr="00D66844">
        <w:t xml:space="preserve"> Arch Med Sci, 2016. </w:t>
      </w:r>
      <w:r w:rsidRPr="00D66844">
        <w:rPr>
          <w:b/>
        </w:rPr>
        <w:t>12</w:t>
      </w:r>
      <w:r w:rsidRPr="00D66844">
        <w:t>(1): p. 172-8.</w:t>
      </w:r>
      <w:bookmarkEnd w:id="14"/>
    </w:p>
    <w:p w:rsidR="00D66844" w:rsidRPr="00D66844" w:rsidRDefault="00D66844" w:rsidP="00D66844">
      <w:pPr>
        <w:pStyle w:val="EndNoteBibliography"/>
        <w:spacing w:after="0"/>
        <w:ind w:left="720" w:hanging="720"/>
      </w:pPr>
      <w:bookmarkStart w:id="15" w:name="_ENREF_16"/>
      <w:r w:rsidRPr="00D66844">
        <w:t>16.</w:t>
      </w:r>
      <w:r w:rsidRPr="00D66844">
        <w:tab/>
        <w:t xml:space="preserve">Zhu, Q.C., et al., </w:t>
      </w:r>
      <w:r w:rsidRPr="00D66844">
        <w:rPr>
          <w:i/>
        </w:rPr>
        <w:t>Effect of a high-fat diet in development of colonic adenoma in an animal model.</w:t>
      </w:r>
      <w:r w:rsidRPr="00D66844">
        <w:t xml:space="preserve"> World J Gastroenterol, 2014. </w:t>
      </w:r>
      <w:r w:rsidRPr="00D66844">
        <w:rPr>
          <w:b/>
        </w:rPr>
        <w:t>20</w:t>
      </w:r>
      <w:r w:rsidRPr="00D66844">
        <w:t>(25): p. 8119-29.</w:t>
      </w:r>
      <w:bookmarkEnd w:id="15"/>
    </w:p>
    <w:p w:rsidR="00D66844" w:rsidRPr="00D66844" w:rsidRDefault="00D66844" w:rsidP="00D66844">
      <w:pPr>
        <w:pStyle w:val="EndNoteBibliography"/>
        <w:spacing w:after="0"/>
        <w:ind w:left="720" w:hanging="720"/>
      </w:pPr>
      <w:bookmarkStart w:id="16" w:name="_ENREF_17"/>
      <w:r w:rsidRPr="00D66844">
        <w:t>17.</w:t>
      </w:r>
      <w:r w:rsidRPr="00D66844">
        <w:tab/>
        <w:t xml:space="preserve">Shukla, P.K., et al., </w:t>
      </w:r>
      <w:r w:rsidRPr="00D66844">
        <w:rPr>
          <w:i/>
        </w:rPr>
        <w:t>Chronic ethanol feeding promotes azoxymethane and dextran sulfate sodium-induced colonic tumorigenesis potentially by enhancing mucosal inflammation.</w:t>
      </w:r>
      <w:r w:rsidRPr="00D66844">
        <w:t xml:space="preserve"> BMC Cancer, 2016. </w:t>
      </w:r>
      <w:r w:rsidRPr="00D66844">
        <w:rPr>
          <w:b/>
        </w:rPr>
        <w:t>16</w:t>
      </w:r>
      <w:r w:rsidRPr="00D66844">
        <w:t>: p. 189.</w:t>
      </w:r>
      <w:bookmarkEnd w:id="16"/>
    </w:p>
    <w:p w:rsidR="00D66844" w:rsidRPr="00D66844" w:rsidRDefault="00D66844" w:rsidP="00D66844">
      <w:pPr>
        <w:pStyle w:val="EndNoteBibliography"/>
        <w:spacing w:after="0"/>
        <w:ind w:left="720" w:hanging="720"/>
      </w:pPr>
      <w:bookmarkStart w:id="17" w:name="_ENREF_18"/>
      <w:r w:rsidRPr="00D66844">
        <w:t>18.</w:t>
      </w:r>
      <w:r w:rsidRPr="00D66844">
        <w:tab/>
        <w:t xml:space="preserve">Oeckinghaus, A. and S. Ghosh, </w:t>
      </w:r>
      <w:r w:rsidRPr="00D66844">
        <w:rPr>
          <w:i/>
        </w:rPr>
        <w:t>The NF-kappaB family of transcription factors and its regulation.</w:t>
      </w:r>
      <w:r w:rsidRPr="00D66844">
        <w:t xml:space="preserve"> Cold Spring Harb Perspect Biol, 2009. </w:t>
      </w:r>
      <w:r w:rsidRPr="00D66844">
        <w:rPr>
          <w:b/>
        </w:rPr>
        <w:t>1</w:t>
      </w:r>
      <w:r w:rsidRPr="00D66844">
        <w:t>(4): p. a000034.</w:t>
      </w:r>
      <w:bookmarkEnd w:id="17"/>
    </w:p>
    <w:p w:rsidR="00D66844" w:rsidRPr="00D66844" w:rsidRDefault="00D66844" w:rsidP="00D66844">
      <w:pPr>
        <w:pStyle w:val="EndNoteBibliography"/>
        <w:spacing w:after="0"/>
        <w:ind w:left="720" w:hanging="720"/>
      </w:pPr>
      <w:bookmarkStart w:id="18" w:name="_ENREF_19"/>
      <w:r w:rsidRPr="00D66844">
        <w:t>19.</w:t>
      </w:r>
      <w:r w:rsidRPr="00D66844">
        <w:tab/>
        <w:t xml:space="preserve">Hoesel, B. and J.A. Schmid, </w:t>
      </w:r>
      <w:r w:rsidRPr="00D66844">
        <w:rPr>
          <w:i/>
        </w:rPr>
        <w:t>The complexity of NF-kappaB signaling in inflammation and cancer.</w:t>
      </w:r>
      <w:r w:rsidRPr="00D66844">
        <w:t xml:space="preserve"> Mol Cancer, 2013. </w:t>
      </w:r>
      <w:r w:rsidRPr="00D66844">
        <w:rPr>
          <w:b/>
        </w:rPr>
        <w:t>12</w:t>
      </w:r>
      <w:r w:rsidRPr="00D66844">
        <w:t>: p. 86.</w:t>
      </w:r>
      <w:bookmarkEnd w:id="18"/>
    </w:p>
    <w:p w:rsidR="00D66844" w:rsidRPr="00D66844" w:rsidRDefault="00D66844" w:rsidP="00D66844">
      <w:pPr>
        <w:pStyle w:val="EndNoteBibliography"/>
        <w:ind w:left="720" w:hanging="720"/>
      </w:pPr>
      <w:bookmarkStart w:id="19" w:name="_ENREF_20"/>
      <w:r w:rsidRPr="00D66844">
        <w:t>20.</w:t>
      </w:r>
      <w:r w:rsidRPr="00D66844">
        <w:tab/>
        <w:t xml:space="preserve">Johnston, P.A. and J.R. Grandis, </w:t>
      </w:r>
      <w:r w:rsidRPr="00D66844">
        <w:rPr>
          <w:i/>
        </w:rPr>
        <w:t>STAT3 signaling: anticancer strategies and challenges.</w:t>
      </w:r>
      <w:r w:rsidRPr="00D66844">
        <w:t xml:space="preserve"> Mol Interv, 2011. </w:t>
      </w:r>
      <w:r w:rsidRPr="00D66844">
        <w:rPr>
          <w:b/>
        </w:rPr>
        <w:t>11</w:t>
      </w:r>
      <w:r w:rsidRPr="00D66844">
        <w:t>(1): p. 18-26.</w:t>
      </w:r>
      <w:bookmarkEnd w:id="19"/>
    </w:p>
    <w:p w:rsidR="00764631" w:rsidRDefault="0043610C" w:rsidP="0003274A">
      <w:pPr>
        <w:pStyle w:val="ListParagraph"/>
        <w:rPr>
          <w:sz w:val="24"/>
          <w:szCs w:val="24"/>
        </w:rPr>
      </w:pPr>
      <w:r>
        <w:rPr>
          <w:sz w:val="24"/>
          <w:szCs w:val="24"/>
        </w:rPr>
        <w:fldChar w:fldCharType="end"/>
      </w:r>
    </w:p>
    <w:p w:rsidR="004A2675" w:rsidRDefault="004A2675" w:rsidP="0003274A">
      <w:pPr>
        <w:pStyle w:val="ListParagraph"/>
        <w:rPr>
          <w:sz w:val="24"/>
          <w:szCs w:val="24"/>
        </w:rPr>
      </w:pPr>
    </w:p>
    <w:p w:rsidR="004A2675" w:rsidRDefault="004A2675" w:rsidP="0003274A">
      <w:pPr>
        <w:pStyle w:val="ListParagraph"/>
        <w:rPr>
          <w:sz w:val="24"/>
          <w:szCs w:val="24"/>
        </w:rPr>
      </w:pPr>
    </w:p>
    <w:p w:rsidR="004A2675" w:rsidRDefault="004A2675" w:rsidP="0003274A">
      <w:pPr>
        <w:pStyle w:val="ListParagraph"/>
        <w:rPr>
          <w:sz w:val="24"/>
          <w:szCs w:val="24"/>
        </w:rPr>
      </w:pPr>
    </w:p>
    <w:p w:rsidR="004A2675" w:rsidRDefault="004A2675" w:rsidP="0003274A">
      <w:pPr>
        <w:pStyle w:val="ListParagraph"/>
        <w:rPr>
          <w:sz w:val="24"/>
          <w:szCs w:val="24"/>
        </w:rPr>
      </w:pPr>
    </w:p>
    <w:p w:rsidR="004A2675" w:rsidRDefault="004A2675" w:rsidP="0003274A">
      <w:pPr>
        <w:pStyle w:val="ListParagraph"/>
        <w:rPr>
          <w:sz w:val="24"/>
          <w:szCs w:val="24"/>
        </w:rPr>
      </w:pPr>
    </w:p>
    <w:p w:rsidR="004A2675" w:rsidRDefault="004A2675" w:rsidP="0003274A">
      <w:pPr>
        <w:pStyle w:val="ListParagraph"/>
        <w:rPr>
          <w:sz w:val="24"/>
          <w:szCs w:val="24"/>
        </w:rPr>
      </w:pPr>
    </w:p>
    <w:p w:rsidR="004A2675" w:rsidRDefault="004A2675" w:rsidP="0003274A">
      <w:pPr>
        <w:pStyle w:val="ListParagraph"/>
        <w:rPr>
          <w:sz w:val="24"/>
          <w:szCs w:val="24"/>
        </w:rPr>
      </w:pPr>
    </w:p>
    <w:p w:rsidR="004A2675" w:rsidRDefault="004A2675" w:rsidP="0003274A">
      <w:pPr>
        <w:pStyle w:val="ListParagraph"/>
        <w:rPr>
          <w:sz w:val="24"/>
          <w:szCs w:val="24"/>
        </w:rPr>
      </w:pPr>
    </w:p>
    <w:p w:rsidR="004A2675" w:rsidRDefault="004A2675" w:rsidP="0003274A">
      <w:pPr>
        <w:pStyle w:val="ListParagraph"/>
        <w:rPr>
          <w:sz w:val="24"/>
          <w:szCs w:val="24"/>
        </w:rPr>
      </w:pPr>
    </w:p>
    <w:p w:rsidR="004A2675" w:rsidRDefault="004A2675" w:rsidP="0003274A">
      <w:pPr>
        <w:pStyle w:val="ListParagraph"/>
        <w:rPr>
          <w:sz w:val="24"/>
          <w:szCs w:val="24"/>
        </w:rPr>
      </w:pPr>
    </w:p>
    <w:p w:rsidR="004A2675" w:rsidRDefault="004A2675" w:rsidP="0003274A">
      <w:pPr>
        <w:pStyle w:val="ListParagraph"/>
        <w:rPr>
          <w:sz w:val="24"/>
          <w:szCs w:val="24"/>
        </w:rPr>
      </w:pPr>
    </w:p>
    <w:p w:rsidR="0022676B" w:rsidRPr="00D039A0" w:rsidRDefault="00D039A0" w:rsidP="001469A1">
      <w:pPr>
        <w:spacing w:after="0"/>
        <w:rPr>
          <w:rFonts w:cstheme="minorHAnsi"/>
          <w:sz w:val="20"/>
          <w:szCs w:val="20"/>
        </w:rPr>
      </w:pPr>
      <w:r w:rsidRPr="00D039A0">
        <w:rPr>
          <w:rFonts w:cstheme="minorHAnsi"/>
          <w:noProof/>
        </w:rPr>
        <w:lastRenderedPageBreak/>
        <mc:AlternateContent>
          <mc:Choice Requires="wps">
            <w:drawing>
              <wp:anchor distT="0" distB="0" distL="114300" distR="114300" simplePos="0" relativeHeight="251680768" behindDoc="0" locked="0" layoutInCell="1" allowOverlap="1">
                <wp:simplePos x="0" y="0"/>
                <wp:positionH relativeFrom="column">
                  <wp:posOffset>-104775</wp:posOffset>
                </wp:positionH>
                <wp:positionV relativeFrom="paragraph">
                  <wp:posOffset>2333625</wp:posOffset>
                </wp:positionV>
                <wp:extent cx="6210300" cy="57150"/>
                <wp:effectExtent l="0" t="0" r="19050" b="19050"/>
                <wp:wrapNone/>
                <wp:docPr id="835" name="Straight Connector 835"/>
                <wp:cNvGraphicFramePr/>
                <a:graphic xmlns:a="http://schemas.openxmlformats.org/drawingml/2006/main">
                  <a:graphicData uri="http://schemas.microsoft.com/office/word/2010/wordprocessingShape">
                    <wps:wsp>
                      <wps:cNvCnPr/>
                      <wps:spPr>
                        <a:xfrm>
                          <a:off x="0" y="0"/>
                          <a:ext cx="6210300" cy="57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2CC717" id="Straight Connector 83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8.25pt,183.75pt" to="480.75pt,1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" strokecolor="black [3200]" strokeweight=".5pt">
                <v:stroke joinstyle="miter"/>
              </v:line>
            </w:pict>
          </mc:Fallback>
        </mc:AlternateContent>
      </w:r>
      <w:r w:rsidR="001469A1" w:rsidRPr="00D039A0">
        <w:rPr>
          <w:rFonts w:cstheme="minorHAnsi"/>
          <w:noProof/>
        </w:rPr>
        <w:drawing>
          <wp:anchor distT="0" distB="0" distL="114300" distR="114300" simplePos="0" relativeHeight="251673600" behindDoc="0" locked="0" layoutInCell="1" allowOverlap="1">
            <wp:simplePos x="0" y="0"/>
            <wp:positionH relativeFrom="column">
              <wp:posOffset>-104775</wp:posOffset>
            </wp:positionH>
            <wp:positionV relativeFrom="paragraph">
              <wp:posOffset>0</wp:posOffset>
            </wp:positionV>
            <wp:extent cx="6591300" cy="2466340"/>
            <wp:effectExtent l="0" t="0" r="0" b="0"/>
            <wp:wrapSquare wrapText="bothSides"/>
            <wp:docPr id="1" name="Picture 1" descr="C:\Users\vdia\Desktop\BG-4\BG4_300 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dia\Desktop\BG-4\BG4_300 dpi.tif"/>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303" r="3855" b="9973"/>
                    <a:stretch/>
                  </pic:blipFill>
                  <pic:spPr bwMode="auto">
                    <a:xfrm>
                      <a:off x="0" y="0"/>
                      <a:ext cx="6591300" cy="2466340"/>
                    </a:xfrm>
                    <a:prstGeom prst="rect">
                      <a:avLst/>
                    </a:prstGeom>
                    <a:noFill/>
                    <a:ln>
                      <a:noFill/>
                    </a:ln>
                    <a:extLst>
                      <a:ext uri="{53640926-AAD7-44D8-BBD7-CCE9431645EC}">
                        <a14:shadowObscured xmlns:a14="http://schemas.microsoft.com/office/drawing/2010/main"/>
                      </a:ext>
                    </a:extLst>
                  </pic:spPr>
                </pic:pic>
              </a:graphicData>
            </a:graphic>
          </wp:anchor>
        </w:drawing>
      </w:r>
      <w:r w:rsidR="0022676B" w:rsidRPr="00D039A0">
        <w:rPr>
          <w:rFonts w:cstheme="minorHAnsi"/>
          <w:b/>
          <w:sz w:val="20"/>
          <w:szCs w:val="20"/>
        </w:rPr>
        <w:t xml:space="preserve">Figure 1. Electrophoresis profile and trypsin inhibitory activity of aqueous and ethanolic extracts from </w:t>
      </w:r>
      <w:r w:rsidR="0022676B" w:rsidRPr="00D039A0">
        <w:rPr>
          <w:rFonts w:cstheme="minorHAnsi"/>
          <w:b/>
          <w:i/>
          <w:sz w:val="20"/>
          <w:szCs w:val="20"/>
        </w:rPr>
        <w:t xml:space="preserve">Momordica charantia. </w:t>
      </w:r>
      <w:r w:rsidR="0022676B" w:rsidRPr="00D039A0">
        <w:rPr>
          <w:rFonts w:cstheme="minorHAnsi"/>
          <w:b/>
          <w:sz w:val="20"/>
          <w:szCs w:val="20"/>
        </w:rPr>
        <w:t>A)</w:t>
      </w:r>
      <w:r w:rsidR="0022676B" w:rsidRPr="00D039A0">
        <w:rPr>
          <w:rFonts w:cstheme="minorHAnsi"/>
          <w:sz w:val="20"/>
          <w:szCs w:val="20"/>
        </w:rPr>
        <w:t xml:space="preserve"> SDS-PAGE profile of different </w:t>
      </w:r>
      <w:r w:rsidR="0022676B" w:rsidRPr="00D039A0">
        <w:rPr>
          <w:rFonts w:cstheme="minorHAnsi"/>
          <w:i/>
          <w:sz w:val="20"/>
          <w:szCs w:val="20"/>
        </w:rPr>
        <w:t xml:space="preserve">Momordica charantia </w:t>
      </w:r>
      <w:r w:rsidR="0022676B" w:rsidRPr="00D039A0">
        <w:rPr>
          <w:rFonts w:cstheme="minorHAnsi"/>
          <w:sz w:val="20"/>
          <w:szCs w:val="20"/>
        </w:rPr>
        <w:t xml:space="preserve">extracts indicates that increasing ethanol concentrations (0 to 70% in 10% increment, lanes 1 to 8) in the extraction medium led to isolation and purification of a novel peptide termed BG-4. </w:t>
      </w:r>
      <w:r w:rsidR="0022676B" w:rsidRPr="00D039A0">
        <w:rPr>
          <w:rFonts w:cstheme="minorHAnsi"/>
          <w:b/>
          <w:sz w:val="20"/>
          <w:szCs w:val="20"/>
        </w:rPr>
        <w:t>B)</w:t>
      </w:r>
      <w:r w:rsidR="0022676B" w:rsidRPr="00D039A0">
        <w:rPr>
          <w:rFonts w:cstheme="minorHAnsi"/>
          <w:sz w:val="20"/>
          <w:szCs w:val="20"/>
        </w:rPr>
        <w:t xml:space="preserve"> Trypsin inhibitory activity of </w:t>
      </w:r>
      <w:r w:rsidR="0022676B" w:rsidRPr="00D039A0">
        <w:rPr>
          <w:rFonts w:cstheme="minorHAnsi"/>
          <w:i/>
          <w:sz w:val="20"/>
          <w:szCs w:val="20"/>
        </w:rPr>
        <w:t xml:space="preserve">Momordica charantia </w:t>
      </w:r>
      <w:r w:rsidR="0022676B" w:rsidRPr="00D039A0">
        <w:rPr>
          <w:rFonts w:cstheme="minorHAnsi"/>
          <w:sz w:val="20"/>
          <w:szCs w:val="20"/>
        </w:rPr>
        <w:t>extracts is associated with the degree of BG-4 purity. Increasing BG-4 purity led to increased capability of the extract to inhibit trypsin, the purified BG-4 peptide from 70% ethanol extraction (lane 8) is 8.6 times more effective in inhibiting trypsin</w:t>
      </w:r>
    </w:p>
    <w:p w:rsidR="001A70CF" w:rsidRDefault="00D039A0" w:rsidP="0022676B">
      <w:pPr>
        <w:pStyle w:val="ListParagraph"/>
        <w:rPr>
          <w:rFonts w:ascii="Arial" w:hAnsi="Arial" w:cs="Arial"/>
          <w:sz w:val="20"/>
          <w:szCs w:val="20"/>
        </w:rPr>
      </w:pPr>
      <w:r>
        <w:rPr>
          <w:noProof/>
        </w:rPr>
        <mc:AlternateContent>
          <mc:Choice Requires="wps">
            <w:drawing>
              <wp:anchor distT="0" distB="0" distL="114300" distR="114300" simplePos="0" relativeHeight="251682816" behindDoc="0" locked="0" layoutInCell="1" allowOverlap="1" wp14:anchorId="54E89B7B" wp14:editId="7AA1A8AE">
                <wp:simplePos x="0" y="0"/>
                <wp:positionH relativeFrom="column">
                  <wp:posOffset>-104775</wp:posOffset>
                </wp:positionH>
                <wp:positionV relativeFrom="paragraph">
                  <wp:posOffset>48895</wp:posOffset>
                </wp:positionV>
                <wp:extent cx="6210300" cy="0"/>
                <wp:effectExtent l="0" t="0" r="19050" b="19050"/>
                <wp:wrapNone/>
                <wp:docPr id="836" name="Straight Connector 836"/>
                <wp:cNvGraphicFramePr/>
                <a:graphic xmlns:a="http://schemas.openxmlformats.org/drawingml/2006/main">
                  <a:graphicData uri="http://schemas.microsoft.com/office/word/2010/wordprocessingShape">
                    <wps:wsp>
                      <wps:cNvCnPr/>
                      <wps:spPr>
                        <a:xfrm>
                          <a:off x="0" y="0"/>
                          <a:ext cx="621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BBAE362" id="Straight Connector 836" o:spid="_x0000_s1026"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25pt,3.85pt" to="480.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" strokecolor="black [3200]" strokeweight=".5pt">
                <v:stroke joinstyle="miter"/>
              </v:line>
            </w:pict>
          </mc:Fallback>
        </mc:AlternateContent>
      </w:r>
    </w:p>
    <w:p w:rsidR="001A70CF" w:rsidRDefault="001A70CF" w:rsidP="0022676B">
      <w:pPr>
        <w:pStyle w:val="ListParagraph"/>
        <w:rPr>
          <w:rFonts w:ascii="Arial" w:hAnsi="Arial" w:cs="Arial"/>
          <w:sz w:val="20"/>
          <w:szCs w:val="20"/>
        </w:rPr>
      </w:pPr>
    </w:p>
    <w:p w:rsidR="001A70CF" w:rsidRDefault="001A70CF" w:rsidP="0022676B">
      <w:pPr>
        <w:pStyle w:val="ListParagraph"/>
        <w:rPr>
          <w:rFonts w:ascii="Arial" w:hAnsi="Arial" w:cs="Arial"/>
          <w:sz w:val="20"/>
          <w:szCs w:val="20"/>
        </w:rPr>
      </w:pPr>
    </w:p>
    <w:p w:rsidR="001A70CF" w:rsidRDefault="001A70CF" w:rsidP="0022676B">
      <w:pPr>
        <w:pStyle w:val="ListParagraph"/>
        <w:rPr>
          <w:rFonts w:ascii="Arial" w:hAnsi="Arial" w:cs="Arial"/>
          <w:sz w:val="20"/>
          <w:szCs w:val="20"/>
        </w:rPr>
      </w:pPr>
    </w:p>
    <w:p w:rsidR="001A70CF" w:rsidRDefault="001A70CF"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9670D2" w:rsidRDefault="009670D2" w:rsidP="0022676B">
      <w:pPr>
        <w:pStyle w:val="ListParagraph"/>
        <w:rPr>
          <w:rFonts w:ascii="Arial" w:hAnsi="Arial" w:cs="Arial"/>
          <w:sz w:val="20"/>
          <w:szCs w:val="20"/>
        </w:rPr>
      </w:pPr>
    </w:p>
    <w:p w:rsidR="001A70CF" w:rsidRPr="004A2675" w:rsidRDefault="004A2675" w:rsidP="004A2675">
      <w:pPr>
        <w:pStyle w:val="ListParagraph"/>
        <w:numPr>
          <w:ilvl w:val="0"/>
          <w:numId w:val="6"/>
        </w:numPr>
        <w:spacing w:after="0"/>
        <w:rPr>
          <w:rFonts w:ascii="Arial" w:hAnsi="Arial" w:cs="Arial"/>
          <w:b/>
        </w:rPr>
      </w:pPr>
      <w:r>
        <w:rPr>
          <w:rFonts w:ascii="Arial" w:hAnsi="Arial" w:cs="Arial"/>
          <w:b/>
        </w:rPr>
        <w:lastRenderedPageBreak/>
        <w:t xml:space="preserve">                                                                         </w:t>
      </w:r>
      <w:r w:rsidR="001A70CF" w:rsidRPr="004A2675">
        <w:rPr>
          <w:rFonts w:ascii="Arial" w:hAnsi="Arial" w:cs="Arial"/>
          <w:b/>
        </w:rPr>
        <w:t xml:space="preserve"> B)</w:t>
      </w:r>
    </w:p>
    <w:p w:rsidR="001A70CF" w:rsidRDefault="001A70CF" w:rsidP="001A70CF">
      <w:pPr>
        <w:spacing w:after="0"/>
        <w:ind w:left="360"/>
        <w:rPr>
          <w:rFonts w:ascii="Arial" w:hAnsi="Arial" w:cs="Arial"/>
        </w:rPr>
      </w:pPr>
      <w:r w:rsidRPr="001557FD">
        <w:rPr>
          <w:rFonts w:ascii="Arial" w:hAnsi="Arial" w:cs="Arial"/>
          <w:b/>
          <w:noProof/>
          <w:sz w:val="20"/>
          <w:szCs w:val="20"/>
        </w:rPr>
        <mc:AlternateContent>
          <mc:Choice Requires="wps">
            <w:drawing>
              <wp:anchor distT="0" distB="0" distL="114300" distR="114300" simplePos="0" relativeHeight="251661312" behindDoc="0" locked="0" layoutInCell="1" allowOverlap="1" wp14:anchorId="7B0EA81E" wp14:editId="7C548A2B">
                <wp:simplePos x="0" y="0"/>
                <wp:positionH relativeFrom="margin">
                  <wp:posOffset>228600</wp:posOffset>
                </wp:positionH>
                <wp:positionV relativeFrom="paragraph">
                  <wp:posOffset>2512694</wp:posOffset>
                </wp:positionV>
                <wp:extent cx="5743575" cy="0"/>
                <wp:effectExtent l="0" t="0" r="28575" b="19050"/>
                <wp:wrapNone/>
                <wp:docPr id="7" name="Straight Connector 7"/>
                <wp:cNvGraphicFramePr/>
                <a:graphic xmlns:a="http://schemas.openxmlformats.org/drawingml/2006/main">
                  <a:graphicData uri="http://schemas.microsoft.com/office/word/2010/wordprocessingShape">
                    <wps:wsp>
                      <wps:cNvCnPr/>
                      <wps:spPr>
                        <a:xfrm flipV="1">
                          <a:off x="0" y="0"/>
                          <a:ext cx="57435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436F94" id="Straight Connector 7"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pt,197.85pt" to="470.25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" strokecolor="black [3213]" strokeweight="1pt">
                <v:stroke joinstyle="miter"/>
                <w10:wrap anchorx="margin"/>
              </v:line>
            </w:pict>
          </mc:Fallback>
        </mc:AlternateContent>
      </w:r>
      <w:r w:rsidRPr="00F04785">
        <w:rPr>
          <w:rFonts w:ascii="Arial" w:hAnsi="Arial" w:cs="Arial"/>
          <w:noProof/>
        </w:rPr>
        <w:drawing>
          <wp:inline distT="0" distB="0" distL="0" distR="0" wp14:anchorId="52459CD0" wp14:editId="539DC7E1">
            <wp:extent cx="6496050" cy="2543175"/>
            <wp:effectExtent l="0" t="0" r="3810" b="0"/>
            <wp:docPr id="3" name="Picture 3" descr="C:\Users\vdia\Desktop\BG-4\Lynsey\cytokines_TNF-alpha_IL-6_300 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dia\Desktop\BG-4\Lynsey\cytokines_TNF-alpha_IL-6_300 dpi.tif"/>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t="12346" b="5247"/>
                    <a:stretch/>
                  </pic:blipFill>
                  <pic:spPr bwMode="auto">
                    <a:xfrm>
                      <a:off x="0" y="0"/>
                      <a:ext cx="6496050" cy="2543175"/>
                    </a:xfrm>
                    <a:prstGeom prst="rect">
                      <a:avLst/>
                    </a:prstGeom>
                    <a:noFill/>
                    <a:ln>
                      <a:noFill/>
                    </a:ln>
                    <a:extLst>
                      <a:ext uri="{53640926-AAD7-44D8-BBD7-CCE9431645EC}">
                        <a14:shadowObscured xmlns:a14="http://schemas.microsoft.com/office/drawing/2010/main"/>
                      </a:ext>
                    </a:extLst>
                  </pic:spPr>
                </pic:pic>
              </a:graphicData>
            </a:graphic>
          </wp:inline>
        </w:drawing>
      </w:r>
    </w:p>
    <w:p w:rsidR="001A70CF" w:rsidRPr="00D039A0" w:rsidRDefault="001A70CF" w:rsidP="00D039A0">
      <w:pPr>
        <w:pBdr>
          <w:bottom w:val="single" w:sz="2" w:space="0" w:color="auto"/>
        </w:pBdr>
        <w:spacing w:after="0"/>
        <w:ind w:left="360"/>
        <w:rPr>
          <w:rFonts w:cstheme="minorHAnsi"/>
          <w:b/>
          <w:sz w:val="20"/>
          <w:szCs w:val="20"/>
        </w:rPr>
      </w:pPr>
      <w:r w:rsidRPr="00D039A0">
        <w:rPr>
          <w:rFonts w:cstheme="minorHAnsi"/>
          <w:b/>
          <w:sz w:val="20"/>
          <w:szCs w:val="20"/>
        </w:rPr>
        <w:t xml:space="preserve">Figure 2. BG-4 pre-treatment reduced the secretion of pro-inflammatory cytokines TNF-α and IL-6 in LPS-induced THP-1 macrophages. A) </w:t>
      </w:r>
      <w:r w:rsidRPr="00D039A0">
        <w:rPr>
          <w:rFonts w:cstheme="minorHAnsi"/>
          <w:sz w:val="20"/>
          <w:szCs w:val="20"/>
        </w:rPr>
        <w:t xml:space="preserve">BG-4 dose dependently reduced TNF-α secretion in LPS-induced THP-1 macrophages, 50 ppm BG-4 reduced TNF-α secretion by 50.7%. </w:t>
      </w:r>
      <w:r w:rsidRPr="00D039A0">
        <w:rPr>
          <w:rFonts w:cstheme="minorHAnsi"/>
          <w:b/>
          <w:sz w:val="20"/>
          <w:szCs w:val="20"/>
        </w:rPr>
        <w:t xml:space="preserve">B) </w:t>
      </w:r>
      <w:r w:rsidRPr="00D039A0">
        <w:rPr>
          <w:rFonts w:cstheme="minorHAnsi"/>
          <w:sz w:val="20"/>
          <w:szCs w:val="20"/>
        </w:rPr>
        <w:t xml:space="preserve">BG-4 starting at 12.5 ppm dose-dependently reduced IL-6 secretion in LPS-induced THP-1 macrophages, 50 ppm BG-4 reduced IL-6 secretion by 88.4%. Bars with different letter are significantly different from each other (P &lt; 0.05, n </w:t>
      </w:r>
      <w:r w:rsidRPr="00D039A0">
        <w:rPr>
          <w:rFonts w:cstheme="minorHAnsi"/>
          <w:sz w:val="20"/>
          <w:szCs w:val="20"/>
          <w:u w:val="single"/>
        </w:rPr>
        <w:t>&gt;</w:t>
      </w:r>
      <w:r w:rsidRPr="00D039A0">
        <w:rPr>
          <w:rFonts w:cstheme="minorHAnsi"/>
          <w:sz w:val="20"/>
          <w:szCs w:val="20"/>
        </w:rPr>
        <w:t xml:space="preserve"> 8).</w:t>
      </w:r>
    </w:p>
    <w:p w:rsidR="001A70CF" w:rsidRPr="00D039A0" w:rsidRDefault="001A70CF" w:rsidP="00D039A0">
      <w:pPr>
        <w:pBdr>
          <w:bottom w:val="single" w:sz="2" w:space="0" w:color="auto"/>
        </w:pBdr>
        <w:spacing w:after="0"/>
        <w:ind w:left="360"/>
        <w:rPr>
          <w:rFonts w:cstheme="minorHAnsi"/>
        </w:rPr>
      </w:pPr>
    </w:p>
    <w:p w:rsidR="009670D2" w:rsidRDefault="009670D2" w:rsidP="00D039A0">
      <w:pPr>
        <w:pBdr>
          <w:bottom w:val="single" w:sz="2" w:space="0" w:color="auto"/>
        </w:pBdr>
        <w:spacing w:after="0"/>
        <w:ind w:left="360"/>
        <w:rPr>
          <w:rFonts w:ascii="Arial" w:hAnsi="Arial" w:cs="Arial"/>
          <w:b/>
        </w:rPr>
      </w:pPr>
    </w:p>
    <w:p w:rsidR="009670D2" w:rsidRDefault="009670D2" w:rsidP="00A25B6E">
      <w:pPr>
        <w:spacing w:after="0"/>
        <w:ind w:left="360"/>
        <w:rPr>
          <w:rFonts w:ascii="Arial" w:hAnsi="Arial" w:cs="Arial"/>
          <w:b/>
        </w:rPr>
      </w:pPr>
    </w:p>
    <w:p w:rsidR="009670D2" w:rsidRDefault="009670D2" w:rsidP="00A25B6E">
      <w:pPr>
        <w:spacing w:after="0"/>
        <w:ind w:left="360"/>
        <w:rPr>
          <w:rFonts w:ascii="Arial" w:hAnsi="Arial" w:cs="Arial"/>
          <w:b/>
        </w:rPr>
      </w:pPr>
    </w:p>
    <w:p w:rsidR="009670D2" w:rsidRDefault="009670D2" w:rsidP="00A25B6E">
      <w:pPr>
        <w:spacing w:after="0"/>
        <w:ind w:left="360"/>
        <w:rPr>
          <w:rFonts w:ascii="Arial" w:hAnsi="Arial" w:cs="Arial"/>
          <w:b/>
        </w:rPr>
      </w:pPr>
    </w:p>
    <w:p w:rsidR="009670D2" w:rsidRDefault="009670D2" w:rsidP="00A25B6E">
      <w:pPr>
        <w:spacing w:after="0"/>
        <w:ind w:left="360"/>
        <w:rPr>
          <w:rFonts w:ascii="Arial" w:hAnsi="Arial" w:cs="Arial"/>
          <w:b/>
        </w:rPr>
      </w:pPr>
    </w:p>
    <w:p w:rsidR="009670D2" w:rsidRDefault="009670D2" w:rsidP="00A25B6E">
      <w:pPr>
        <w:spacing w:after="0"/>
        <w:ind w:left="360"/>
        <w:rPr>
          <w:rFonts w:ascii="Arial" w:hAnsi="Arial" w:cs="Arial"/>
          <w:b/>
        </w:rPr>
      </w:pPr>
    </w:p>
    <w:p w:rsidR="009670D2" w:rsidRDefault="009670D2" w:rsidP="00A25B6E">
      <w:pPr>
        <w:spacing w:after="0"/>
        <w:ind w:left="360"/>
        <w:rPr>
          <w:rFonts w:ascii="Arial" w:hAnsi="Arial" w:cs="Arial"/>
          <w:b/>
        </w:rPr>
      </w:pPr>
    </w:p>
    <w:p w:rsidR="0075144C" w:rsidRDefault="0075144C" w:rsidP="00A25B6E">
      <w:pPr>
        <w:spacing w:after="0"/>
        <w:ind w:left="360"/>
        <w:rPr>
          <w:rFonts w:ascii="Arial" w:hAnsi="Arial" w:cs="Arial"/>
          <w:b/>
        </w:rPr>
      </w:pPr>
      <w:bookmarkStart w:id="20" w:name="_GoBack"/>
      <w:bookmarkEnd w:id="20"/>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4A2675" w:rsidRDefault="004A2675" w:rsidP="00A25B6E">
      <w:pPr>
        <w:spacing w:after="0"/>
        <w:ind w:left="360"/>
        <w:rPr>
          <w:rFonts w:ascii="Arial" w:hAnsi="Arial" w:cs="Arial"/>
          <w:b/>
        </w:rPr>
      </w:pPr>
    </w:p>
    <w:p w:rsidR="004A2675" w:rsidRDefault="004A2675" w:rsidP="00A25B6E">
      <w:pPr>
        <w:spacing w:after="0"/>
        <w:ind w:left="360"/>
        <w:rPr>
          <w:rFonts w:ascii="Arial" w:hAnsi="Arial" w:cs="Arial"/>
          <w:b/>
        </w:rPr>
      </w:pPr>
    </w:p>
    <w:p w:rsidR="004A2675" w:rsidRDefault="004A2675" w:rsidP="00A25B6E">
      <w:pPr>
        <w:spacing w:after="0"/>
        <w:ind w:left="360"/>
        <w:rPr>
          <w:rFonts w:ascii="Arial" w:hAnsi="Arial" w:cs="Arial"/>
          <w:b/>
        </w:rPr>
      </w:pPr>
      <w:r>
        <w:rPr>
          <w:noProof/>
        </w:rPr>
        <w:lastRenderedPageBreak/>
        <mc:AlternateContent>
          <mc:Choice Requires="wpg">
            <w:drawing>
              <wp:anchor distT="0" distB="0" distL="114300" distR="114300" simplePos="0" relativeHeight="251672576" behindDoc="0" locked="0" layoutInCell="1" allowOverlap="1" wp14:anchorId="6D4927AC" wp14:editId="2A83E45A">
                <wp:simplePos x="0" y="0"/>
                <wp:positionH relativeFrom="column">
                  <wp:posOffset>190500</wp:posOffset>
                </wp:positionH>
                <wp:positionV relativeFrom="paragraph">
                  <wp:posOffset>173355</wp:posOffset>
                </wp:positionV>
                <wp:extent cx="4810125" cy="4704318"/>
                <wp:effectExtent l="0" t="0" r="0" b="1270"/>
                <wp:wrapNone/>
                <wp:docPr id="234" name="Group 234"/>
                <wp:cNvGraphicFramePr/>
                <a:graphic xmlns:a="http://schemas.openxmlformats.org/drawingml/2006/main">
                  <a:graphicData uri="http://schemas.microsoft.com/office/word/2010/wordprocessingGroup">
                    <wpg:wgp>
                      <wpg:cNvGrpSpPr/>
                      <wpg:grpSpPr>
                        <a:xfrm>
                          <a:off x="0" y="0"/>
                          <a:ext cx="4810125" cy="4704318"/>
                          <a:chOff x="0" y="0"/>
                          <a:chExt cx="4810125" cy="4704318"/>
                        </a:xfrm>
                      </wpg:grpSpPr>
                      <wpg:grpSp>
                        <wpg:cNvPr id="235" name="Group 3"/>
                        <wpg:cNvGrpSpPr/>
                        <wpg:grpSpPr>
                          <a:xfrm>
                            <a:off x="0" y="0"/>
                            <a:ext cx="4810125" cy="2743200"/>
                            <a:chOff x="0" y="0"/>
                            <a:chExt cx="4810125" cy="2743200"/>
                          </a:xfrm>
                        </wpg:grpSpPr>
                        <wpg:graphicFrame>
                          <wpg:cNvPr id="236" name="Chart 236"/>
                          <wpg:cNvFrPr/>
                          <wpg:xfrm>
                            <a:off x="0" y="0"/>
                            <a:ext cx="4572000" cy="2743200"/>
                          </wpg:xfrm>
                          <a:graphic>
                            <a:graphicData uri="http://schemas.openxmlformats.org/drawingml/2006/chart">
                              <c:chart xmlns:c="http://schemas.openxmlformats.org/drawingml/2006/chart" xmlns:r="http://schemas.openxmlformats.org/officeDocument/2006/relationships" r:id="rId10"/>
                            </a:graphicData>
                          </a:graphic>
                        </wpg:graphicFrame>
                        <wps:wsp>
                          <wps:cNvPr id="237" name="TextBox 2"/>
                          <wps:cNvSpPr txBox="1"/>
                          <wps:spPr>
                            <a:xfrm>
                              <a:off x="752474" y="2071687"/>
                              <a:ext cx="4057651" cy="2857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580529" w:rsidRDefault="00580529" w:rsidP="0075144C">
                                <w:pPr>
                                  <w:pStyle w:val="NormalWeb"/>
                                  <w:spacing w:before="0" w:beforeAutospacing="0" w:after="0" w:afterAutospacing="0"/>
                                </w:pPr>
                                <w:r>
                                  <w:rPr>
                                    <w:rFonts w:asciiTheme="minorHAnsi" w:hAnsi="Calibri" w:cstheme="minorBidi"/>
                                    <w:color w:val="000000" w:themeColor="dark1"/>
                                    <w:sz w:val="20"/>
                                    <w:szCs w:val="20"/>
                                  </w:rPr>
                                  <w:t xml:space="preserve">         -                     </w:t>
                                </w:r>
                                <w:r>
                                  <w:rPr>
                                    <w:rFonts w:asciiTheme="minorHAnsi" w:hAnsi="Calibri" w:cstheme="minorBidi"/>
                                    <w:color w:val="000000" w:themeColor="dark1"/>
                                    <w:sz w:val="20"/>
                                    <w:szCs w:val="20"/>
                                  </w:rPr>
                                  <w:tab/>
                                  <w:t xml:space="preserve">         +                               +                </w:t>
                                </w:r>
                                <w:r>
                                  <w:rPr>
                                    <w:rFonts w:asciiTheme="minorHAnsi" w:hAnsi="Calibri" w:cstheme="minorBidi"/>
                                    <w:color w:val="000000" w:themeColor="dark1"/>
                                    <w:sz w:val="20"/>
                                    <w:szCs w:val="20"/>
                                  </w:rPr>
                                  <w:tab/>
                                  <w:t xml:space="preserve">           + LPS (1 µg/mL)</w:t>
                                </w:r>
                              </w:p>
                            </w:txbxContent>
                          </wps:txbx>
                          <wps:bodyPr wrap="square" rtlCol="0" anchor="t"/>
                        </wps:wsp>
                      </wpg:grpSp>
                      <wps:wsp>
                        <wps:cNvPr id="238" name="Text Box 2"/>
                        <wps:cNvSpPr txBox="1">
                          <a:spLocks noChangeArrowheads="1"/>
                        </wps:cNvSpPr>
                        <wps:spPr bwMode="auto">
                          <a:xfrm>
                            <a:off x="514350" y="2828529"/>
                            <a:ext cx="2972434" cy="1875789"/>
                          </a:xfrm>
                          <a:prstGeom prst="rect">
                            <a:avLst/>
                          </a:prstGeom>
                          <a:noFill/>
                          <a:ln w="9525">
                            <a:noFill/>
                            <a:miter lim="800000"/>
                            <a:headEnd/>
                            <a:tailEnd/>
                          </a:ln>
                        </wps:spPr>
                        <wps:txbx>
                          <w:txbxContent>
                            <w:p w:rsidR="00580529" w:rsidRDefault="00580529" w:rsidP="0075144C">
                              <w:pPr>
                                <w:spacing w:after="0" w:line="240" w:lineRule="auto"/>
                              </w:pPr>
                              <w:r w:rsidRPr="003D78E4">
                                <w:rPr>
                                  <w:noProof/>
                                </w:rPr>
                                <w:drawing>
                                  <wp:inline distT="0" distB="0" distL="0" distR="0" wp14:anchorId="71E62051" wp14:editId="2472C5F4">
                                    <wp:extent cx="1533525" cy="257175"/>
                                    <wp:effectExtent l="0" t="0" r="9525"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33525" cy="257175"/>
                                            </a:xfrm>
                                            <a:prstGeom prst="rect">
                                              <a:avLst/>
                                            </a:prstGeom>
                                          </pic:spPr>
                                        </pic:pic>
                                      </a:graphicData>
                                    </a:graphic>
                                  </wp:inline>
                                </w:drawing>
                              </w:r>
                              <w:r>
                                <w:t xml:space="preserve"> p-ERK ½ (42-44 kDa)</w:t>
                              </w:r>
                              <w:r w:rsidRPr="003D78E4">
                                <w:rPr>
                                  <w:noProof/>
                                </w:rPr>
                                <w:drawing>
                                  <wp:inline distT="0" distB="0" distL="0" distR="0" wp14:anchorId="6220E54D" wp14:editId="230995A3">
                                    <wp:extent cx="1533525" cy="247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33525" cy="247650"/>
                                            </a:xfrm>
                                            <a:prstGeom prst="rect">
                                              <a:avLst/>
                                            </a:prstGeom>
                                          </pic:spPr>
                                        </pic:pic>
                                      </a:graphicData>
                                    </a:graphic>
                                  </wp:inline>
                                </w:drawing>
                              </w:r>
                              <w:r>
                                <w:t xml:space="preserve"> ERK ½ </w:t>
                              </w:r>
                            </w:p>
                            <w:p w:rsidR="00580529" w:rsidRDefault="00580529" w:rsidP="0075144C">
                              <w:pPr>
                                <w:spacing w:after="0" w:line="240" w:lineRule="auto"/>
                              </w:pPr>
                              <w:r w:rsidRPr="004F143C">
                                <w:rPr>
                                  <w:noProof/>
                                </w:rPr>
                                <w:drawing>
                                  <wp:inline distT="0" distB="0" distL="0" distR="0" wp14:anchorId="41BE5FD0" wp14:editId="3F6E80FC">
                                    <wp:extent cx="1524000" cy="238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238125"/>
                                            </a:xfrm>
                                            <a:prstGeom prst="rect">
                                              <a:avLst/>
                                            </a:prstGeom>
                                            <a:noFill/>
                                            <a:ln>
                                              <a:noFill/>
                                            </a:ln>
                                          </pic:spPr>
                                        </pic:pic>
                                      </a:graphicData>
                                    </a:graphic>
                                  </wp:inline>
                                </w:drawing>
                              </w:r>
                              <w:r>
                                <w:t xml:space="preserve"> p-STAT3 (80 kDa)</w:t>
                              </w:r>
                              <w:r>
                                <w:tab/>
                              </w:r>
                            </w:p>
                            <w:p w:rsidR="00580529" w:rsidRDefault="00580529" w:rsidP="0075144C">
                              <w:pPr>
                                <w:spacing w:after="0" w:line="240" w:lineRule="auto"/>
                              </w:pPr>
                              <w:r w:rsidRPr="004F143C">
                                <w:rPr>
                                  <w:noProof/>
                                </w:rPr>
                                <w:drawing>
                                  <wp:inline distT="0" distB="0" distL="0" distR="0" wp14:anchorId="0D5715E6" wp14:editId="60EFBD91">
                                    <wp:extent cx="1524000" cy="236838"/>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4748" cy="240062"/>
                                            </a:xfrm>
                                            <a:prstGeom prst="rect">
                                              <a:avLst/>
                                            </a:prstGeom>
                                            <a:noFill/>
                                            <a:ln>
                                              <a:noFill/>
                                            </a:ln>
                                          </pic:spPr>
                                        </pic:pic>
                                      </a:graphicData>
                                    </a:graphic>
                                  </wp:inline>
                                </w:drawing>
                              </w:r>
                              <w:r>
                                <w:t xml:space="preserve"> STAT3 (80 kDa)</w:t>
                              </w:r>
                              <w:r>
                                <w:tab/>
                              </w:r>
                            </w:p>
                            <w:p w:rsidR="00580529" w:rsidRDefault="00580529" w:rsidP="0075144C">
                              <w:pPr>
                                <w:spacing w:after="0" w:line="240" w:lineRule="auto"/>
                              </w:pPr>
                              <w:r w:rsidRPr="004F143C">
                                <w:rPr>
                                  <w:noProof/>
                                </w:rPr>
                                <w:drawing>
                                  <wp:inline distT="0" distB="0" distL="0" distR="0" wp14:anchorId="68485989" wp14:editId="3A9FD242">
                                    <wp:extent cx="1524000" cy="238125"/>
                                    <wp:effectExtent l="0" t="0" r="0"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0" cy="238125"/>
                                            </a:xfrm>
                                            <a:prstGeom prst="rect">
                                              <a:avLst/>
                                            </a:prstGeom>
                                            <a:noFill/>
                                            <a:ln>
                                              <a:noFill/>
                                            </a:ln>
                                          </pic:spPr>
                                        </pic:pic>
                                      </a:graphicData>
                                    </a:graphic>
                                  </wp:inline>
                                </w:drawing>
                              </w:r>
                              <w:r>
                                <w:t xml:space="preserve"> Actin (41 kDa)</w:t>
                              </w:r>
                            </w:p>
                            <w:p w:rsidR="00580529" w:rsidRDefault="00580529" w:rsidP="0075144C">
                              <w:pPr>
                                <w:spacing w:after="0" w:line="240" w:lineRule="auto"/>
                              </w:pPr>
                              <w:r>
                                <w:t xml:space="preserve">      0          0       25      50 BG-4 (µg/mL)</w:t>
                              </w:r>
                            </w:p>
                            <w:p w:rsidR="00580529" w:rsidRDefault="00580529" w:rsidP="0075144C">
                              <w:pPr>
                                <w:pStyle w:val="ListParagraph"/>
                                <w:numPr>
                                  <w:ilvl w:val="0"/>
                                  <w:numId w:val="7"/>
                                </w:numPr>
                                <w:spacing w:after="0" w:line="240" w:lineRule="auto"/>
                              </w:pPr>
                              <w:r>
                                <w:t xml:space="preserve">     +        +        +  LPS (1 µg/mL)</w:t>
                              </w:r>
                            </w:p>
                          </w:txbxContent>
                        </wps:txbx>
                        <wps:bodyPr rot="0" vert="horz" wrap="square" lIns="91440" tIns="45720" rIns="91440" bIns="45720" anchor="t" anchorCtr="0">
                          <a:spAutoFit/>
                        </wps:bodyPr>
                      </wps:wsp>
                    </wpg:wgp>
                  </a:graphicData>
                </a:graphic>
              </wp:anchor>
            </w:drawing>
          </mc:Choice>
          <mc:Fallback>
            <w:pict>
              <v:group w14:anchorId="6D4927AC" id="Group 234" o:spid="_x0000_s1026" style="position:absolute;left:0;text-align:left;margin-left:15pt;margin-top:13.65pt;width:378.75pt;height:370.4pt;z-index:251672576" coordsize="48101,47043"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">
                <v:group id="Group 3" o:spid="_x0000_s1027" style="position:absolute;width:48101;height:27432" coordsize="48101,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36" o:spid="_x0000_s1028" type="#_x0000_t75" style="position:absolute;left:-60;top:-60;width:45840;height:27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">
                    <v:imagedata r:id="rId16" o:title=""/>
                    <o:lock v:ext="edit" aspectratio="f"/>
                  </v:shape>
                  <v:shapetype id="_x0000_t202" coordsize="21600,21600" o:spt="202" path="m,l,21600r21600,l21600,xe">
                    <v:stroke joinstyle="miter"/>
                    <v:path gradientshapeok="t" o:connecttype="rect"/>
                  </v:shapetype>
                  <v:shape id="TextBox 2" o:spid="_x0000_s1029" type="#_x0000_t202" style="position:absolute;left:7524;top:20716;width:4057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" filled="f" stroked="f">
                    <v:textbox>
                      <w:txbxContent>
                        <w:p w:rsidR="00580529" w:rsidRDefault="00580529" w:rsidP="0075144C">
                          <w:pPr>
                            <w:pStyle w:val="NormalWeb"/>
                            <w:spacing w:before="0" w:beforeAutospacing="0" w:after="0" w:afterAutospacing="0"/>
                          </w:pPr>
                          <w:r>
                            <w:rPr>
                              <w:rFonts w:asciiTheme="minorHAnsi" w:hAnsi="Calibri" w:cstheme="minorBidi"/>
                              <w:color w:val="000000" w:themeColor="dark1"/>
                              <w:sz w:val="20"/>
                              <w:szCs w:val="20"/>
                            </w:rPr>
                            <w:t xml:space="preserve">         -                     </w:t>
                          </w:r>
                          <w:r>
                            <w:rPr>
                              <w:rFonts w:asciiTheme="minorHAnsi" w:hAnsi="Calibri" w:cstheme="minorBidi"/>
                              <w:color w:val="000000" w:themeColor="dark1"/>
                              <w:sz w:val="20"/>
                              <w:szCs w:val="20"/>
                            </w:rPr>
                            <w:tab/>
                            <w:t xml:space="preserve">         +                               +                </w:t>
                          </w:r>
                          <w:r>
                            <w:rPr>
                              <w:rFonts w:asciiTheme="minorHAnsi" w:hAnsi="Calibri" w:cstheme="minorBidi"/>
                              <w:color w:val="000000" w:themeColor="dark1"/>
                              <w:sz w:val="20"/>
                              <w:szCs w:val="20"/>
                            </w:rPr>
                            <w:tab/>
                            <w:t xml:space="preserve">           + LPS (1 µg/mL)</w:t>
                          </w:r>
                        </w:p>
                      </w:txbxContent>
                    </v:textbox>
                  </v:shape>
                </v:group>
                <v:shape id="_x0000_s1030" type="#_x0000_t202" style="position:absolute;left:5143;top:28285;width:29724;height:18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" filled="f" stroked="f">
                  <v:textbox style="mso-fit-shape-to-text:t">
                    <w:txbxContent>
                      <w:p w:rsidR="00580529" w:rsidRDefault="00580529" w:rsidP="0075144C">
                        <w:pPr>
                          <w:spacing w:after="0" w:line="240" w:lineRule="auto"/>
                        </w:pPr>
                        <w:r w:rsidRPr="003D78E4">
                          <w:rPr>
                            <w:noProof/>
                          </w:rPr>
                          <w:drawing>
                            <wp:inline distT="0" distB="0" distL="0" distR="0" wp14:anchorId="71E62051" wp14:editId="2472C5F4">
                              <wp:extent cx="1533525" cy="257175"/>
                              <wp:effectExtent l="0" t="0" r="9525"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33525" cy="257175"/>
                                      </a:xfrm>
                                      <a:prstGeom prst="rect">
                                        <a:avLst/>
                                      </a:prstGeom>
                                    </pic:spPr>
                                  </pic:pic>
                                </a:graphicData>
                              </a:graphic>
                            </wp:inline>
                          </w:drawing>
                        </w:r>
                        <w:r>
                          <w:t xml:space="preserve"> p-ERK ½ (42-44 kDa)</w:t>
                        </w:r>
                        <w:r w:rsidRPr="003D78E4">
                          <w:rPr>
                            <w:noProof/>
                          </w:rPr>
                          <w:drawing>
                            <wp:inline distT="0" distB="0" distL="0" distR="0" wp14:anchorId="6220E54D" wp14:editId="230995A3">
                              <wp:extent cx="1533525" cy="247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33525" cy="247650"/>
                                      </a:xfrm>
                                      <a:prstGeom prst="rect">
                                        <a:avLst/>
                                      </a:prstGeom>
                                    </pic:spPr>
                                  </pic:pic>
                                </a:graphicData>
                              </a:graphic>
                            </wp:inline>
                          </w:drawing>
                        </w:r>
                        <w:r>
                          <w:t xml:space="preserve"> ERK ½ </w:t>
                        </w:r>
                      </w:p>
                      <w:p w:rsidR="00580529" w:rsidRDefault="00580529" w:rsidP="0075144C">
                        <w:pPr>
                          <w:spacing w:after="0" w:line="240" w:lineRule="auto"/>
                        </w:pPr>
                        <w:r w:rsidRPr="004F143C">
                          <w:rPr>
                            <w:noProof/>
                          </w:rPr>
                          <w:drawing>
                            <wp:inline distT="0" distB="0" distL="0" distR="0" wp14:anchorId="41BE5FD0" wp14:editId="3F6E80FC">
                              <wp:extent cx="1524000" cy="238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238125"/>
                                      </a:xfrm>
                                      <a:prstGeom prst="rect">
                                        <a:avLst/>
                                      </a:prstGeom>
                                      <a:noFill/>
                                      <a:ln>
                                        <a:noFill/>
                                      </a:ln>
                                    </pic:spPr>
                                  </pic:pic>
                                </a:graphicData>
                              </a:graphic>
                            </wp:inline>
                          </w:drawing>
                        </w:r>
                        <w:r>
                          <w:t xml:space="preserve"> p-STAT3 (80 kDa)</w:t>
                        </w:r>
                        <w:r>
                          <w:tab/>
                        </w:r>
                      </w:p>
                      <w:p w:rsidR="00580529" w:rsidRDefault="00580529" w:rsidP="0075144C">
                        <w:pPr>
                          <w:spacing w:after="0" w:line="240" w:lineRule="auto"/>
                        </w:pPr>
                        <w:r w:rsidRPr="004F143C">
                          <w:rPr>
                            <w:noProof/>
                          </w:rPr>
                          <w:drawing>
                            <wp:inline distT="0" distB="0" distL="0" distR="0" wp14:anchorId="0D5715E6" wp14:editId="60EFBD91">
                              <wp:extent cx="1524000" cy="236838"/>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4748" cy="240062"/>
                                      </a:xfrm>
                                      <a:prstGeom prst="rect">
                                        <a:avLst/>
                                      </a:prstGeom>
                                      <a:noFill/>
                                      <a:ln>
                                        <a:noFill/>
                                      </a:ln>
                                    </pic:spPr>
                                  </pic:pic>
                                </a:graphicData>
                              </a:graphic>
                            </wp:inline>
                          </w:drawing>
                        </w:r>
                        <w:r>
                          <w:t xml:space="preserve"> STAT3 (80 kDa)</w:t>
                        </w:r>
                        <w:r>
                          <w:tab/>
                        </w:r>
                      </w:p>
                      <w:p w:rsidR="00580529" w:rsidRDefault="00580529" w:rsidP="0075144C">
                        <w:pPr>
                          <w:spacing w:after="0" w:line="240" w:lineRule="auto"/>
                        </w:pPr>
                        <w:r w:rsidRPr="004F143C">
                          <w:rPr>
                            <w:noProof/>
                          </w:rPr>
                          <w:drawing>
                            <wp:inline distT="0" distB="0" distL="0" distR="0" wp14:anchorId="68485989" wp14:editId="3A9FD242">
                              <wp:extent cx="1524000" cy="238125"/>
                              <wp:effectExtent l="0" t="0" r="0"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0" cy="238125"/>
                                      </a:xfrm>
                                      <a:prstGeom prst="rect">
                                        <a:avLst/>
                                      </a:prstGeom>
                                      <a:noFill/>
                                      <a:ln>
                                        <a:noFill/>
                                      </a:ln>
                                    </pic:spPr>
                                  </pic:pic>
                                </a:graphicData>
                              </a:graphic>
                            </wp:inline>
                          </w:drawing>
                        </w:r>
                        <w:r>
                          <w:t xml:space="preserve"> Actin (41 kDa)</w:t>
                        </w:r>
                      </w:p>
                      <w:p w:rsidR="00580529" w:rsidRDefault="00580529" w:rsidP="0075144C">
                        <w:pPr>
                          <w:spacing w:after="0" w:line="240" w:lineRule="auto"/>
                        </w:pPr>
                        <w:r>
                          <w:t xml:space="preserve">      0          0       25      50 BG-4 (µg/mL)</w:t>
                        </w:r>
                      </w:p>
                      <w:p w:rsidR="00580529" w:rsidRDefault="00580529" w:rsidP="0075144C">
                        <w:pPr>
                          <w:pStyle w:val="ListParagraph"/>
                          <w:numPr>
                            <w:ilvl w:val="0"/>
                            <w:numId w:val="7"/>
                          </w:numPr>
                          <w:spacing w:after="0" w:line="240" w:lineRule="auto"/>
                        </w:pPr>
                        <w:r>
                          <w:t xml:space="preserve">     +        +        +  LPS (1 µg/mL)</w:t>
                        </w:r>
                      </w:p>
                    </w:txbxContent>
                  </v:textbox>
                </v:shape>
              </v:group>
            </w:pict>
          </mc:Fallback>
        </mc:AlternateContent>
      </w:r>
      <w:r>
        <w:rPr>
          <w:rFonts w:ascii="Arial" w:hAnsi="Arial" w:cs="Arial"/>
          <w:b/>
        </w:rPr>
        <w:t>A)</w:t>
      </w:r>
    </w:p>
    <w:p w:rsidR="0075144C" w:rsidRDefault="004A2675" w:rsidP="00A25B6E">
      <w:pPr>
        <w:spacing w:after="0"/>
        <w:ind w:left="360"/>
        <w:rPr>
          <w:rFonts w:ascii="Arial" w:hAnsi="Arial" w:cs="Arial"/>
          <w:b/>
        </w:rPr>
      </w:pPr>
      <w:r>
        <w:rPr>
          <w:rFonts w:ascii="Arial" w:hAnsi="Arial" w:cs="Arial"/>
          <w:b/>
        </w:rPr>
        <w:t>A)</w:t>
      </w: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4A2675" w:rsidP="00A25B6E">
      <w:pPr>
        <w:spacing w:after="0"/>
        <w:ind w:left="360"/>
        <w:rPr>
          <w:rFonts w:ascii="Arial" w:hAnsi="Arial" w:cs="Arial"/>
          <w:b/>
        </w:rPr>
      </w:pPr>
      <w:r>
        <w:rPr>
          <w:rFonts w:ascii="Arial" w:hAnsi="Arial" w:cs="Arial"/>
          <w:b/>
        </w:rPr>
        <w:t>B)</w:t>
      </w: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p w:rsidR="0075144C" w:rsidRDefault="0075144C" w:rsidP="00A25B6E">
      <w:pPr>
        <w:spacing w:after="0"/>
        <w:ind w:left="360"/>
        <w:rPr>
          <w:rFonts w:ascii="Arial" w:hAnsi="Arial" w:cs="Arial"/>
          <w:b/>
        </w:rPr>
      </w:pPr>
    </w:p>
    <w:tbl>
      <w:tblPr>
        <w:tblStyle w:val="TableGrid"/>
        <w:tblW w:w="0" w:type="auto"/>
        <w:tblInd w:w="36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0"/>
      </w:tblGrid>
      <w:tr w:rsidR="0075144C" w:rsidTr="00B36818">
        <w:tc>
          <w:tcPr>
            <w:tcW w:w="9350" w:type="dxa"/>
            <w:tcBorders>
              <w:top w:val="single" w:sz="4" w:space="0" w:color="auto"/>
              <w:bottom w:val="single" w:sz="4" w:space="0" w:color="auto"/>
            </w:tcBorders>
          </w:tcPr>
          <w:p w:rsidR="001469A1" w:rsidRPr="00D039A0" w:rsidRDefault="0075144C" w:rsidP="001469A1">
            <w:pPr>
              <w:rPr>
                <w:rFonts w:cstheme="minorHAnsi"/>
                <w:sz w:val="20"/>
                <w:szCs w:val="20"/>
              </w:rPr>
            </w:pPr>
            <w:r w:rsidRPr="00D039A0">
              <w:rPr>
                <w:rFonts w:cstheme="minorHAnsi"/>
                <w:b/>
                <w:sz w:val="20"/>
                <w:szCs w:val="20"/>
              </w:rPr>
              <w:t>Figure 3</w:t>
            </w:r>
            <w:r w:rsidR="001469A1" w:rsidRPr="00D039A0">
              <w:rPr>
                <w:rFonts w:cstheme="minorHAnsi"/>
                <w:b/>
                <w:sz w:val="20"/>
                <w:szCs w:val="20"/>
              </w:rPr>
              <w:t xml:space="preserve"> </w:t>
            </w:r>
            <w:r w:rsidR="001469A1" w:rsidRPr="00D039A0">
              <w:rPr>
                <w:rFonts w:cstheme="minorHAnsi"/>
                <w:sz w:val="20"/>
                <w:szCs w:val="20"/>
              </w:rPr>
              <w:t>Negative control shows very low expression as seen in the Western Blot</w:t>
            </w:r>
          </w:p>
          <w:p w:rsidR="001469A1" w:rsidRPr="00D039A0" w:rsidRDefault="001469A1" w:rsidP="001469A1">
            <w:pPr>
              <w:rPr>
                <w:rFonts w:cstheme="minorHAnsi"/>
                <w:sz w:val="20"/>
                <w:szCs w:val="20"/>
              </w:rPr>
            </w:pPr>
            <w:r w:rsidRPr="00D039A0">
              <w:rPr>
                <w:rFonts w:cstheme="minorHAnsi"/>
                <w:sz w:val="20"/>
                <w:szCs w:val="20"/>
              </w:rPr>
              <w:t>-Overall BG-4 significantly blocked the expression of p-ERK but not p-STAT3</w:t>
            </w:r>
          </w:p>
          <w:p w:rsidR="0075144C" w:rsidRDefault="00B662A7" w:rsidP="00A25B6E">
            <w:pPr>
              <w:rPr>
                <w:rFonts w:ascii="Arial" w:hAnsi="Arial" w:cs="Arial"/>
              </w:rPr>
            </w:pPr>
            <w:r>
              <w:rPr>
                <w:rFonts w:ascii="Arial" w:hAnsi="Arial" w:cs="Arial"/>
              </w:rPr>
              <w:t xml:space="preserve"> </w:t>
            </w:r>
          </w:p>
        </w:tc>
      </w:tr>
    </w:tbl>
    <w:p w:rsidR="009670D2" w:rsidRPr="0075144C" w:rsidRDefault="009670D2" w:rsidP="00A25B6E">
      <w:pPr>
        <w:spacing w:after="0"/>
        <w:ind w:left="360"/>
        <w:rPr>
          <w:rFonts w:ascii="Arial" w:hAnsi="Arial" w:cs="Arial"/>
        </w:rPr>
      </w:pPr>
    </w:p>
    <w:p w:rsidR="009670D2" w:rsidRDefault="009670D2" w:rsidP="00A25B6E">
      <w:pPr>
        <w:spacing w:after="0"/>
        <w:ind w:left="360"/>
        <w:rPr>
          <w:rFonts w:ascii="Arial" w:hAnsi="Arial" w:cs="Arial"/>
          <w:b/>
        </w:rPr>
      </w:pPr>
    </w:p>
    <w:p w:rsidR="009670D2" w:rsidRDefault="009670D2" w:rsidP="00A25B6E">
      <w:pPr>
        <w:spacing w:after="0"/>
        <w:ind w:left="360"/>
        <w:rPr>
          <w:rFonts w:ascii="Arial" w:hAnsi="Arial" w:cs="Arial"/>
          <w:b/>
        </w:rPr>
      </w:pPr>
    </w:p>
    <w:p w:rsidR="009670D2" w:rsidRDefault="009670D2" w:rsidP="00A25B6E">
      <w:pPr>
        <w:spacing w:after="0"/>
        <w:ind w:left="360"/>
        <w:rPr>
          <w:rFonts w:ascii="Arial" w:hAnsi="Arial" w:cs="Arial"/>
          <w:b/>
        </w:rPr>
      </w:pPr>
    </w:p>
    <w:p w:rsidR="00A25B6E" w:rsidRPr="00A25B6E" w:rsidRDefault="001469A1" w:rsidP="00A25B6E">
      <w:pPr>
        <w:spacing w:after="0"/>
        <w:ind w:left="360"/>
        <w:rPr>
          <w:rFonts w:ascii="Arial" w:hAnsi="Arial" w:cs="Arial"/>
          <w:b/>
        </w:rPr>
      </w:pPr>
      <w:r w:rsidRPr="00A25B6E">
        <w:rPr>
          <w:rFonts w:ascii="Arial" w:hAnsi="Arial" w:cs="Arial"/>
          <w:noProof/>
        </w:rPr>
        <w:lastRenderedPageBreak/>
        <w:drawing>
          <wp:anchor distT="0" distB="0" distL="114300" distR="114300" simplePos="0" relativeHeight="251674624" behindDoc="0" locked="0" layoutInCell="1" allowOverlap="1">
            <wp:simplePos x="0" y="0"/>
            <wp:positionH relativeFrom="column">
              <wp:posOffset>-238125</wp:posOffset>
            </wp:positionH>
            <wp:positionV relativeFrom="paragraph">
              <wp:posOffset>171450</wp:posOffset>
            </wp:positionV>
            <wp:extent cx="6667500" cy="2261870"/>
            <wp:effectExtent l="0" t="0" r="0" b="5080"/>
            <wp:wrapSquare wrapText="bothSides"/>
            <wp:docPr id="9" name="Picture 9" descr="C:\Users\vdia\Desktop\BG-4\Lynsey\THP1_pics_3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dia\Desktop\BG-4\Lynsey\THP1_pics_300dpi.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0" cy="2261870"/>
                    </a:xfrm>
                    <a:prstGeom prst="rect">
                      <a:avLst/>
                    </a:prstGeom>
                    <a:noFill/>
                    <a:ln>
                      <a:noFill/>
                    </a:ln>
                  </pic:spPr>
                </pic:pic>
              </a:graphicData>
            </a:graphic>
          </wp:anchor>
        </w:drawing>
      </w:r>
      <w:r w:rsidR="00A25B6E" w:rsidRPr="00A25B6E">
        <w:rPr>
          <w:rFonts w:ascii="Arial" w:hAnsi="Arial" w:cs="Arial"/>
          <w:b/>
        </w:rPr>
        <w:t>A)</w:t>
      </w:r>
    </w:p>
    <w:p w:rsidR="00A25B6E" w:rsidRDefault="00A25B6E" w:rsidP="00A25B6E">
      <w:pPr>
        <w:spacing w:after="0"/>
        <w:ind w:left="360"/>
        <w:rPr>
          <w:rFonts w:ascii="Arial" w:hAnsi="Arial" w:cs="Arial"/>
          <w:b/>
        </w:rPr>
      </w:pPr>
    </w:p>
    <w:p w:rsidR="009D513F" w:rsidRPr="009D513F" w:rsidRDefault="009D513F" w:rsidP="009D513F">
      <w:pPr>
        <w:pStyle w:val="ListParagraph"/>
        <w:rPr>
          <w:b/>
          <w:sz w:val="24"/>
          <w:szCs w:val="24"/>
        </w:rPr>
      </w:pPr>
      <w:r w:rsidRPr="009D513F">
        <w:rPr>
          <w:b/>
          <w:sz w:val="24"/>
          <w:szCs w:val="24"/>
        </w:rPr>
        <w:t>B)</w:t>
      </w:r>
    </w:p>
    <w:p w:rsidR="00A25B6E" w:rsidRPr="00A25B6E" w:rsidRDefault="009D513F" w:rsidP="009D513F">
      <w:pPr>
        <w:spacing w:after="0"/>
        <w:rPr>
          <w:rFonts w:ascii="Arial" w:hAnsi="Arial" w:cs="Arial"/>
          <w:b/>
        </w:rPr>
      </w:pPr>
      <w:r w:rsidRPr="00A25B6E">
        <w:rPr>
          <w:rFonts w:ascii="Arial" w:hAnsi="Arial" w:cs="Arial"/>
          <w:b/>
          <w:noProof/>
        </w:rPr>
        <w:drawing>
          <wp:anchor distT="0" distB="0" distL="114300" distR="114300" simplePos="0" relativeHeight="251676672" behindDoc="0" locked="0" layoutInCell="1" allowOverlap="1">
            <wp:simplePos x="0" y="0"/>
            <wp:positionH relativeFrom="column">
              <wp:posOffset>-85725</wp:posOffset>
            </wp:positionH>
            <wp:positionV relativeFrom="paragraph">
              <wp:posOffset>195580</wp:posOffset>
            </wp:positionV>
            <wp:extent cx="3257550" cy="2505075"/>
            <wp:effectExtent l="0" t="0" r="0" b="9525"/>
            <wp:wrapSquare wrapText="bothSides"/>
            <wp:docPr id="10" name="Picture 10" descr="C:\Users\vdia\Desktop\BG-4\Lynsey\THP_1ROS_3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dia\Desktop\BG-4\Lynsey\THP_1ROS_300dpi.tif"/>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57550" cy="2505075"/>
                    </a:xfrm>
                    <a:prstGeom prst="rect">
                      <a:avLst/>
                    </a:prstGeom>
                    <a:noFill/>
                    <a:ln>
                      <a:noFill/>
                    </a:ln>
                  </pic:spPr>
                </pic:pic>
              </a:graphicData>
            </a:graphic>
          </wp:anchor>
        </w:drawing>
      </w:r>
      <w:r w:rsidRPr="00A25B6E">
        <w:rPr>
          <w:rFonts w:ascii="Arial" w:hAnsi="Arial" w:cs="Arial"/>
          <w:b/>
          <w:noProof/>
        </w:rPr>
        <mc:AlternateContent>
          <mc:Choice Requires="wps">
            <w:drawing>
              <wp:anchor distT="0" distB="0" distL="114300" distR="114300" simplePos="0" relativeHeight="251666432" behindDoc="0" locked="0" layoutInCell="1" allowOverlap="1" wp14:anchorId="1FF5B17C" wp14:editId="2FA69A18">
                <wp:simplePos x="0" y="0"/>
                <wp:positionH relativeFrom="column">
                  <wp:posOffset>3486150</wp:posOffset>
                </wp:positionH>
                <wp:positionV relativeFrom="paragraph">
                  <wp:posOffset>2752725</wp:posOffset>
                </wp:positionV>
                <wp:extent cx="316230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31623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2629331" id="Straight Connector 1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74.5pt,216.75pt" to="523.5pt,2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" strokecolor="windowText" strokeweight=".5pt">
                <v:stroke joinstyle="miter"/>
              </v:line>
            </w:pict>
          </mc:Fallback>
        </mc:AlternateContent>
      </w:r>
      <w:r w:rsidRPr="00A25B6E">
        <w:rPr>
          <w:rFonts w:ascii="Arial" w:hAnsi="Arial" w:cs="Arial"/>
          <w:b/>
          <w:noProof/>
        </w:rPr>
        <mc:AlternateContent>
          <mc:Choice Requires="wps">
            <w:drawing>
              <wp:anchor distT="45720" distB="45720" distL="114300" distR="114300" simplePos="0" relativeHeight="251664384" behindDoc="0" locked="0" layoutInCell="1" allowOverlap="1" wp14:anchorId="25725F77" wp14:editId="2FC51C6B">
                <wp:simplePos x="0" y="0"/>
                <wp:positionH relativeFrom="margin">
                  <wp:posOffset>3438525</wp:posOffset>
                </wp:positionH>
                <wp:positionV relativeFrom="paragraph">
                  <wp:posOffset>191135</wp:posOffset>
                </wp:positionV>
                <wp:extent cx="3257550" cy="1404620"/>
                <wp:effectExtent l="0" t="0" r="0" b="57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1404620"/>
                        </a:xfrm>
                        <a:prstGeom prst="rect">
                          <a:avLst/>
                        </a:prstGeom>
                        <a:solidFill>
                          <a:srgbClr val="FFFFFF"/>
                        </a:solidFill>
                        <a:ln w="9525">
                          <a:noFill/>
                          <a:miter lim="800000"/>
                          <a:headEnd/>
                          <a:tailEnd/>
                        </a:ln>
                      </wps:spPr>
                      <wps:txbx>
                        <w:txbxContent>
                          <w:p w:rsidR="00580529" w:rsidRPr="00D039A0" w:rsidRDefault="00580529" w:rsidP="00A25B6E">
                            <w:pPr>
                              <w:rPr>
                                <w:rFonts w:cstheme="minorHAnsi"/>
                                <w:sz w:val="20"/>
                                <w:szCs w:val="20"/>
                              </w:rPr>
                            </w:pPr>
                            <w:r w:rsidRPr="00D039A0">
                              <w:rPr>
                                <w:rFonts w:cstheme="minorHAnsi"/>
                                <w:b/>
                                <w:sz w:val="20"/>
                                <w:szCs w:val="20"/>
                              </w:rPr>
                              <w:t>Figure 4. BG-4 pre-treatment reduced intracellular reactive oxygen species production in LPS-induced THP-1 macrophages. A)</w:t>
                            </w:r>
                            <w:r w:rsidRPr="00D039A0">
                              <w:rPr>
                                <w:rFonts w:cstheme="minorHAnsi"/>
                                <w:sz w:val="20"/>
                                <w:szCs w:val="20"/>
                              </w:rPr>
                              <w:t xml:space="preserve"> Images of THP-1 cells stained with H</w:t>
                            </w:r>
                            <w:r w:rsidRPr="00D039A0">
                              <w:rPr>
                                <w:rFonts w:cstheme="minorHAnsi"/>
                                <w:sz w:val="20"/>
                                <w:szCs w:val="20"/>
                                <w:vertAlign w:val="subscript"/>
                              </w:rPr>
                              <w:t>2</w:t>
                            </w:r>
                            <w:r w:rsidRPr="00D039A0">
                              <w:rPr>
                                <w:rFonts w:cstheme="minorHAnsi"/>
                                <w:sz w:val="20"/>
                                <w:szCs w:val="20"/>
                              </w:rPr>
                              <w:t xml:space="preserve">DCFDA. Upper panel shows THP-1 cells at 4x magnification (scale bar is 1000 µm) while lower panel shows THP-1 cells at 20x magnification (scale bar is 200 µm). The green fluorescence indicates the degree of intracellular reactive oxygen generation and as shown BG-4 dose-dependently reduce green fluorescence. </w:t>
                            </w:r>
                            <w:r w:rsidRPr="00D039A0">
                              <w:rPr>
                                <w:rFonts w:cstheme="minorHAnsi"/>
                                <w:b/>
                                <w:sz w:val="20"/>
                                <w:szCs w:val="20"/>
                              </w:rPr>
                              <w:t xml:space="preserve">B) </w:t>
                            </w:r>
                            <w:r w:rsidRPr="00D039A0">
                              <w:rPr>
                                <w:rFonts w:cstheme="minorHAnsi"/>
                                <w:sz w:val="20"/>
                                <w:szCs w:val="20"/>
                              </w:rPr>
                              <w:t xml:space="preserve">The reduction in green fluorescence was validated by quantitative fluorescence spectrophotometry experiment indicating that BG-4 starting at 6.25 ppm dose-dependently reduce intracellular reactive oxygen. Bars with different letter are significantly different from each other (P &lt; 0.05, n </w:t>
                            </w:r>
                            <w:r w:rsidRPr="00D039A0">
                              <w:rPr>
                                <w:rFonts w:cstheme="minorHAnsi"/>
                                <w:sz w:val="20"/>
                                <w:szCs w:val="20"/>
                                <w:u w:val="single"/>
                              </w:rPr>
                              <w:t>&gt;</w:t>
                            </w:r>
                            <w:r w:rsidRPr="00D039A0">
                              <w:rPr>
                                <w:rFonts w:cstheme="minorHAnsi"/>
                                <w:sz w:val="20"/>
                                <w:szCs w:val="20"/>
                              </w:rPr>
                              <w:t xml:space="preserve"> 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725F77" id="Text Box 2" o:spid="_x0000_s1031" type="#_x0000_t202" style="position:absolute;margin-left:270.75pt;margin-top:15.05pt;width:256.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" stroked="f">
                <v:textbox style="mso-fit-shape-to-text:t">
                  <w:txbxContent>
                    <w:p w:rsidR="00580529" w:rsidRPr="00D039A0" w:rsidRDefault="00580529" w:rsidP="00A25B6E">
                      <w:pPr>
                        <w:rPr>
                          <w:rFonts w:cstheme="minorHAnsi"/>
                          <w:sz w:val="20"/>
                          <w:szCs w:val="20"/>
                        </w:rPr>
                      </w:pPr>
                      <w:r w:rsidRPr="00D039A0">
                        <w:rPr>
                          <w:rFonts w:cstheme="minorHAnsi"/>
                          <w:b/>
                          <w:sz w:val="20"/>
                          <w:szCs w:val="20"/>
                        </w:rPr>
                        <w:t>Figure 4. BG-4 pre-treatment reduced intracellular reactive oxygen species production in LPS-induced THP-1 macrophages. A)</w:t>
                      </w:r>
                      <w:r w:rsidRPr="00D039A0">
                        <w:rPr>
                          <w:rFonts w:cstheme="minorHAnsi"/>
                          <w:sz w:val="20"/>
                          <w:szCs w:val="20"/>
                        </w:rPr>
                        <w:t xml:space="preserve"> Images of THP-1 cells stained with H</w:t>
                      </w:r>
                      <w:r w:rsidRPr="00D039A0">
                        <w:rPr>
                          <w:rFonts w:cstheme="minorHAnsi"/>
                          <w:sz w:val="20"/>
                          <w:szCs w:val="20"/>
                          <w:vertAlign w:val="subscript"/>
                        </w:rPr>
                        <w:t>2</w:t>
                      </w:r>
                      <w:r w:rsidRPr="00D039A0">
                        <w:rPr>
                          <w:rFonts w:cstheme="minorHAnsi"/>
                          <w:sz w:val="20"/>
                          <w:szCs w:val="20"/>
                        </w:rPr>
                        <w:t xml:space="preserve">DCFDA. Upper panel shows THP-1 cells at 4x magnification (scale bar is 1000 µm) while lower panel shows THP-1 cells at 20x magnification (scale bar is 200 µm). The green fluorescence indicates the degree of intracellular reactive oxygen generation and as shown BG-4 dose-dependently reduce green fluorescence. </w:t>
                      </w:r>
                      <w:r w:rsidRPr="00D039A0">
                        <w:rPr>
                          <w:rFonts w:cstheme="minorHAnsi"/>
                          <w:b/>
                          <w:sz w:val="20"/>
                          <w:szCs w:val="20"/>
                        </w:rPr>
                        <w:t xml:space="preserve">B) </w:t>
                      </w:r>
                      <w:r w:rsidRPr="00D039A0">
                        <w:rPr>
                          <w:rFonts w:cstheme="minorHAnsi"/>
                          <w:sz w:val="20"/>
                          <w:szCs w:val="20"/>
                        </w:rPr>
                        <w:t xml:space="preserve">The reduction in green fluorescence was validated by quantitative fluorescence spectrophotometry experiment indicating that BG-4 starting at 6.25 ppm dose-dependently reduce intracellular reactive oxygen. Bars with different letter are significantly different from each other (P &lt; 0.05, n </w:t>
                      </w:r>
                      <w:r w:rsidRPr="00D039A0">
                        <w:rPr>
                          <w:rFonts w:cstheme="minorHAnsi"/>
                          <w:sz w:val="20"/>
                          <w:szCs w:val="20"/>
                          <w:u w:val="single"/>
                        </w:rPr>
                        <w:t>&gt;</w:t>
                      </w:r>
                      <w:r w:rsidRPr="00D039A0">
                        <w:rPr>
                          <w:rFonts w:cstheme="minorHAnsi"/>
                          <w:sz w:val="20"/>
                          <w:szCs w:val="20"/>
                        </w:rPr>
                        <w:t xml:space="preserve"> 5).</w:t>
                      </w:r>
                    </w:p>
                  </w:txbxContent>
                </v:textbox>
                <w10:wrap type="square" anchorx="margin"/>
              </v:shape>
            </w:pict>
          </mc:Fallback>
        </mc:AlternateContent>
      </w:r>
      <w:r w:rsidRPr="00A25B6E">
        <w:rPr>
          <w:rFonts w:ascii="Arial" w:hAnsi="Arial" w:cs="Arial"/>
          <w:b/>
          <w:noProof/>
        </w:rPr>
        <mc:AlternateContent>
          <mc:Choice Requires="wps">
            <w:drawing>
              <wp:anchor distT="0" distB="0" distL="114300" distR="114300" simplePos="0" relativeHeight="251665408" behindDoc="0" locked="0" layoutInCell="1" allowOverlap="1" wp14:anchorId="37DFF396" wp14:editId="25909C9B">
                <wp:simplePos x="0" y="0"/>
                <wp:positionH relativeFrom="column">
                  <wp:posOffset>3486150</wp:posOffset>
                </wp:positionH>
                <wp:positionV relativeFrom="paragraph">
                  <wp:posOffset>190500</wp:posOffset>
                </wp:positionV>
                <wp:extent cx="316230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31623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97BCFB1" id="Straight Connector 1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74.5pt,15pt" to="52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" strokecolor="windowText" strokeweight=".5pt">
                <v:stroke joinstyle="miter"/>
              </v:line>
            </w:pict>
          </mc:Fallback>
        </mc:AlternateContent>
      </w:r>
    </w:p>
    <w:p w:rsidR="00A25B6E" w:rsidRDefault="00A25B6E" w:rsidP="0022676B">
      <w:pPr>
        <w:pStyle w:val="ListParagraph"/>
        <w:rPr>
          <w:sz w:val="24"/>
          <w:szCs w:val="24"/>
        </w:rPr>
      </w:pPr>
    </w:p>
    <w:p w:rsidR="009D513F" w:rsidRDefault="009D513F" w:rsidP="00A25B6E">
      <w:pPr>
        <w:spacing w:after="0"/>
        <w:ind w:left="360"/>
        <w:rPr>
          <w:rFonts w:ascii="Arial" w:hAnsi="Arial" w:cs="Arial"/>
          <w:b/>
        </w:rPr>
      </w:pPr>
    </w:p>
    <w:p w:rsidR="009D513F" w:rsidRDefault="009D513F" w:rsidP="00A25B6E">
      <w:pPr>
        <w:spacing w:after="0"/>
        <w:ind w:left="360"/>
        <w:rPr>
          <w:rFonts w:ascii="Arial" w:hAnsi="Arial" w:cs="Arial"/>
          <w:b/>
        </w:rPr>
      </w:pPr>
    </w:p>
    <w:p w:rsidR="009D513F" w:rsidRDefault="009D513F" w:rsidP="00A25B6E">
      <w:pPr>
        <w:spacing w:after="0"/>
        <w:ind w:left="360"/>
        <w:rPr>
          <w:rFonts w:ascii="Arial" w:hAnsi="Arial" w:cs="Arial"/>
          <w:b/>
        </w:rPr>
      </w:pPr>
    </w:p>
    <w:p w:rsidR="009D513F" w:rsidRDefault="009D513F" w:rsidP="00A25B6E">
      <w:pPr>
        <w:spacing w:after="0"/>
        <w:ind w:left="360"/>
        <w:rPr>
          <w:rFonts w:ascii="Arial" w:hAnsi="Arial" w:cs="Arial"/>
          <w:b/>
        </w:rPr>
      </w:pPr>
    </w:p>
    <w:p w:rsidR="009D513F" w:rsidRDefault="009D513F" w:rsidP="00A25B6E">
      <w:pPr>
        <w:spacing w:after="0"/>
        <w:ind w:left="360"/>
        <w:rPr>
          <w:rFonts w:ascii="Arial" w:hAnsi="Arial" w:cs="Arial"/>
          <w:b/>
        </w:rPr>
      </w:pPr>
    </w:p>
    <w:p w:rsidR="009D513F" w:rsidRDefault="009D513F" w:rsidP="00A25B6E">
      <w:pPr>
        <w:spacing w:after="0"/>
        <w:ind w:left="360"/>
        <w:rPr>
          <w:rFonts w:ascii="Arial" w:hAnsi="Arial" w:cs="Arial"/>
          <w:b/>
        </w:rPr>
      </w:pPr>
    </w:p>
    <w:p w:rsidR="009D513F" w:rsidRDefault="009D513F" w:rsidP="00A25B6E">
      <w:pPr>
        <w:spacing w:after="0"/>
        <w:ind w:left="360"/>
        <w:rPr>
          <w:rFonts w:ascii="Arial" w:hAnsi="Arial" w:cs="Arial"/>
          <w:b/>
        </w:rPr>
      </w:pPr>
    </w:p>
    <w:p w:rsidR="009D513F" w:rsidRDefault="009D513F" w:rsidP="00A25B6E">
      <w:pPr>
        <w:spacing w:after="0"/>
        <w:ind w:left="360"/>
        <w:rPr>
          <w:rFonts w:ascii="Arial" w:hAnsi="Arial" w:cs="Arial"/>
          <w:b/>
        </w:rPr>
      </w:pPr>
    </w:p>
    <w:p w:rsidR="00A25B6E" w:rsidRPr="00A25B6E" w:rsidRDefault="00A25B6E" w:rsidP="00A25B6E">
      <w:pPr>
        <w:spacing w:after="0"/>
        <w:ind w:left="360"/>
        <w:rPr>
          <w:rFonts w:ascii="Arial" w:hAnsi="Arial" w:cs="Arial"/>
          <w:b/>
        </w:rPr>
      </w:pPr>
    </w:p>
    <w:p w:rsidR="00A25B6E" w:rsidRPr="00A25B6E" w:rsidRDefault="004A2675" w:rsidP="00A25B6E">
      <w:pPr>
        <w:spacing w:after="0"/>
        <w:ind w:left="360"/>
        <w:rPr>
          <w:rFonts w:ascii="Arial" w:hAnsi="Arial" w:cs="Arial"/>
          <w:b/>
        </w:rPr>
      </w:pPr>
      <w:r>
        <w:rPr>
          <w:rFonts w:ascii="Arial" w:hAnsi="Arial" w:cs="Arial"/>
          <w:b/>
        </w:rPr>
        <w:lastRenderedPageBreak/>
        <w:t>A)</w:t>
      </w:r>
      <w:r w:rsidR="00A25B6E" w:rsidRPr="00A25B6E">
        <w:rPr>
          <w:rFonts w:ascii="Arial" w:hAnsi="Arial" w:cs="Arial"/>
          <w:b/>
          <w:noProof/>
        </w:rPr>
        <w:drawing>
          <wp:inline distT="0" distB="0" distL="0" distR="0" wp14:anchorId="12E01264" wp14:editId="392E4CB0">
            <wp:extent cx="6515100" cy="3172246"/>
            <wp:effectExtent l="0" t="0" r="0" b="9525"/>
            <wp:docPr id="14" name="Picture 14" descr="C:\Users\vdia\Desktop\BG-4\p65combined_300 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dia\Desktop\BG-4\p65combined_300 dpi.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25960" cy="3177534"/>
                    </a:xfrm>
                    <a:prstGeom prst="rect">
                      <a:avLst/>
                    </a:prstGeom>
                    <a:noFill/>
                    <a:ln>
                      <a:noFill/>
                    </a:ln>
                  </pic:spPr>
                </pic:pic>
              </a:graphicData>
            </a:graphic>
          </wp:inline>
        </w:drawing>
      </w:r>
    </w:p>
    <w:p w:rsidR="008E3604" w:rsidRPr="008E3604" w:rsidRDefault="009D513F" w:rsidP="009D513F">
      <w:pPr>
        <w:spacing w:after="0"/>
        <w:ind w:left="360"/>
        <w:rPr>
          <w:rFonts w:ascii="Arial" w:hAnsi="Arial" w:cs="Arial"/>
          <w:sz w:val="20"/>
          <w:szCs w:val="20"/>
        </w:rPr>
      </w:pPr>
      <w:r w:rsidRPr="00A25B6E">
        <w:rPr>
          <w:rFonts w:ascii="Arial" w:hAnsi="Arial" w:cs="Arial"/>
          <w:b/>
          <w:noProof/>
        </w:rPr>
        <mc:AlternateContent>
          <mc:Choice Requires="wps">
            <w:drawing>
              <wp:anchor distT="0" distB="0" distL="114300" distR="114300" simplePos="0" relativeHeight="251669504" behindDoc="0" locked="0" layoutInCell="1" allowOverlap="1" wp14:anchorId="4040C4EB" wp14:editId="0FCF4211">
                <wp:simplePos x="0" y="0"/>
                <wp:positionH relativeFrom="margin">
                  <wp:posOffset>2819400</wp:posOffset>
                </wp:positionH>
                <wp:positionV relativeFrom="paragraph">
                  <wp:posOffset>109220</wp:posOffset>
                </wp:positionV>
                <wp:extent cx="3219450" cy="0"/>
                <wp:effectExtent l="0" t="0" r="19050" b="19050"/>
                <wp:wrapNone/>
                <wp:docPr id="230" name="Straight Connector 230"/>
                <wp:cNvGraphicFramePr/>
                <a:graphic xmlns:a="http://schemas.openxmlformats.org/drawingml/2006/main">
                  <a:graphicData uri="http://schemas.microsoft.com/office/word/2010/wordprocessingShape">
                    <wps:wsp>
                      <wps:cNvCnPr/>
                      <wps:spPr>
                        <a:xfrm>
                          <a:off x="0" y="0"/>
                          <a:ext cx="3219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F90F7C" id="Straight Connector 230"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2pt,8.6pt" to="475.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" strokecolor="windowText" strokeweight=".5pt">
                <v:stroke joinstyle="miter"/>
                <w10:wrap anchorx="margin"/>
              </v:line>
            </w:pict>
          </mc:Fallback>
        </mc:AlternateContent>
      </w:r>
      <w:r w:rsidRPr="00A25B6E">
        <w:rPr>
          <w:rFonts w:ascii="Arial" w:hAnsi="Arial" w:cs="Arial"/>
          <w:b/>
          <w:noProof/>
        </w:rPr>
        <mc:AlternateContent>
          <mc:Choice Requires="wps">
            <w:drawing>
              <wp:anchor distT="45720" distB="45720" distL="114300" distR="114300" simplePos="0" relativeHeight="251668480" behindDoc="0" locked="0" layoutInCell="1" allowOverlap="1" wp14:anchorId="241AC5E5" wp14:editId="3226BAFC">
                <wp:simplePos x="0" y="0"/>
                <wp:positionH relativeFrom="margin">
                  <wp:posOffset>2724150</wp:posOffset>
                </wp:positionH>
                <wp:positionV relativeFrom="paragraph">
                  <wp:posOffset>154940</wp:posOffset>
                </wp:positionV>
                <wp:extent cx="3457575" cy="1257300"/>
                <wp:effectExtent l="0" t="0" r="0"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1257300"/>
                        </a:xfrm>
                        <a:prstGeom prst="rect">
                          <a:avLst/>
                        </a:prstGeom>
                        <a:noFill/>
                        <a:ln w="9525">
                          <a:noFill/>
                          <a:miter lim="800000"/>
                          <a:headEnd/>
                          <a:tailEnd/>
                        </a:ln>
                      </wps:spPr>
                      <wps:txbx>
                        <w:txbxContent>
                          <w:p w:rsidR="00580529" w:rsidRPr="00D039A0" w:rsidRDefault="00580529" w:rsidP="004A2675">
                            <w:pPr>
                              <w:pBdr>
                                <w:bottom w:val="single" w:sz="2" w:space="1" w:color="auto"/>
                              </w:pBdr>
                              <w:spacing w:after="0" w:line="240" w:lineRule="auto"/>
                              <w:rPr>
                                <w:rFonts w:cstheme="minorHAnsi"/>
                                <w:sz w:val="20"/>
                                <w:szCs w:val="20"/>
                              </w:rPr>
                            </w:pPr>
                            <w:r w:rsidRPr="00D039A0">
                              <w:rPr>
                                <w:rFonts w:cstheme="minorHAnsi"/>
                                <w:b/>
                                <w:sz w:val="20"/>
                                <w:szCs w:val="20"/>
                              </w:rPr>
                              <w:t>Figure 5. BG-4 pre-treatment reduced the expression of NF-κB p65 subunit in the nucleus of PMA-differentiated THP-1 macrophages. A)</w:t>
                            </w:r>
                            <w:r w:rsidRPr="00D039A0">
                              <w:rPr>
                                <w:rFonts w:cstheme="minorHAnsi"/>
                                <w:sz w:val="20"/>
                                <w:szCs w:val="20"/>
                              </w:rPr>
                              <w:t xml:space="preserve"> Immunofluorescence staining of p65 in THP-1 macrophages. </w:t>
                            </w:r>
                          </w:p>
                          <w:p w:rsidR="00580529" w:rsidRPr="00DB34EC" w:rsidRDefault="00580529" w:rsidP="00A25B6E">
                            <w:pPr>
                              <w:spacing w:after="0" w:line="240" w:lineRule="auto"/>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AC5E5" id="_x0000_s1032" type="#_x0000_t202" style="position:absolute;left:0;text-align:left;margin-left:214.5pt;margin-top:12.2pt;width:272.25pt;height:99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" filled="f" stroked="f">
                <v:textbox>
                  <w:txbxContent>
                    <w:p w:rsidR="00580529" w:rsidRPr="00D039A0" w:rsidRDefault="00580529" w:rsidP="004A2675">
                      <w:pPr>
                        <w:pBdr>
                          <w:bottom w:val="single" w:sz="2" w:space="1" w:color="auto"/>
                        </w:pBdr>
                        <w:spacing w:after="0" w:line="240" w:lineRule="auto"/>
                        <w:rPr>
                          <w:rFonts w:cstheme="minorHAnsi"/>
                          <w:sz w:val="20"/>
                          <w:szCs w:val="20"/>
                        </w:rPr>
                      </w:pPr>
                      <w:r w:rsidRPr="00D039A0">
                        <w:rPr>
                          <w:rFonts w:cstheme="minorHAnsi"/>
                          <w:b/>
                          <w:sz w:val="20"/>
                          <w:szCs w:val="20"/>
                        </w:rPr>
                        <w:t>Figure 5. BG-4 pre-treatment reduced the expression of NF-κB p65 subunit in the nucleus of PMA-differentiated THP-1 macrophages. A)</w:t>
                      </w:r>
                      <w:r w:rsidRPr="00D039A0">
                        <w:rPr>
                          <w:rFonts w:cstheme="minorHAnsi"/>
                          <w:sz w:val="20"/>
                          <w:szCs w:val="20"/>
                        </w:rPr>
                        <w:t xml:space="preserve"> Immunofluorescence staining of p65 in THP-1 macrophages. </w:t>
                      </w:r>
                    </w:p>
                    <w:p w:rsidR="00580529" w:rsidRPr="00DB34EC" w:rsidRDefault="00580529" w:rsidP="00A25B6E">
                      <w:pPr>
                        <w:spacing w:after="0" w:line="240" w:lineRule="auto"/>
                        <w:rPr>
                          <w:rFonts w:ascii="Arial" w:hAnsi="Arial" w:cs="Arial"/>
                          <w:sz w:val="20"/>
                          <w:szCs w:val="20"/>
                        </w:rPr>
                      </w:pPr>
                    </w:p>
                  </w:txbxContent>
                </v:textbox>
                <w10:wrap type="square" anchorx="margin"/>
              </v:shape>
            </w:pict>
          </mc:Fallback>
        </mc:AlternateContent>
      </w:r>
      <w:r w:rsidRPr="009D513F">
        <w:rPr>
          <w:noProof/>
          <w:sz w:val="24"/>
          <w:szCs w:val="24"/>
        </w:rPr>
        <w:drawing>
          <wp:anchor distT="0" distB="0" distL="114300" distR="114300" simplePos="0" relativeHeight="251675648" behindDoc="0" locked="0" layoutInCell="1" allowOverlap="1">
            <wp:simplePos x="0" y="0"/>
            <wp:positionH relativeFrom="column">
              <wp:posOffset>0</wp:posOffset>
            </wp:positionH>
            <wp:positionV relativeFrom="paragraph">
              <wp:posOffset>283210</wp:posOffset>
            </wp:positionV>
            <wp:extent cx="2510790" cy="1064260"/>
            <wp:effectExtent l="0" t="0" r="0" b="2540"/>
            <wp:wrapSquare wrapText="bothSides"/>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1" cstate="print">
                      <a:extLst>
                        <a:ext uri="{28A0092B-C50C-407E-A947-70E740481C1C}">
                          <a14:useLocalDpi xmlns:a14="http://schemas.microsoft.com/office/drawing/2010/main" val="0"/>
                        </a:ext>
                      </a:extLst>
                    </a:blip>
                    <a:srcRect l="5586" r="52098"/>
                    <a:stretch/>
                  </pic:blipFill>
                  <pic:spPr>
                    <a:xfrm>
                      <a:off x="0" y="0"/>
                      <a:ext cx="2510790" cy="1064260"/>
                    </a:xfrm>
                    <a:prstGeom prst="rect">
                      <a:avLst/>
                    </a:prstGeom>
                  </pic:spPr>
                </pic:pic>
              </a:graphicData>
            </a:graphic>
          </wp:anchor>
        </w:drawing>
      </w:r>
      <w:r w:rsidR="008E3604" w:rsidRPr="008E3604">
        <w:rPr>
          <w:rFonts w:ascii="Arial" w:hAnsi="Arial" w:cs="Arial"/>
          <w:b/>
        </w:rPr>
        <w:t xml:space="preserve">B)    </w:t>
      </w:r>
    </w:p>
    <w:p w:rsidR="008E3604" w:rsidRDefault="008E3604" w:rsidP="0022676B">
      <w:pPr>
        <w:pStyle w:val="ListParagraph"/>
        <w:rPr>
          <w:sz w:val="24"/>
          <w:szCs w:val="24"/>
        </w:rPr>
      </w:pPr>
    </w:p>
    <w:p w:rsidR="008E3604" w:rsidRDefault="008E3604" w:rsidP="0022676B">
      <w:pPr>
        <w:pStyle w:val="ListParagraph"/>
        <w:rPr>
          <w:sz w:val="24"/>
          <w:szCs w:val="24"/>
        </w:rPr>
      </w:pPr>
    </w:p>
    <w:p w:rsidR="008E3604" w:rsidRDefault="008E3604" w:rsidP="0022676B">
      <w:pPr>
        <w:pStyle w:val="ListParagraph"/>
        <w:rPr>
          <w:sz w:val="24"/>
          <w:szCs w:val="24"/>
        </w:rPr>
      </w:pPr>
    </w:p>
    <w:p w:rsidR="008E3604" w:rsidRDefault="008E3604" w:rsidP="0022676B">
      <w:pPr>
        <w:pStyle w:val="ListParagraph"/>
        <w:rPr>
          <w:sz w:val="24"/>
          <w:szCs w:val="24"/>
        </w:rPr>
      </w:pPr>
    </w:p>
    <w:p w:rsidR="00A25B6E" w:rsidRDefault="009E5CA4" w:rsidP="009670D2">
      <w:pPr>
        <w:pStyle w:val="ListParagraph"/>
        <w:rPr>
          <w:sz w:val="24"/>
          <w:szCs w:val="24"/>
        </w:rPr>
      </w:pPr>
      <w:r w:rsidRPr="001506C1">
        <w:rPr>
          <w:rFonts w:ascii="Arial" w:hAnsi="Arial" w:cs="Arial"/>
          <w:b/>
          <w:noProof/>
        </w:rPr>
        <w:lastRenderedPageBreak/>
        <w:drawing>
          <wp:anchor distT="0" distB="0" distL="114300" distR="114300" simplePos="0" relativeHeight="251670528" behindDoc="0" locked="0" layoutInCell="1" allowOverlap="1">
            <wp:simplePos x="0" y="0"/>
            <wp:positionH relativeFrom="column">
              <wp:posOffset>0</wp:posOffset>
            </wp:positionH>
            <wp:positionV relativeFrom="paragraph">
              <wp:posOffset>517</wp:posOffset>
            </wp:positionV>
            <wp:extent cx="5943600" cy="2893653"/>
            <wp:effectExtent l="0" t="0" r="0" b="2540"/>
            <wp:wrapSquare wrapText="bothSides"/>
            <wp:docPr id="246" name="Picture 246" descr="C:\Users\vdia\Desktop\BG-4\p-STAT3combined_3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dia\Desktop\BG-4\p-STAT3combined_300dpi.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8936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5CA4" w:rsidRPr="00D039A0" w:rsidRDefault="0075144C" w:rsidP="004A2675">
      <w:pPr>
        <w:pBdr>
          <w:top w:val="single" w:sz="2" w:space="1" w:color="auto"/>
          <w:bottom w:val="single" w:sz="2" w:space="1" w:color="auto"/>
        </w:pBdr>
        <w:spacing w:after="0" w:line="240" w:lineRule="auto"/>
        <w:rPr>
          <w:rFonts w:cstheme="minorHAnsi"/>
          <w:sz w:val="20"/>
          <w:szCs w:val="20"/>
        </w:rPr>
      </w:pPr>
      <w:r w:rsidRPr="00D039A0">
        <w:rPr>
          <w:rFonts w:cstheme="minorHAnsi"/>
          <w:b/>
          <w:sz w:val="20"/>
          <w:szCs w:val="20"/>
        </w:rPr>
        <w:t>Figure 6</w:t>
      </w:r>
      <w:r w:rsidR="009E5CA4" w:rsidRPr="00D039A0">
        <w:rPr>
          <w:rFonts w:cstheme="minorHAnsi"/>
          <w:b/>
          <w:sz w:val="20"/>
          <w:szCs w:val="20"/>
        </w:rPr>
        <w:t>. BG-4 pre-treatment reduced activation of signal transducer and activator of transcription 3 (STAT3</w:t>
      </w:r>
      <w:r w:rsidR="009670D2" w:rsidRPr="00D039A0">
        <w:rPr>
          <w:rFonts w:cstheme="minorHAnsi"/>
          <w:b/>
          <w:sz w:val="20"/>
          <w:szCs w:val="20"/>
        </w:rPr>
        <w:t>)</w:t>
      </w:r>
      <w:r w:rsidR="009E5CA4" w:rsidRPr="00D039A0">
        <w:rPr>
          <w:rFonts w:cstheme="minorHAnsi"/>
          <w:sz w:val="20"/>
          <w:szCs w:val="20"/>
        </w:rPr>
        <w:t xml:space="preserve"> Immunofluorescence experiments were performed in two independent replicates and 6 random fields were photographed for each replicate (scale bar is 100 µm).</w:t>
      </w:r>
    </w:p>
    <w:p w:rsidR="009E5CA4" w:rsidRDefault="009E5CA4" w:rsidP="004A2675">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p>
    <w:p w:rsidR="004A2675" w:rsidRDefault="004A2675" w:rsidP="0022676B">
      <w:pPr>
        <w:pStyle w:val="ListParagraph"/>
        <w:rPr>
          <w:sz w:val="24"/>
          <w:szCs w:val="24"/>
        </w:rPr>
      </w:pPr>
      <w:r w:rsidRPr="004A2675">
        <w:rPr>
          <w:noProof/>
          <w:sz w:val="24"/>
          <w:szCs w:val="24"/>
        </w:rPr>
        <w:lastRenderedPageBreak/>
        <mc:AlternateContent>
          <mc:Choice Requires="wps">
            <w:drawing>
              <wp:anchor distT="45720" distB="45720" distL="114300" distR="114300" simplePos="0" relativeHeight="251678720" behindDoc="0" locked="0" layoutInCell="1" allowOverlap="1">
                <wp:simplePos x="0" y="0"/>
                <wp:positionH relativeFrom="column">
                  <wp:posOffset>-142875</wp:posOffset>
                </wp:positionH>
                <wp:positionV relativeFrom="paragraph">
                  <wp:posOffset>3514725</wp:posOffset>
                </wp:positionV>
                <wp:extent cx="6124575" cy="4000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00050"/>
                        </a:xfrm>
                        <a:prstGeom prst="rect">
                          <a:avLst/>
                        </a:prstGeom>
                        <a:solidFill>
                          <a:srgbClr val="FFFFFF"/>
                        </a:solidFill>
                        <a:ln w="9525">
                          <a:noFill/>
                          <a:miter lim="800000"/>
                          <a:headEnd/>
                          <a:tailEnd/>
                        </a:ln>
                      </wps:spPr>
                      <wps:txbx>
                        <w:txbxContent>
                          <w:p w:rsidR="004A2675" w:rsidRPr="00D039A0" w:rsidRDefault="004A2675" w:rsidP="004A2675">
                            <w:pPr>
                              <w:pBdr>
                                <w:top w:val="single" w:sz="2" w:space="1" w:color="auto"/>
                                <w:bottom w:val="single" w:sz="2" w:space="1" w:color="auto"/>
                              </w:pBdr>
                              <w:rPr>
                                <w:rFonts w:cstheme="minorHAnsi"/>
                                <w:sz w:val="20"/>
                                <w:szCs w:val="20"/>
                              </w:rPr>
                            </w:pPr>
                            <w:r w:rsidRPr="00D039A0">
                              <w:rPr>
                                <w:rFonts w:cstheme="minorHAnsi"/>
                                <w:b/>
                                <w:sz w:val="20"/>
                                <w:szCs w:val="20"/>
                              </w:rPr>
                              <w:t>Figure 7</w:t>
                            </w:r>
                            <w:r w:rsidRPr="00D039A0">
                              <w:rPr>
                                <w:rFonts w:cstheme="minorHAnsi"/>
                                <w:sz w:val="20"/>
                                <w:szCs w:val="20"/>
                              </w:rPr>
                              <w:t>. Proposed mechanism of action of inflammation prevention by BG-4.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1.25pt;margin-top:276.75pt;width:482.25pt;height:31.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" stroked="f">
                <v:textbox>
                  <w:txbxContent>
                    <w:p w:rsidR="004A2675" w:rsidRPr="00D039A0" w:rsidRDefault="004A2675" w:rsidP="004A2675">
                      <w:pPr>
                        <w:pBdr>
                          <w:top w:val="single" w:sz="2" w:space="1" w:color="auto"/>
                          <w:bottom w:val="single" w:sz="2" w:space="1" w:color="auto"/>
                        </w:pBdr>
                        <w:rPr>
                          <w:rFonts w:cstheme="minorHAnsi"/>
                          <w:sz w:val="20"/>
                          <w:szCs w:val="20"/>
                        </w:rPr>
                      </w:pPr>
                      <w:r w:rsidRPr="00D039A0">
                        <w:rPr>
                          <w:rFonts w:cstheme="minorHAnsi"/>
                          <w:b/>
                          <w:sz w:val="20"/>
                          <w:szCs w:val="20"/>
                        </w:rPr>
                        <w:t>Figure 7</w:t>
                      </w:r>
                      <w:r w:rsidRPr="00D039A0">
                        <w:rPr>
                          <w:rFonts w:cstheme="minorHAnsi"/>
                          <w:sz w:val="20"/>
                          <w:szCs w:val="20"/>
                        </w:rPr>
                        <w:t>. Proposed mechanism of action of inflammation prevention by BG-4.</w:t>
                      </w:r>
                    </w:p>
                  </w:txbxContent>
                </v:textbox>
                <w10:wrap type="square"/>
              </v:shape>
            </w:pict>
          </mc:Fallback>
        </mc:AlternateContent>
      </w:r>
      <w:r>
        <w:rPr>
          <w:noProof/>
        </w:rPr>
        <w:drawing>
          <wp:anchor distT="0" distB="0" distL="114300" distR="114300" simplePos="0" relativeHeight="251679744" behindDoc="1" locked="0" layoutInCell="1" allowOverlap="1">
            <wp:simplePos x="0" y="0"/>
            <wp:positionH relativeFrom="column">
              <wp:posOffset>276225</wp:posOffset>
            </wp:positionH>
            <wp:positionV relativeFrom="paragraph">
              <wp:posOffset>114300</wp:posOffset>
            </wp:positionV>
            <wp:extent cx="5333365" cy="3209925"/>
            <wp:effectExtent l="114300" t="114300" r="153035" b="142875"/>
            <wp:wrapTight wrapText="bothSides">
              <wp:wrapPolygon edited="0">
                <wp:start x="-463" y="-769"/>
                <wp:lineTo x="-463" y="22433"/>
                <wp:lineTo x="21988" y="22433"/>
                <wp:lineTo x="22065" y="22049"/>
                <wp:lineTo x="22143" y="1538"/>
                <wp:lineTo x="21988" y="-769"/>
                <wp:lineTo x="-463" y="-769"/>
              </wp:wrapPolygon>
            </wp:wrapTight>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18109" t="17103" r="12660" b="8780"/>
                    <a:stretch/>
                  </pic:blipFill>
                  <pic:spPr bwMode="auto">
                    <a:xfrm>
                      <a:off x="0" y="0"/>
                      <a:ext cx="5333365" cy="3209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5B6E" w:rsidRPr="00764631" w:rsidRDefault="00A25B6E" w:rsidP="0022676B">
      <w:pPr>
        <w:pStyle w:val="ListParagraph"/>
        <w:rPr>
          <w:sz w:val="24"/>
          <w:szCs w:val="24"/>
        </w:rPr>
      </w:pPr>
    </w:p>
    <w:sectPr w:rsidR="00A25B6E" w:rsidRPr="007646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20E" w:rsidRDefault="0015320E" w:rsidP="009E5CA4">
      <w:pPr>
        <w:spacing w:after="0" w:line="240" w:lineRule="auto"/>
      </w:pPr>
      <w:r>
        <w:separator/>
      </w:r>
    </w:p>
  </w:endnote>
  <w:endnote w:type="continuationSeparator" w:id="0">
    <w:p w:rsidR="0015320E" w:rsidRDefault="0015320E" w:rsidP="009E5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20E" w:rsidRDefault="0015320E" w:rsidP="009E5CA4">
      <w:pPr>
        <w:spacing w:after="0" w:line="240" w:lineRule="auto"/>
      </w:pPr>
      <w:r>
        <w:separator/>
      </w:r>
    </w:p>
  </w:footnote>
  <w:footnote w:type="continuationSeparator" w:id="0">
    <w:p w:rsidR="0015320E" w:rsidRDefault="0015320E" w:rsidP="009E5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81D69"/>
    <w:multiLevelType w:val="hybridMultilevel"/>
    <w:tmpl w:val="D8EA0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D07D12"/>
    <w:multiLevelType w:val="hybridMultilevel"/>
    <w:tmpl w:val="81DECAEC"/>
    <w:lvl w:ilvl="0" w:tplc="97E49ED2">
      <w:start w:val="1"/>
      <w:numFmt w:val="upp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B5085A"/>
    <w:multiLevelType w:val="hybridMultilevel"/>
    <w:tmpl w:val="1BF014B0"/>
    <w:lvl w:ilvl="0" w:tplc="DA0ECC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8B7038"/>
    <w:multiLevelType w:val="hybridMultilevel"/>
    <w:tmpl w:val="2334E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4A04E1"/>
    <w:multiLevelType w:val="hybridMultilevel"/>
    <w:tmpl w:val="56D0E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AE38E3"/>
    <w:multiLevelType w:val="hybridMultilevel"/>
    <w:tmpl w:val="B5FAC054"/>
    <w:lvl w:ilvl="0" w:tplc="D8DCF0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D75C2B"/>
    <w:multiLevelType w:val="hybridMultilevel"/>
    <w:tmpl w:val="C3EA8BE0"/>
    <w:lvl w:ilvl="0" w:tplc="90A80A20">
      <w:numFmt w:val="bullet"/>
      <w:lvlText w:val="-"/>
      <w:lvlJc w:val="left"/>
      <w:pPr>
        <w:ind w:left="660" w:hanging="360"/>
      </w:pPr>
      <w:rPr>
        <w:rFonts w:ascii="Calibri" w:eastAsiaTheme="minorHAnsi" w:hAnsi="Calibri" w:cstheme="minorBidi"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7" w15:restartNumberingAfterBreak="0">
    <w:nsid w:val="7A9F7E4F"/>
    <w:multiLevelType w:val="hybridMultilevel"/>
    <w:tmpl w:val="5A9C9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7"/>
  </w:num>
  <w:num w:numId="5">
    <w:abstractNumId w:val="2"/>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xv5tsd245tzxmepesxpa5p8ezxftsfv2sz0&quot;&gt;My EndNote Library&lt;record-ids&gt;&lt;item&gt;1&lt;/item&gt;&lt;item&gt;2&lt;/item&gt;&lt;item&gt;3&lt;/item&gt;&lt;item&gt;4&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record-ids&gt;&lt;/item&gt;&lt;/Libraries&gt;"/>
  </w:docVars>
  <w:rsids>
    <w:rsidRoot w:val="00EE0170"/>
    <w:rsid w:val="0003274A"/>
    <w:rsid w:val="000658D3"/>
    <w:rsid w:val="00091A7D"/>
    <w:rsid w:val="000A7099"/>
    <w:rsid w:val="000B38EE"/>
    <w:rsid w:val="0011016A"/>
    <w:rsid w:val="001140EE"/>
    <w:rsid w:val="0012264E"/>
    <w:rsid w:val="00124EB5"/>
    <w:rsid w:val="00140D46"/>
    <w:rsid w:val="0014201B"/>
    <w:rsid w:val="001469A1"/>
    <w:rsid w:val="001505E0"/>
    <w:rsid w:val="0015320E"/>
    <w:rsid w:val="00167743"/>
    <w:rsid w:val="001842AC"/>
    <w:rsid w:val="001A70CF"/>
    <w:rsid w:val="001D6C13"/>
    <w:rsid w:val="0022676B"/>
    <w:rsid w:val="002A335E"/>
    <w:rsid w:val="002B6EA9"/>
    <w:rsid w:val="002C234E"/>
    <w:rsid w:val="0037227C"/>
    <w:rsid w:val="0037665C"/>
    <w:rsid w:val="003944F2"/>
    <w:rsid w:val="00395C5C"/>
    <w:rsid w:val="003A7005"/>
    <w:rsid w:val="003B5F95"/>
    <w:rsid w:val="003E12A3"/>
    <w:rsid w:val="003F5326"/>
    <w:rsid w:val="0043610C"/>
    <w:rsid w:val="00463D40"/>
    <w:rsid w:val="00484956"/>
    <w:rsid w:val="004A2675"/>
    <w:rsid w:val="004E449D"/>
    <w:rsid w:val="004F5D81"/>
    <w:rsid w:val="005036C1"/>
    <w:rsid w:val="0053198A"/>
    <w:rsid w:val="00552D3E"/>
    <w:rsid w:val="00580529"/>
    <w:rsid w:val="005A6BB1"/>
    <w:rsid w:val="005B3558"/>
    <w:rsid w:val="006D4E33"/>
    <w:rsid w:val="0075144C"/>
    <w:rsid w:val="00764631"/>
    <w:rsid w:val="00771376"/>
    <w:rsid w:val="007D6E84"/>
    <w:rsid w:val="008128E7"/>
    <w:rsid w:val="0082660B"/>
    <w:rsid w:val="00890F11"/>
    <w:rsid w:val="00896EB7"/>
    <w:rsid w:val="008C0D0D"/>
    <w:rsid w:val="008E23C1"/>
    <w:rsid w:val="008E3604"/>
    <w:rsid w:val="008F11A3"/>
    <w:rsid w:val="00911F10"/>
    <w:rsid w:val="009153A0"/>
    <w:rsid w:val="00917537"/>
    <w:rsid w:val="00952775"/>
    <w:rsid w:val="009670D2"/>
    <w:rsid w:val="009937F7"/>
    <w:rsid w:val="009D513F"/>
    <w:rsid w:val="009E5CA4"/>
    <w:rsid w:val="00A02287"/>
    <w:rsid w:val="00A25B6E"/>
    <w:rsid w:val="00A651DC"/>
    <w:rsid w:val="00AB0D4E"/>
    <w:rsid w:val="00AC31DE"/>
    <w:rsid w:val="00AE37F8"/>
    <w:rsid w:val="00B36818"/>
    <w:rsid w:val="00B662A7"/>
    <w:rsid w:val="00B754DB"/>
    <w:rsid w:val="00BA7050"/>
    <w:rsid w:val="00BD53B4"/>
    <w:rsid w:val="00BF119C"/>
    <w:rsid w:val="00CA6744"/>
    <w:rsid w:val="00CE62EB"/>
    <w:rsid w:val="00CF39BE"/>
    <w:rsid w:val="00D039A0"/>
    <w:rsid w:val="00D121EE"/>
    <w:rsid w:val="00D66844"/>
    <w:rsid w:val="00E0687F"/>
    <w:rsid w:val="00E11DE6"/>
    <w:rsid w:val="00E15A16"/>
    <w:rsid w:val="00E26892"/>
    <w:rsid w:val="00E26EAE"/>
    <w:rsid w:val="00EC4B8D"/>
    <w:rsid w:val="00EE0170"/>
    <w:rsid w:val="00EE1438"/>
    <w:rsid w:val="00EE7926"/>
    <w:rsid w:val="00F050B4"/>
    <w:rsid w:val="00F14B20"/>
    <w:rsid w:val="00F166F7"/>
    <w:rsid w:val="00F255B8"/>
    <w:rsid w:val="00F36EED"/>
    <w:rsid w:val="00FC4AD3"/>
    <w:rsid w:val="00FF7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5ABD2"/>
  <w15:chartTrackingRefBased/>
  <w15:docId w15:val="{68E86F9B-FB61-41CE-B768-EF5E199D1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E0170"/>
  </w:style>
  <w:style w:type="paragraph" w:styleId="Heading1">
    <w:name w:val="heading 1"/>
    <w:basedOn w:val="Normal"/>
    <w:next w:val="Normal"/>
    <w:link w:val="Heading1Char"/>
    <w:uiPriority w:val="9"/>
    <w:qFormat/>
    <w:rsid w:val="007646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EB7"/>
    <w:pPr>
      <w:ind w:left="720"/>
      <w:contextualSpacing/>
    </w:pPr>
  </w:style>
  <w:style w:type="character" w:customStyle="1" w:styleId="Heading1Char">
    <w:name w:val="Heading 1 Char"/>
    <w:basedOn w:val="DefaultParagraphFont"/>
    <w:link w:val="Heading1"/>
    <w:uiPriority w:val="9"/>
    <w:rsid w:val="00764631"/>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DefaultParagraphFont"/>
    <w:rsid w:val="00764631"/>
  </w:style>
  <w:style w:type="paragraph" w:customStyle="1" w:styleId="EndNoteBibliographyTitle">
    <w:name w:val="EndNote Bibliography Title"/>
    <w:basedOn w:val="Normal"/>
    <w:link w:val="EndNoteBibliographyTitleChar"/>
    <w:rsid w:val="0043610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3610C"/>
    <w:rPr>
      <w:rFonts w:ascii="Calibri" w:hAnsi="Calibri" w:cs="Calibri"/>
      <w:noProof/>
    </w:rPr>
  </w:style>
  <w:style w:type="paragraph" w:customStyle="1" w:styleId="EndNoteBibliography">
    <w:name w:val="EndNote Bibliography"/>
    <w:basedOn w:val="Normal"/>
    <w:link w:val="EndNoteBibliographyChar"/>
    <w:rsid w:val="0043610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3610C"/>
    <w:rPr>
      <w:rFonts w:ascii="Calibri" w:hAnsi="Calibri" w:cs="Calibri"/>
      <w:noProof/>
    </w:rPr>
  </w:style>
  <w:style w:type="character" w:styleId="Hyperlink">
    <w:name w:val="Hyperlink"/>
    <w:basedOn w:val="DefaultParagraphFont"/>
    <w:uiPriority w:val="99"/>
    <w:unhideWhenUsed/>
    <w:rsid w:val="0043610C"/>
    <w:rPr>
      <w:color w:val="0563C1" w:themeColor="hyperlink"/>
      <w:u w:val="single"/>
    </w:rPr>
  </w:style>
  <w:style w:type="paragraph" w:customStyle="1" w:styleId="Default">
    <w:name w:val="Default"/>
    <w:rsid w:val="0022676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E5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CA4"/>
  </w:style>
  <w:style w:type="paragraph" w:styleId="Footer">
    <w:name w:val="footer"/>
    <w:basedOn w:val="Normal"/>
    <w:link w:val="FooterChar"/>
    <w:uiPriority w:val="99"/>
    <w:unhideWhenUsed/>
    <w:rsid w:val="009E5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CA4"/>
  </w:style>
  <w:style w:type="paragraph" w:styleId="NormalWeb">
    <w:name w:val="Normal (Web)"/>
    <w:basedOn w:val="Normal"/>
    <w:uiPriority w:val="99"/>
    <w:semiHidden/>
    <w:unhideWhenUsed/>
    <w:rsid w:val="0075144C"/>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751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90846">
      <w:bodyDiv w:val="1"/>
      <w:marLeft w:val="0"/>
      <w:marRight w:val="0"/>
      <w:marTop w:val="0"/>
      <w:marBottom w:val="0"/>
      <w:divBdr>
        <w:top w:val="none" w:sz="0" w:space="0" w:color="auto"/>
        <w:left w:val="none" w:sz="0" w:space="0" w:color="auto"/>
        <w:bottom w:val="none" w:sz="0" w:space="0" w:color="auto"/>
        <w:right w:val="none" w:sz="0" w:space="0" w:color="auto"/>
      </w:divBdr>
    </w:div>
    <w:div w:id="827595928">
      <w:bodyDiv w:val="1"/>
      <w:marLeft w:val="0"/>
      <w:marRight w:val="0"/>
      <w:marTop w:val="0"/>
      <w:marBottom w:val="0"/>
      <w:divBdr>
        <w:top w:val="none" w:sz="0" w:space="0" w:color="auto"/>
        <w:left w:val="none" w:sz="0" w:space="0" w:color="auto"/>
        <w:bottom w:val="none" w:sz="0" w:space="0" w:color="auto"/>
        <w:right w:val="none" w:sz="0" w:space="0" w:color="auto"/>
      </w:divBdr>
    </w:div>
    <w:div w:id="1351639296">
      <w:bodyDiv w:val="1"/>
      <w:marLeft w:val="0"/>
      <w:marRight w:val="0"/>
      <w:marTop w:val="0"/>
      <w:marBottom w:val="0"/>
      <w:divBdr>
        <w:top w:val="none" w:sz="0" w:space="0" w:color="auto"/>
        <w:left w:val="none" w:sz="0" w:space="0" w:color="auto"/>
        <w:bottom w:val="none" w:sz="0" w:space="0" w:color="auto"/>
        <w:right w:val="none" w:sz="0" w:space="0" w:color="auto"/>
      </w:divBdr>
    </w:div>
    <w:div w:id="1706558936">
      <w:bodyDiv w:val="1"/>
      <w:marLeft w:val="0"/>
      <w:marRight w:val="0"/>
      <w:marTop w:val="0"/>
      <w:marBottom w:val="0"/>
      <w:divBdr>
        <w:top w:val="none" w:sz="0" w:space="0" w:color="auto"/>
        <w:left w:val="none" w:sz="0" w:space="0" w:color="auto"/>
        <w:bottom w:val="none" w:sz="0" w:space="0" w:color="auto"/>
        <w:right w:val="none" w:sz="0" w:space="0" w:color="auto"/>
      </w:divBdr>
    </w:div>
    <w:div w:id="205464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image" Target="media/image1.tiff"/><Relationship Id="rId12" Type="http://schemas.openxmlformats.org/officeDocument/2006/relationships/image" Target="media/image4.png"/><Relationship Id="rId17" Type="http://schemas.openxmlformats.org/officeDocument/2006/relationships/image" Target="media/image9.tif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png"/><Relationship Id="rId10" Type="http://schemas.openxmlformats.org/officeDocument/2006/relationships/chart" Target="charts/chart1.xml"/><Relationship Id="rId19" Type="http://schemas.microsoft.com/office/2007/relationships/hdphoto" Target="media/hdphoto2.wdp"/><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6.emf"/><Relationship Id="rId22" Type="http://schemas.openxmlformats.org/officeDocument/2006/relationships/image" Target="media/image13.tiff"/></Relationships>
</file>

<file path=word/charts/_rels/chart1.xml.rels><?xml version="1.0" encoding="UTF-8" standalone="yes"?>
<Relationships xmlns="http://schemas.openxmlformats.org/package/2006/relationships"><Relationship Id="rId3" Type="http://schemas.openxmlformats.org/officeDocument/2006/relationships/oleObject" Target="file:///C:\Users\vdia\AppData\Local\Microsoft\Windows\INetCache\Content.Outlook\NGC6F7TJ\Western%20Blot%20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p-ERK 1/2</c:v>
          </c:tx>
          <c:spPr>
            <a:solidFill>
              <a:schemeClr val="accent1"/>
            </a:solidFill>
            <a:ln>
              <a:noFill/>
            </a:ln>
            <a:effectLst/>
          </c:spPr>
          <c:invertIfNegative val="0"/>
          <c:dLbls>
            <c:dLbl>
              <c:idx val="0"/>
              <c:tx>
                <c:rich>
                  <a:bodyPr/>
                  <a:lstStyle/>
                  <a:p>
                    <a:r>
                      <a:rPr lang="en-US"/>
                      <a:t>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56-49E7-A4E7-0E4B6ADC5889}"/>
                </c:ext>
              </c:extLst>
            </c:dLbl>
            <c:dLbl>
              <c:idx val="1"/>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56-49E7-A4E7-0E4B6ADC5889}"/>
                </c:ext>
              </c:extLst>
            </c:dLbl>
            <c:dLbl>
              <c:idx val="2"/>
              <c:layout>
                <c:manualLayout>
                  <c:x val="0"/>
                  <c:y val="-0.18055555555555561"/>
                </c:manualLayout>
              </c:layout>
              <c:tx>
                <c:rich>
                  <a:bodyPr/>
                  <a:lstStyle/>
                  <a:p>
                    <a:r>
                      <a:rPr lang="en-US"/>
                      <a:t>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56-49E7-A4E7-0E4B6ADC5889}"/>
                </c:ext>
              </c:extLst>
            </c:dLbl>
            <c:dLbl>
              <c:idx val="3"/>
              <c:layout>
                <c:manualLayout>
                  <c:x val="-1.0185067526415994E-16"/>
                  <c:y val="-7.8703703703703706E-2"/>
                </c:manualLayout>
              </c:layout>
              <c:tx>
                <c:rich>
                  <a:bodyPr/>
                  <a:lstStyle/>
                  <a:p>
                    <a:r>
                      <a:rPr lang="en-US"/>
                      <a:t>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A56-49E7-A4E7-0E4B6ADC58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Sheet1!$Y$20:$AB$20</c:f>
                <c:numCache>
                  <c:formatCode>General</c:formatCode>
                  <c:ptCount val="4"/>
                  <c:pt idx="0">
                    <c:v>0.26987557286332253</c:v>
                  </c:pt>
                  <c:pt idx="1">
                    <c:v>0</c:v>
                  </c:pt>
                  <c:pt idx="2">
                    <c:v>0.27000513156693046</c:v>
                  </c:pt>
                  <c:pt idx="3">
                    <c:v>0.12335025238538222</c:v>
                  </c:pt>
                </c:numCache>
              </c:numRef>
            </c:plus>
            <c:minus>
              <c:numRef>
                <c:f>Sheet1!$Y$20:$AB$20</c:f>
                <c:numCache>
                  <c:formatCode>General</c:formatCode>
                  <c:ptCount val="4"/>
                  <c:pt idx="0">
                    <c:v>0.26987557286332253</c:v>
                  </c:pt>
                  <c:pt idx="1">
                    <c:v>0</c:v>
                  </c:pt>
                  <c:pt idx="2">
                    <c:v>0.27000513156693046</c:v>
                  </c:pt>
                  <c:pt idx="3">
                    <c:v>0.12335025238538222</c:v>
                  </c:pt>
                </c:numCache>
              </c:numRef>
            </c:minus>
            <c:spPr>
              <a:noFill/>
              <a:ln w="9525" cap="flat" cmpd="sng" algn="ctr">
                <a:solidFill>
                  <a:schemeClr val="tx1">
                    <a:lumMod val="65000"/>
                    <a:lumOff val="35000"/>
                  </a:schemeClr>
                </a:solidFill>
                <a:round/>
              </a:ln>
              <a:effectLst/>
            </c:spPr>
          </c:errBars>
          <c:cat>
            <c:numRef>
              <c:f>Sheet1!$Y$14:$AB$14</c:f>
              <c:numCache>
                <c:formatCode>General</c:formatCode>
                <c:ptCount val="4"/>
                <c:pt idx="0">
                  <c:v>0</c:v>
                </c:pt>
                <c:pt idx="1">
                  <c:v>0</c:v>
                </c:pt>
                <c:pt idx="2">
                  <c:v>25</c:v>
                </c:pt>
                <c:pt idx="3">
                  <c:v>50</c:v>
                </c:pt>
              </c:numCache>
            </c:numRef>
          </c:cat>
          <c:val>
            <c:numRef>
              <c:f>Sheet1!$Y$19:$AB$19</c:f>
              <c:numCache>
                <c:formatCode>General</c:formatCode>
                <c:ptCount val="4"/>
                <c:pt idx="0">
                  <c:v>0.30496283341945751</c:v>
                </c:pt>
                <c:pt idx="1">
                  <c:v>1</c:v>
                </c:pt>
                <c:pt idx="2">
                  <c:v>0.11236673075074836</c:v>
                </c:pt>
                <c:pt idx="3">
                  <c:v>7.1611119688333544E-2</c:v>
                </c:pt>
              </c:numCache>
            </c:numRef>
          </c:val>
          <c:extLst>
            <c:ext xmlns:c16="http://schemas.microsoft.com/office/drawing/2014/chart" uri="{C3380CC4-5D6E-409C-BE32-E72D297353CC}">
              <c16:uniqueId val="{00000004-EA56-49E7-A4E7-0E4B6ADC5889}"/>
            </c:ext>
          </c:extLst>
        </c:ser>
        <c:ser>
          <c:idx val="1"/>
          <c:order val="1"/>
          <c:tx>
            <c:v>p-STAT3</c:v>
          </c:tx>
          <c:spPr>
            <a:solidFill>
              <a:schemeClr val="accent2"/>
            </a:solidFill>
            <a:ln>
              <a:noFill/>
            </a:ln>
            <a:effectLst/>
          </c:spPr>
          <c:invertIfNegative val="0"/>
          <c:dLbls>
            <c:dLbl>
              <c:idx val="0"/>
              <c:layout>
                <c:manualLayout>
                  <c:x val="-5.0925337632079971E-17"/>
                  <c:y val="-8.7967420338082206E-2"/>
                </c:manualLayout>
              </c:layout>
              <c:tx>
                <c:rich>
                  <a:bodyPr/>
                  <a:lstStyle/>
                  <a:p>
                    <a:r>
                      <a:rPr lang="en-US"/>
                      <a:t>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A56-49E7-A4E7-0E4B6ADC5889}"/>
                </c:ext>
              </c:extLst>
            </c:dLbl>
            <c:dLbl>
              <c:idx val="1"/>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A56-49E7-A4E7-0E4B6ADC5889}"/>
                </c:ext>
              </c:extLst>
            </c:dLbl>
            <c:dLbl>
              <c:idx val="2"/>
              <c:layout>
                <c:manualLayout>
                  <c:x val="0"/>
                  <c:y val="-0.11111111111111113"/>
                </c:manualLayout>
              </c:layout>
              <c:tx>
                <c:rich>
                  <a:bodyPr/>
                  <a:lstStyle/>
                  <a:p>
                    <a:r>
                      <a:rPr lang="en-US"/>
                      <a:t>ab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A56-49E7-A4E7-0E4B6ADC5889}"/>
                </c:ext>
              </c:extLst>
            </c:dLbl>
            <c:dLbl>
              <c:idx val="3"/>
              <c:layout>
                <c:manualLayout>
                  <c:x val="0"/>
                  <c:y val="-0.16203703703703703"/>
                </c:manualLayout>
              </c:layout>
              <c:tx>
                <c:rich>
                  <a:bodyPr/>
                  <a:lstStyle/>
                  <a:p>
                    <a:r>
                      <a:rPr lang="en-US"/>
                      <a:t>ab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A56-49E7-A4E7-0E4B6ADC58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Sheet1!$AC$20:$AF$20</c:f>
                <c:numCache>
                  <c:formatCode>General</c:formatCode>
                  <c:ptCount val="4"/>
                  <c:pt idx="0">
                    <c:v>0.20957344445756698</c:v>
                  </c:pt>
                  <c:pt idx="1">
                    <c:v>0</c:v>
                  </c:pt>
                  <c:pt idx="2">
                    <c:v>0.19358745332606533</c:v>
                  </c:pt>
                  <c:pt idx="3">
                    <c:v>0.29496783811926214</c:v>
                  </c:pt>
                </c:numCache>
              </c:numRef>
            </c:plus>
            <c:minus>
              <c:numRef>
                <c:f>Sheet1!$AC$20:$AF$20</c:f>
                <c:numCache>
                  <c:formatCode>General</c:formatCode>
                  <c:ptCount val="4"/>
                  <c:pt idx="0">
                    <c:v>0.20957344445756698</c:v>
                  </c:pt>
                  <c:pt idx="1">
                    <c:v>0</c:v>
                  </c:pt>
                  <c:pt idx="2">
                    <c:v>0.19358745332606533</c:v>
                  </c:pt>
                  <c:pt idx="3">
                    <c:v>0.29496783811926214</c:v>
                  </c:pt>
                </c:numCache>
              </c:numRef>
            </c:minus>
            <c:spPr>
              <a:noFill/>
              <a:ln w="9525" cap="flat" cmpd="sng" algn="ctr">
                <a:solidFill>
                  <a:schemeClr val="tx1">
                    <a:lumMod val="65000"/>
                    <a:lumOff val="35000"/>
                  </a:schemeClr>
                </a:solidFill>
                <a:round/>
              </a:ln>
              <a:effectLst/>
            </c:spPr>
          </c:errBars>
          <c:val>
            <c:numRef>
              <c:f>Sheet1!$AC$19:$AF$19</c:f>
              <c:numCache>
                <c:formatCode>General</c:formatCode>
                <c:ptCount val="4"/>
                <c:pt idx="0">
                  <c:v>0.41407011023272711</c:v>
                </c:pt>
                <c:pt idx="1">
                  <c:v>1</c:v>
                </c:pt>
                <c:pt idx="2">
                  <c:v>0.68055572195127434</c:v>
                </c:pt>
                <c:pt idx="3">
                  <c:v>0.51948739487902129</c:v>
                </c:pt>
              </c:numCache>
            </c:numRef>
          </c:val>
          <c:extLst>
            <c:ext xmlns:c16="http://schemas.microsoft.com/office/drawing/2014/chart" uri="{C3380CC4-5D6E-409C-BE32-E72D297353CC}">
              <c16:uniqueId val="{00000009-EA56-49E7-A4E7-0E4B6ADC5889}"/>
            </c:ext>
          </c:extLst>
        </c:ser>
        <c:dLbls>
          <c:showLegendKey val="0"/>
          <c:showVal val="0"/>
          <c:showCatName val="0"/>
          <c:showSerName val="0"/>
          <c:showPercent val="0"/>
          <c:showBubbleSize val="0"/>
        </c:dLbls>
        <c:gapWidth val="219"/>
        <c:axId val="478022232"/>
        <c:axId val="478031640"/>
      </c:barChart>
      <c:catAx>
        <c:axId val="478022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BG-4, µg/mL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031640"/>
        <c:crosses val="autoZero"/>
        <c:auto val="1"/>
        <c:lblAlgn val="ctr"/>
        <c:lblOffset val="100"/>
        <c:noMultiLvlLbl val="0"/>
      </c:catAx>
      <c:valAx>
        <c:axId val="4780316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Relative expression (normalized to actin)</a:t>
                </a:r>
              </a:p>
            </c:rich>
          </c:tx>
          <c:layout>
            <c:manualLayout>
              <c:xMode val="edge"/>
              <c:yMode val="edge"/>
              <c:x val="2.5000000000000001E-2"/>
              <c:y val="0.1244218431029454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0222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7838</Words>
  <Characters>44681</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dc:creator>
  <cp:keywords/>
  <dc:description/>
  <cp:lastModifiedBy>Lynsey</cp:lastModifiedBy>
  <cp:revision>2</cp:revision>
  <dcterms:created xsi:type="dcterms:W3CDTF">2017-04-23T02:40:00Z</dcterms:created>
  <dcterms:modified xsi:type="dcterms:W3CDTF">2017-04-23T02:40:00Z</dcterms:modified>
</cp:coreProperties>
</file>