
<file path=[Content_Types].xml><?xml version="1.0" encoding="utf-8"?>
<Types xmlns="http://schemas.openxmlformats.org/package/2006/content-types">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FC5" w:rsidRPr="00CC73F3" w:rsidRDefault="00070FC5" w:rsidP="00D639F5">
      <w:pPr>
        <w:jc w:val="center"/>
        <w:rPr>
          <w:b/>
          <w:sz w:val="28"/>
          <w:szCs w:val="28"/>
          <w:lang w:val="en-CA"/>
        </w:rPr>
      </w:pPr>
      <w:r w:rsidRPr="00CC73F3">
        <w:rPr>
          <w:b/>
          <w:sz w:val="28"/>
          <w:szCs w:val="28"/>
          <w:lang w:val="en-CA"/>
        </w:rPr>
        <w:t xml:space="preserve">Managing the Cocreation of Innovation: </w:t>
      </w:r>
    </w:p>
    <w:p w:rsidR="00070FC5" w:rsidRPr="00CC73F3" w:rsidRDefault="00070FC5" w:rsidP="00D639F5">
      <w:pPr>
        <w:jc w:val="center"/>
        <w:rPr>
          <w:sz w:val="36"/>
          <w:szCs w:val="36"/>
        </w:rPr>
      </w:pPr>
      <w:r w:rsidRPr="00CC73F3">
        <w:rPr>
          <w:b/>
          <w:sz w:val="28"/>
          <w:szCs w:val="28"/>
          <w:lang w:val="en-CA"/>
        </w:rPr>
        <w:t>The Influence of Team Regulatory Style and Reflexivity on Customer Idea Selection and Innovation Outcomes</w:t>
      </w: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28"/>
          <w:szCs w:val="28"/>
        </w:rPr>
      </w:pPr>
      <w:r w:rsidRPr="00CC73F3">
        <w:rPr>
          <w:sz w:val="28"/>
          <w:szCs w:val="28"/>
        </w:rPr>
        <w:t>A Dissertation Presented for the</w:t>
      </w:r>
    </w:p>
    <w:p w:rsidR="00070FC5" w:rsidRPr="00CC73F3" w:rsidRDefault="00070FC5" w:rsidP="00D639F5">
      <w:pPr>
        <w:jc w:val="center"/>
        <w:rPr>
          <w:sz w:val="28"/>
          <w:szCs w:val="28"/>
        </w:rPr>
      </w:pPr>
      <w:r w:rsidRPr="00CC73F3">
        <w:rPr>
          <w:sz w:val="28"/>
          <w:szCs w:val="28"/>
        </w:rPr>
        <w:t>Doctor of Philosophy</w:t>
      </w:r>
    </w:p>
    <w:p w:rsidR="00070FC5" w:rsidRPr="00CC73F3" w:rsidRDefault="00070FC5" w:rsidP="00D639F5">
      <w:pPr>
        <w:jc w:val="center"/>
        <w:rPr>
          <w:sz w:val="28"/>
          <w:szCs w:val="28"/>
        </w:rPr>
      </w:pPr>
      <w:r w:rsidRPr="00CC73F3">
        <w:rPr>
          <w:sz w:val="28"/>
          <w:szCs w:val="28"/>
        </w:rPr>
        <w:t>Degree</w:t>
      </w:r>
    </w:p>
    <w:p w:rsidR="00070FC5" w:rsidRPr="00CC73F3" w:rsidRDefault="00070FC5" w:rsidP="00D639F5">
      <w:pPr>
        <w:jc w:val="center"/>
        <w:rPr>
          <w:sz w:val="28"/>
          <w:szCs w:val="28"/>
        </w:rPr>
      </w:pPr>
      <w:r w:rsidRPr="00CC73F3">
        <w:rPr>
          <w:sz w:val="28"/>
          <w:szCs w:val="28"/>
        </w:rPr>
        <w:t>The University of Tennessee, Knoxville</w:t>
      </w: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28"/>
          <w:szCs w:val="28"/>
        </w:rPr>
      </w:pPr>
      <w:r w:rsidRPr="00CC73F3">
        <w:rPr>
          <w:sz w:val="28"/>
          <w:szCs w:val="28"/>
        </w:rPr>
        <w:t>Matthew B. Shaner</w:t>
      </w:r>
    </w:p>
    <w:p w:rsidR="00070FC5" w:rsidRPr="00CC73F3" w:rsidRDefault="00070FC5" w:rsidP="00D639F5">
      <w:pPr>
        <w:jc w:val="center"/>
        <w:rPr>
          <w:sz w:val="28"/>
          <w:szCs w:val="28"/>
        </w:rPr>
      </w:pPr>
      <w:r w:rsidRPr="00CC73F3">
        <w:rPr>
          <w:sz w:val="28"/>
          <w:szCs w:val="28"/>
        </w:rPr>
        <w:t>June 2015</w:t>
      </w: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rPr>
          <w:sz w:val="36"/>
          <w:szCs w:val="36"/>
        </w:rPr>
      </w:pPr>
    </w:p>
    <w:p w:rsidR="00070FC5" w:rsidRPr="00CC73F3" w:rsidRDefault="00070FC5" w:rsidP="00D639F5">
      <w:pPr>
        <w:jc w:val="center"/>
      </w:pPr>
      <w:r w:rsidRPr="00CC73F3">
        <w:t>Copyright © 2015 by Matthew B. Shaner</w:t>
      </w:r>
    </w:p>
    <w:p w:rsidR="00070FC5" w:rsidRPr="00CC73F3" w:rsidRDefault="00070FC5" w:rsidP="00D639F5">
      <w:pPr>
        <w:jc w:val="center"/>
      </w:pPr>
      <w:r w:rsidRPr="00CC73F3">
        <w:t>All rights reserved.</w:t>
      </w: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pPr>
    </w:p>
    <w:p w:rsidR="00070FC5" w:rsidRPr="00CC73F3" w:rsidRDefault="00070FC5" w:rsidP="00D639F5">
      <w:pPr>
        <w:jc w:val="center"/>
        <w:rPr>
          <w:b/>
        </w:rPr>
      </w:pPr>
      <w:r w:rsidRPr="00CC73F3">
        <w:rPr>
          <w:sz w:val="36"/>
          <w:szCs w:val="36"/>
        </w:rPr>
        <w:br w:type="page"/>
      </w:r>
      <w:r w:rsidRPr="00CC73F3">
        <w:rPr>
          <w:b/>
        </w:rPr>
        <w:t>Acknowledgements</w:t>
      </w:r>
    </w:p>
    <w:p w:rsidR="00070FC5" w:rsidRPr="00CC73F3" w:rsidRDefault="00070FC5" w:rsidP="00D639F5">
      <w:pPr>
        <w:jc w:val="center"/>
      </w:pPr>
    </w:p>
    <w:p w:rsidR="00070FC5" w:rsidRPr="00CC73F3" w:rsidRDefault="00070FC5" w:rsidP="00D639F5">
      <w:pPr>
        <w:jc w:val="center"/>
        <w:rPr>
          <w:b/>
        </w:rPr>
      </w:pPr>
      <w:r w:rsidRPr="00CC73F3">
        <w:t>TBD</w:t>
      </w:r>
      <w:r w:rsidRPr="00CC73F3">
        <w:rPr>
          <w:sz w:val="36"/>
          <w:szCs w:val="36"/>
        </w:rPr>
        <w:br w:type="page"/>
      </w:r>
      <w:r w:rsidRPr="00CC73F3">
        <w:rPr>
          <w:b/>
          <w:bCs/>
        </w:rPr>
        <w:t>Abstract</w:t>
      </w:r>
    </w:p>
    <w:p w:rsidR="00070FC5" w:rsidRPr="00CC73F3" w:rsidRDefault="00070FC5" w:rsidP="00D639F5"/>
    <w:p w:rsidR="00070FC5" w:rsidRPr="00CC73F3" w:rsidRDefault="00070FC5" w:rsidP="00D639F5">
      <w:pPr>
        <w:spacing w:line="480" w:lineRule="auto"/>
      </w:pPr>
      <w:bookmarkStart w:id="0" w:name="_GoBack"/>
      <w:r w:rsidRPr="00CC73F3">
        <w:tab/>
        <w:t xml:space="preserve">The cocreation of new products with customers has been shown to be associated with higher new product quality, the development of products that more closely match customers' unmet needs, lower development costs, and faster speed-to-market </w:t>
      </w:r>
      <w:r w:rsidRPr="00CC73F3">
        <w:rPr>
          <w:noProof/>
        </w:rPr>
        <w:t>(Hoyer, Chandy, Dorotic, Krafft, &amp; Singh, 2010; O'Hern &amp; Rindfleisch, 2010)</w:t>
      </w:r>
      <w:r w:rsidRPr="00CC73F3">
        <w:t xml:space="preserve">. However, little is known about the evaluation and selection process in the cocreation of innovation </w:t>
      </w:r>
      <w:r w:rsidRPr="00CC73F3">
        <w:rPr>
          <w:noProof/>
        </w:rPr>
        <w:t>(Bayus, 2013)</w:t>
      </w:r>
      <w:r w:rsidRPr="00CC73F3">
        <w:t xml:space="preserve">. To be successful, product development teams must identify customer ideas that have the potential to both fulfill unmet market needs and be profitable for the firm. This dissertation looks at two cognitive factors related to team decision-making, a prevention or promotion regulatory focus </w:t>
      </w:r>
      <w:r w:rsidRPr="00CC73F3">
        <w:rPr>
          <w:noProof/>
        </w:rPr>
        <w:t>(Higgins, 1998)</w:t>
      </w:r>
      <w:r w:rsidRPr="00CC73F3">
        <w:t xml:space="preserve"> and team reflexivity (West, 1996) , to examine what drives a development team's ability to accurately pick "winners" and "losers" from a pool of customer ideas for new products. Data is analyzed from a series of team-based lab experiments, as well as a virtual ethnographic analysis of video footage from a firm's evaluation and selection meetings for 186 cocreated product concepts.  In addition to regulatory style and reflexivity, the moderating effect of customer expertise also analyzed to further explore development team decision-making in the cocreation of innovation.</w:t>
      </w:r>
    </w:p>
    <w:bookmarkEnd w:id="0"/>
    <w:p w:rsidR="006537A2" w:rsidRDefault="006537A2" w:rsidP="00D639F5">
      <w:pPr>
        <w:jc w:val="center"/>
      </w:pPr>
    </w:p>
    <w:p w:rsidR="00070FC5" w:rsidRPr="00CC73F3" w:rsidRDefault="006537A2" w:rsidP="006537A2">
      <w:pPr>
        <w:rPr>
          <w:b/>
          <w:bCs/>
        </w:rPr>
      </w:pPr>
      <w:r>
        <w:t xml:space="preserve">Keywords: </w:t>
      </w:r>
      <w:r w:rsidRPr="006537A2">
        <w:rPr>
          <w:i/>
        </w:rPr>
        <w:t>cocreation, innovation, regulatory focus, reflexivity, new product development</w:t>
      </w:r>
      <w:r w:rsidR="00070FC5" w:rsidRPr="00CC73F3">
        <w:br w:type="page"/>
      </w:r>
      <w:r w:rsidR="00070FC5" w:rsidRPr="00CC73F3">
        <w:rPr>
          <w:b/>
          <w:bCs/>
        </w:rPr>
        <w:t>Table of Contents</w:t>
      </w:r>
    </w:p>
    <w:p w:rsidR="00070FC5" w:rsidRPr="00CC73F3" w:rsidRDefault="00070FC5" w:rsidP="00D639F5">
      <w:pPr>
        <w:numPr>
          <w:ilvl w:val="12"/>
          <w:numId w:val="0"/>
        </w:numPr>
        <w:jc w:val="center"/>
      </w:pPr>
    </w:p>
    <w:p w:rsidR="00412FD5" w:rsidRDefault="00070FC5">
      <w:pPr>
        <w:pStyle w:val="TOC1"/>
        <w:rPr>
          <w:rFonts w:asciiTheme="minorHAnsi" w:eastAsiaTheme="minorEastAsia" w:hAnsiTheme="minorHAnsi" w:cstheme="minorBidi"/>
          <w:b w:val="0"/>
          <w:sz w:val="22"/>
          <w:szCs w:val="22"/>
        </w:rPr>
      </w:pPr>
      <w:r w:rsidRPr="00CC73F3">
        <w:fldChar w:fldCharType="begin"/>
      </w:r>
      <w:r w:rsidRPr="00CC73F3">
        <w:instrText xml:space="preserve"> TOC \o "1-3" \h \z </w:instrText>
      </w:r>
      <w:r w:rsidRPr="00CC73F3">
        <w:fldChar w:fldCharType="separate"/>
      </w:r>
      <w:hyperlink w:anchor="_Toc420572540" w:history="1">
        <w:r w:rsidR="00412FD5" w:rsidRPr="005C0243">
          <w:rPr>
            <w:rStyle w:val="Hyperlink"/>
          </w:rPr>
          <w:t>Chapter 1 Introduction</w:t>
        </w:r>
        <w:r w:rsidR="00412FD5">
          <w:rPr>
            <w:webHidden/>
          </w:rPr>
          <w:tab/>
        </w:r>
        <w:r w:rsidR="00412FD5">
          <w:rPr>
            <w:webHidden/>
          </w:rPr>
          <w:fldChar w:fldCharType="begin"/>
        </w:r>
        <w:r w:rsidR="00412FD5">
          <w:rPr>
            <w:webHidden/>
          </w:rPr>
          <w:instrText xml:space="preserve"> PAGEREF _Toc420572540 \h </w:instrText>
        </w:r>
        <w:r w:rsidR="00412FD5">
          <w:rPr>
            <w:webHidden/>
          </w:rPr>
        </w:r>
        <w:r w:rsidR="00412FD5">
          <w:rPr>
            <w:webHidden/>
          </w:rPr>
          <w:fldChar w:fldCharType="separate"/>
        </w:r>
        <w:r w:rsidR="00412FD5">
          <w:rPr>
            <w:webHidden/>
          </w:rPr>
          <w:t>1</w:t>
        </w:r>
        <w:r w:rsidR="00412FD5">
          <w:rPr>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41" w:history="1">
        <w:r w:rsidR="00412FD5" w:rsidRPr="005C0243">
          <w:rPr>
            <w:rStyle w:val="Hyperlink"/>
            <w:noProof/>
          </w:rPr>
          <w:t>Cocreation of Innovation in Business Practice</w:t>
        </w:r>
        <w:r w:rsidR="00412FD5">
          <w:rPr>
            <w:noProof/>
            <w:webHidden/>
          </w:rPr>
          <w:tab/>
        </w:r>
        <w:r w:rsidR="00412FD5">
          <w:rPr>
            <w:noProof/>
            <w:webHidden/>
          </w:rPr>
          <w:fldChar w:fldCharType="begin"/>
        </w:r>
        <w:r w:rsidR="00412FD5">
          <w:rPr>
            <w:noProof/>
            <w:webHidden/>
          </w:rPr>
          <w:instrText xml:space="preserve"> PAGEREF _Toc420572541 \h </w:instrText>
        </w:r>
        <w:r w:rsidR="00412FD5">
          <w:rPr>
            <w:noProof/>
            <w:webHidden/>
          </w:rPr>
        </w:r>
        <w:r w:rsidR="00412FD5">
          <w:rPr>
            <w:noProof/>
            <w:webHidden/>
          </w:rPr>
          <w:fldChar w:fldCharType="separate"/>
        </w:r>
        <w:r w:rsidR="00412FD5">
          <w:rPr>
            <w:noProof/>
            <w:webHidden/>
          </w:rPr>
          <w:t>2</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42" w:history="1">
        <w:r w:rsidR="00412FD5" w:rsidRPr="005C0243">
          <w:rPr>
            <w:rStyle w:val="Hyperlink"/>
            <w:noProof/>
          </w:rPr>
          <w:t>Customer Cocreation as an Extension of the Open Innovation Paradigm</w:t>
        </w:r>
        <w:r w:rsidR="00412FD5">
          <w:rPr>
            <w:noProof/>
            <w:webHidden/>
          </w:rPr>
          <w:tab/>
        </w:r>
        <w:r w:rsidR="00412FD5">
          <w:rPr>
            <w:noProof/>
            <w:webHidden/>
          </w:rPr>
          <w:fldChar w:fldCharType="begin"/>
        </w:r>
        <w:r w:rsidR="00412FD5">
          <w:rPr>
            <w:noProof/>
            <w:webHidden/>
          </w:rPr>
          <w:instrText xml:space="preserve"> PAGEREF _Toc420572542 \h </w:instrText>
        </w:r>
        <w:r w:rsidR="00412FD5">
          <w:rPr>
            <w:noProof/>
            <w:webHidden/>
          </w:rPr>
        </w:r>
        <w:r w:rsidR="00412FD5">
          <w:rPr>
            <w:noProof/>
            <w:webHidden/>
          </w:rPr>
          <w:fldChar w:fldCharType="separate"/>
        </w:r>
        <w:r w:rsidR="00412FD5">
          <w:rPr>
            <w:noProof/>
            <w:webHidden/>
          </w:rPr>
          <w:t>3</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43" w:history="1">
        <w:r w:rsidR="00412FD5" w:rsidRPr="005C0243">
          <w:rPr>
            <w:rStyle w:val="Hyperlink"/>
            <w:noProof/>
          </w:rPr>
          <w:t>Managerial Challenges in Customer Cocreation of Innovation</w:t>
        </w:r>
        <w:r w:rsidR="00412FD5">
          <w:rPr>
            <w:noProof/>
            <w:webHidden/>
          </w:rPr>
          <w:tab/>
        </w:r>
        <w:r w:rsidR="00412FD5">
          <w:rPr>
            <w:noProof/>
            <w:webHidden/>
          </w:rPr>
          <w:fldChar w:fldCharType="begin"/>
        </w:r>
        <w:r w:rsidR="00412FD5">
          <w:rPr>
            <w:noProof/>
            <w:webHidden/>
          </w:rPr>
          <w:instrText xml:space="preserve"> PAGEREF _Toc420572543 \h </w:instrText>
        </w:r>
        <w:r w:rsidR="00412FD5">
          <w:rPr>
            <w:noProof/>
            <w:webHidden/>
          </w:rPr>
        </w:r>
        <w:r w:rsidR="00412FD5">
          <w:rPr>
            <w:noProof/>
            <w:webHidden/>
          </w:rPr>
          <w:fldChar w:fldCharType="separate"/>
        </w:r>
        <w:r w:rsidR="00412FD5">
          <w:rPr>
            <w:noProof/>
            <w:webHidden/>
          </w:rPr>
          <w:t>5</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44" w:history="1">
        <w:r w:rsidR="00412FD5" w:rsidRPr="005C0243">
          <w:rPr>
            <w:rStyle w:val="Hyperlink"/>
            <w:noProof/>
          </w:rPr>
          <w:t>Quality and Volume of Customer Ideas</w:t>
        </w:r>
        <w:r w:rsidR="00412FD5">
          <w:rPr>
            <w:noProof/>
            <w:webHidden/>
          </w:rPr>
          <w:tab/>
        </w:r>
        <w:r w:rsidR="00412FD5">
          <w:rPr>
            <w:noProof/>
            <w:webHidden/>
          </w:rPr>
          <w:fldChar w:fldCharType="begin"/>
        </w:r>
        <w:r w:rsidR="00412FD5">
          <w:rPr>
            <w:noProof/>
            <w:webHidden/>
          </w:rPr>
          <w:instrText xml:space="preserve"> PAGEREF _Toc420572544 \h </w:instrText>
        </w:r>
        <w:r w:rsidR="00412FD5">
          <w:rPr>
            <w:noProof/>
            <w:webHidden/>
          </w:rPr>
        </w:r>
        <w:r w:rsidR="00412FD5">
          <w:rPr>
            <w:noProof/>
            <w:webHidden/>
          </w:rPr>
          <w:fldChar w:fldCharType="separate"/>
        </w:r>
        <w:r w:rsidR="00412FD5">
          <w:rPr>
            <w:noProof/>
            <w:webHidden/>
          </w:rPr>
          <w:t>6</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45" w:history="1">
        <w:r w:rsidR="00412FD5" w:rsidRPr="005C0243">
          <w:rPr>
            <w:rStyle w:val="Hyperlink"/>
            <w:noProof/>
          </w:rPr>
          <w:t>Team Cognitive Limitations</w:t>
        </w:r>
        <w:r w:rsidR="00412FD5">
          <w:rPr>
            <w:noProof/>
            <w:webHidden/>
          </w:rPr>
          <w:tab/>
        </w:r>
        <w:r w:rsidR="00412FD5">
          <w:rPr>
            <w:noProof/>
            <w:webHidden/>
          </w:rPr>
          <w:fldChar w:fldCharType="begin"/>
        </w:r>
        <w:r w:rsidR="00412FD5">
          <w:rPr>
            <w:noProof/>
            <w:webHidden/>
          </w:rPr>
          <w:instrText xml:space="preserve"> PAGEREF _Toc420572545 \h </w:instrText>
        </w:r>
        <w:r w:rsidR="00412FD5">
          <w:rPr>
            <w:noProof/>
            <w:webHidden/>
          </w:rPr>
        </w:r>
        <w:r w:rsidR="00412FD5">
          <w:rPr>
            <w:noProof/>
            <w:webHidden/>
          </w:rPr>
          <w:fldChar w:fldCharType="separate"/>
        </w:r>
        <w:r w:rsidR="00412FD5">
          <w:rPr>
            <w:noProof/>
            <w:webHidden/>
          </w:rPr>
          <w:t>8</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46" w:history="1">
        <w:r w:rsidR="00412FD5" w:rsidRPr="005C0243">
          <w:rPr>
            <w:rStyle w:val="Hyperlink"/>
            <w:noProof/>
          </w:rPr>
          <w:t>Research Questions</w:t>
        </w:r>
        <w:r w:rsidR="00412FD5">
          <w:rPr>
            <w:noProof/>
            <w:webHidden/>
          </w:rPr>
          <w:tab/>
        </w:r>
        <w:r w:rsidR="00412FD5">
          <w:rPr>
            <w:noProof/>
            <w:webHidden/>
          </w:rPr>
          <w:fldChar w:fldCharType="begin"/>
        </w:r>
        <w:r w:rsidR="00412FD5">
          <w:rPr>
            <w:noProof/>
            <w:webHidden/>
          </w:rPr>
          <w:instrText xml:space="preserve"> PAGEREF _Toc420572546 \h </w:instrText>
        </w:r>
        <w:r w:rsidR="00412FD5">
          <w:rPr>
            <w:noProof/>
            <w:webHidden/>
          </w:rPr>
        </w:r>
        <w:r w:rsidR="00412FD5">
          <w:rPr>
            <w:noProof/>
            <w:webHidden/>
          </w:rPr>
          <w:fldChar w:fldCharType="separate"/>
        </w:r>
        <w:r w:rsidR="00412FD5">
          <w:rPr>
            <w:noProof/>
            <w:webHidden/>
          </w:rPr>
          <w:t>9</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47" w:history="1">
        <w:r w:rsidR="00412FD5" w:rsidRPr="005C0243">
          <w:rPr>
            <w:rStyle w:val="Hyperlink"/>
            <w:noProof/>
          </w:rPr>
          <w:t>Contribution to Theory</w:t>
        </w:r>
        <w:r w:rsidR="00412FD5">
          <w:rPr>
            <w:noProof/>
            <w:webHidden/>
          </w:rPr>
          <w:tab/>
        </w:r>
        <w:r w:rsidR="00412FD5">
          <w:rPr>
            <w:noProof/>
            <w:webHidden/>
          </w:rPr>
          <w:fldChar w:fldCharType="begin"/>
        </w:r>
        <w:r w:rsidR="00412FD5">
          <w:rPr>
            <w:noProof/>
            <w:webHidden/>
          </w:rPr>
          <w:instrText xml:space="preserve"> PAGEREF _Toc420572547 \h </w:instrText>
        </w:r>
        <w:r w:rsidR="00412FD5">
          <w:rPr>
            <w:noProof/>
            <w:webHidden/>
          </w:rPr>
        </w:r>
        <w:r w:rsidR="00412FD5">
          <w:rPr>
            <w:noProof/>
            <w:webHidden/>
          </w:rPr>
          <w:fldChar w:fldCharType="separate"/>
        </w:r>
        <w:r w:rsidR="00412FD5">
          <w:rPr>
            <w:noProof/>
            <w:webHidden/>
          </w:rPr>
          <w:t>10</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48" w:history="1">
        <w:r w:rsidR="00412FD5" w:rsidRPr="005C0243">
          <w:rPr>
            <w:rStyle w:val="Hyperlink"/>
            <w:noProof/>
          </w:rPr>
          <w:t>Contribution to Practice</w:t>
        </w:r>
        <w:r w:rsidR="00412FD5">
          <w:rPr>
            <w:noProof/>
            <w:webHidden/>
          </w:rPr>
          <w:tab/>
        </w:r>
        <w:r w:rsidR="00412FD5">
          <w:rPr>
            <w:noProof/>
            <w:webHidden/>
          </w:rPr>
          <w:fldChar w:fldCharType="begin"/>
        </w:r>
        <w:r w:rsidR="00412FD5">
          <w:rPr>
            <w:noProof/>
            <w:webHidden/>
          </w:rPr>
          <w:instrText xml:space="preserve"> PAGEREF _Toc420572548 \h </w:instrText>
        </w:r>
        <w:r w:rsidR="00412FD5">
          <w:rPr>
            <w:noProof/>
            <w:webHidden/>
          </w:rPr>
        </w:r>
        <w:r w:rsidR="00412FD5">
          <w:rPr>
            <w:noProof/>
            <w:webHidden/>
          </w:rPr>
          <w:fldChar w:fldCharType="separate"/>
        </w:r>
        <w:r w:rsidR="00412FD5">
          <w:rPr>
            <w:noProof/>
            <w:webHidden/>
          </w:rPr>
          <w:t>11</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49" w:history="1">
        <w:r w:rsidR="00412FD5" w:rsidRPr="005C0243">
          <w:rPr>
            <w:rStyle w:val="Hyperlink"/>
            <w:noProof/>
          </w:rPr>
          <w:t>Theoretical Background</w:t>
        </w:r>
        <w:r w:rsidR="00412FD5">
          <w:rPr>
            <w:noProof/>
            <w:webHidden/>
          </w:rPr>
          <w:tab/>
        </w:r>
        <w:r w:rsidR="00412FD5">
          <w:rPr>
            <w:noProof/>
            <w:webHidden/>
          </w:rPr>
          <w:fldChar w:fldCharType="begin"/>
        </w:r>
        <w:r w:rsidR="00412FD5">
          <w:rPr>
            <w:noProof/>
            <w:webHidden/>
          </w:rPr>
          <w:instrText xml:space="preserve"> PAGEREF _Toc420572549 \h </w:instrText>
        </w:r>
        <w:r w:rsidR="00412FD5">
          <w:rPr>
            <w:noProof/>
            <w:webHidden/>
          </w:rPr>
        </w:r>
        <w:r w:rsidR="00412FD5">
          <w:rPr>
            <w:noProof/>
            <w:webHidden/>
          </w:rPr>
          <w:fldChar w:fldCharType="separate"/>
        </w:r>
        <w:r w:rsidR="00412FD5">
          <w:rPr>
            <w:noProof/>
            <w:webHidden/>
          </w:rPr>
          <w:t>12</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50" w:history="1">
        <w:r w:rsidR="00412FD5" w:rsidRPr="005C0243">
          <w:rPr>
            <w:rStyle w:val="Hyperlink"/>
            <w:noProof/>
          </w:rPr>
          <w:t>Group Cognition and Decision-Making in Innovation Teams.</w:t>
        </w:r>
        <w:r w:rsidR="00412FD5">
          <w:rPr>
            <w:noProof/>
            <w:webHidden/>
          </w:rPr>
          <w:tab/>
        </w:r>
        <w:r w:rsidR="00412FD5">
          <w:rPr>
            <w:noProof/>
            <w:webHidden/>
          </w:rPr>
          <w:fldChar w:fldCharType="begin"/>
        </w:r>
        <w:r w:rsidR="00412FD5">
          <w:rPr>
            <w:noProof/>
            <w:webHidden/>
          </w:rPr>
          <w:instrText xml:space="preserve"> PAGEREF _Toc420572550 \h </w:instrText>
        </w:r>
        <w:r w:rsidR="00412FD5">
          <w:rPr>
            <w:noProof/>
            <w:webHidden/>
          </w:rPr>
        </w:r>
        <w:r w:rsidR="00412FD5">
          <w:rPr>
            <w:noProof/>
            <w:webHidden/>
          </w:rPr>
          <w:fldChar w:fldCharType="separate"/>
        </w:r>
        <w:r w:rsidR="00412FD5">
          <w:rPr>
            <w:noProof/>
            <w:webHidden/>
          </w:rPr>
          <w:t>12</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51" w:history="1">
        <w:r w:rsidR="00412FD5" w:rsidRPr="005C0243">
          <w:rPr>
            <w:rStyle w:val="Hyperlink"/>
            <w:noProof/>
          </w:rPr>
          <w:t>Regulatory Focus in Innovation Teams.</w:t>
        </w:r>
        <w:r w:rsidR="00412FD5">
          <w:rPr>
            <w:noProof/>
            <w:webHidden/>
          </w:rPr>
          <w:tab/>
        </w:r>
        <w:r w:rsidR="00412FD5">
          <w:rPr>
            <w:noProof/>
            <w:webHidden/>
          </w:rPr>
          <w:fldChar w:fldCharType="begin"/>
        </w:r>
        <w:r w:rsidR="00412FD5">
          <w:rPr>
            <w:noProof/>
            <w:webHidden/>
          </w:rPr>
          <w:instrText xml:space="preserve"> PAGEREF _Toc420572551 \h </w:instrText>
        </w:r>
        <w:r w:rsidR="00412FD5">
          <w:rPr>
            <w:noProof/>
            <w:webHidden/>
          </w:rPr>
        </w:r>
        <w:r w:rsidR="00412FD5">
          <w:rPr>
            <w:noProof/>
            <w:webHidden/>
          </w:rPr>
          <w:fldChar w:fldCharType="separate"/>
        </w:r>
        <w:r w:rsidR="00412FD5">
          <w:rPr>
            <w:noProof/>
            <w:webHidden/>
          </w:rPr>
          <w:t>15</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52" w:history="1">
        <w:r w:rsidR="00412FD5" w:rsidRPr="005C0243">
          <w:rPr>
            <w:rStyle w:val="Hyperlink"/>
            <w:noProof/>
          </w:rPr>
          <w:t>Reflexivity in Innovation Teams.</w:t>
        </w:r>
        <w:r w:rsidR="00412FD5">
          <w:rPr>
            <w:noProof/>
            <w:webHidden/>
          </w:rPr>
          <w:tab/>
        </w:r>
        <w:r w:rsidR="00412FD5">
          <w:rPr>
            <w:noProof/>
            <w:webHidden/>
          </w:rPr>
          <w:fldChar w:fldCharType="begin"/>
        </w:r>
        <w:r w:rsidR="00412FD5">
          <w:rPr>
            <w:noProof/>
            <w:webHidden/>
          </w:rPr>
          <w:instrText xml:space="preserve"> PAGEREF _Toc420572552 \h </w:instrText>
        </w:r>
        <w:r w:rsidR="00412FD5">
          <w:rPr>
            <w:noProof/>
            <w:webHidden/>
          </w:rPr>
        </w:r>
        <w:r w:rsidR="00412FD5">
          <w:rPr>
            <w:noProof/>
            <w:webHidden/>
          </w:rPr>
          <w:fldChar w:fldCharType="separate"/>
        </w:r>
        <w:r w:rsidR="00412FD5">
          <w:rPr>
            <w:noProof/>
            <w:webHidden/>
          </w:rPr>
          <w:t>17</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53" w:history="1">
        <w:r w:rsidR="00412FD5" w:rsidRPr="005C0243">
          <w:rPr>
            <w:rStyle w:val="Hyperlink"/>
            <w:noProof/>
          </w:rPr>
          <w:t>Dissertation Organization</w:t>
        </w:r>
        <w:r w:rsidR="00412FD5">
          <w:rPr>
            <w:noProof/>
            <w:webHidden/>
          </w:rPr>
          <w:tab/>
        </w:r>
        <w:r w:rsidR="00412FD5">
          <w:rPr>
            <w:noProof/>
            <w:webHidden/>
          </w:rPr>
          <w:fldChar w:fldCharType="begin"/>
        </w:r>
        <w:r w:rsidR="00412FD5">
          <w:rPr>
            <w:noProof/>
            <w:webHidden/>
          </w:rPr>
          <w:instrText xml:space="preserve"> PAGEREF _Toc420572553 \h </w:instrText>
        </w:r>
        <w:r w:rsidR="00412FD5">
          <w:rPr>
            <w:noProof/>
            <w:webHidden/>
          </w:rPr>
        </w:r>
        <w:r w:rsidR="00412FD5">
          <w:rPr>
            <w:noProof/>
            <w:webHidden/>
          </w:rPr>
          <w:fldChar w:fldCharType="separate"/>
        </w:r>
        <w:r w:rsidR="00412FD5">
          <w:rPr>
            <w:noProof/>
            <w:webHidden/>
          </w:rPr>
          <w:t>18</w:t>
        </w:r>
        <w:r w:rsidR="00412FD5">
          <w:rPr>
            <w:noProof/>
            <w:webHidden/>
          </w:rPr>
          <w:fldChar w:fldCharType="end"/>
        </w:r>
      </w:hyperlink>
    </w:p>
    <w:p w:rsidR="00412FD5" w:rsidRDefault="007E2E0A">
      <w:pPr>
        <w:pStyle w:val="TOC1"/>
        <w:rPr>
          <w:rFonts w:asciiTheme="minorHAnsi" w:eastAsiaTheme="minorEastAsia" w:hAnsiTheme="minorHAnsi" w:cstheme="minorBidi"/>
          <w:b w:val="0"/>
          <w:sz w:val="22"/>
          <w:szCs w:val="22"/>
        </w:rPr>
      </w:pPr>
      <w:hyperlink w:anchor="_Toc420572554" w:history="1">
        <w:r w:rsidR="00412FD5" w:rsidRPr="005C0243">
          <w:rPr>
            <w:rStyle w:val="Hyperlink"/>
          </w:rPr>
          <w:t>Chapter 2  Literature Review</w:t>
        </w:r>
        <w:r w:rsidR="00412FD5">
          <w:rPr>
            <w:webHidden/>
          </w:rPr>
          <w:tab/>
        </w:r>
        <w:r w:rsidR="00412FD5">
          <w:rPr>
            <w:webHidden/>
          </w:rPr>
          <w:fldChar w:fldCharType="begin"/>
        </w:r>
        <w:r w:rsidR="00412FD5">
          <w:rPr>
            <w:webHidden/>
          </w:rPr>
          <w:instrText xml:space="preserve"> PAGEREF _Toc420572554 \h </w:instrText>
        </w:r>
        <w:r w:rsidR="00412FD5">
          <w:rPr>
            <w:webHidden/>
          </w:rPr>
        </w:r>
        <w:r w:rsidR="00412FD5">
          <w:rPr>
            <w:webHidden/>
          </w:rPr>
          <w:fldChar w:fldCharType="separate"/>
        </w:r>
        <w:r w:rsidR="00412FD5">
          <w:rPr>
            <w:webHidden/>
          </w:rPr>
          <w:t>19</w:t>
        </w:r>
        <w:r w:rsidR="00412FD5">
          <w:rPr>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55" w:history="1">
        <w:r w:rsidR="00412FD5" w:rsidRPr="005C0243">
          <w:rPr>
            <w:rStyle w:val="Hyperlink"/>
            <w:noProof/>
          </w:rPr>
          <w:t>Defining Cocreation in a New Product Development Context</w:t>
        </w:r>
        <w:r w:rsidR="00412FD5">
          <w:rPr>
            <w:noProof/>
            <w:webHidden/>
          </w:rPr>
          <w:tab/>
        </w:r>
        <w:r w:rsidR="00412FD5">
          <w:rPr>
            <w:noProof/>
            <w:webHidden/>
          </w:rPr>
          <w:fldChar w:fldCharType="begin"/>
        </w:r>
        <w:r w:rsidR="00412FD5">
          <w:rPr>
            <w:noProof/>
            <w:webHidden/>
          </w:rPr>
          <w:instrText xml:space="preserve"> PAGEREF _Toc420572555 \h </w:instrText>
        </w:r>
        <w:r w:rsidR="00412FD5">
          <w:rPr>
            <w:noProof/>
            <w:webHidden/>
          </w:rPr>
        </w:r>
        <w:r w:rsidR="00412FD5">
          <w:rPr>
            <w:noProof/>
            <w:webHidden/>
          </w:rPr>
          <w:fldChar w:fldCharType="separate"/>
        </w:r>
        <w:r w:rsidR="00412FD5">
          <w:rPr>
            <w:noProof/>
            <w:webHidden/>
          </w:rPr>
          <w:t>19</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56" w:history="1">
        <w:r w:rsidR="00412FD5" w:rsidRPr="005C0243">
          <w:rPr>
            <w:rStyle w:val="Hyperlink"/>
            <w:noProof/>
          </w:rPr>
          <w:t>Literature Review</w:t>
        </w:r>
        <w:r w:rsidR="00412FD5">
          <w:rPr>
            <w:noProof/>
            <w:webHidden/>
          </w:rPr>
          <w:tab/>
        </w:r>
        <w:r w:rsidR="00412FD5">
          <w:rPr>
            <w:noProof/>
            <w:webHidden/>
          </w:rPr>
          <w:fldChar w:fldCharType="begin"/>
        </w:r>
        <w:r w:rsidR="00412FD5">
          <w:rPr>
            <w:noProof/>
            <w:webHidden/>
          </w:rPr>
          <w:instrText xml:space="preserve"> PAGEREF _Toc420572556 \h </w:instrText>
        </w:r>
        <w:r w:rsidR="00412FD5">
          <w:rPr>
            <w:noProof/>
            <w:webHidden/>
          </w:rPr>
        </w:r>
        <w:r w:rsidR="00412FD5">
          <w:rPr>
            <w:noProof/>
            <w:webHidden/>
          </w:rPr>
          <w:fldChar w:fldCharType="separate"/>
        </w:r>
        <w:r w:rsidR="00412FD5">
          <w:rPr>
            <w:noProof/>
            <w:webHidden/>
          </w:rPr>
          <w:t>21</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57" w:history="1">
        <w:r w:rsidR="00412FD5" w:rsidRPr="005C0243">
          <w:rPr>
            <w:rStyle w:val="Hyperlink"/>
            <w:noProof/>
          </w:rPr>
          <w:t>Ability of Customers to Contribute to the Cocreation of Innovation</w:t>
        </w:r>
        <w:r w:rsidR="00412FD5">
          <w:rPr>
            <w:noProof/>
            <w:webHidden/>
          </w:rPr>
          <w:tab/>
        </w:r>
        <w:r w:rsidR="00412FD5">
          <w:rPr>
            <w:noProof/>
            <w:webHidden/>
          </w:rPr>
          <w:fldChar w:fldCharType="begin"/>
        </w:r>
        <w:r w:rsidR="00412FD5">
          <w:rPr>
            <w:noProof/>
            <w:webHidden/>
          </w:rPr>
          <w:instrText xml:space="preserve"> PAGEREF _Toc420572557 \h </w:instrText>
        </w:r>
        <w:r w:rsidR="00412FD5">
          <w:rPr>
            <w:noProof/>
            <w:webHidden/>
          </w:rPr>
        </w:r>
        <w:r w:rsidR="00412FD5">
          <w:rPr>
            <w:noProof/>
            <w:webHidden/>
          </w:rPr>
          <w:fldChar w:fldCharType="separate"/>
        </w:r>
        <w:r w:rsidR="00412FD5">
          <w:rPr>
            <w:noProof/>
            <w:webHidden/>
          </w:rPr>
          <w:t>26</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58" w:history="1">
        <w:r w:rsidR="00412FD5" w:rsidRPr="005C0243">
          <w:rPr>
            <w:rStyle w:val="Hyperlink"/>
            <w:noProof/>
          </w:rPr>
          <w:t>Customer Motivations for Participating in the Cocreation of Innovation</w:t>
        </w:r>
        <w:r w:rsidR="00412FD5">
          <w:rPr>
            <w:noProof/>
            <w:webHidden/>
          </w:rPr>
          <w:tab/>
        </w:r>
        <w:r w:rsidR="00412FD5">
          <w:rPr>
            <w:noProof/>
            <w:webHidden/>
          </w:rPr>
          <w:fldChar w:fldCharType="begin"/>
        </w:r>
        <w:r w:rsidR="00412FD5">
          <w:rPr>
            <w:noProof/>
            <w:webHidden/>
          </w:rPr>
          <w:instrText xml:space="preserve"> PAGEREF _Toc420572558 \h </w:instrText>
        </w:r>
        <w:r w:rsidR="00412FD5">
          <w:rPr>
            <w:noProof/>
            <w:webHidden/>
          </w:rPr>
        </w:r>
        <w:r w:rsidR="00412FD5">
          <w:rPr>
            <w:noProof/>
            <w:webHidden/>
          </w:rPr>
          <w:fldChar w:fldCharType="separate"/>
        </w:r>
        <w:r w:rsidR="00412FD5">
          <w:rPr>
            <w:noProof/>
            <w:webHidden/>
          </w:rPr>
          <w:t>32</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59" w:history="1">
        <w:r w:rsidR="00412FD5" w:rsidRPr="005C0243">
          <w:rPr>
            <w:rStyle w:val="Hyperlink"/>
            <w:noProof/>
          </w:rPr>
          <w:t>Cocreated New Product Effectiveness and Efficiency</w:t>
        </w:r>
        <w:r w:rsidR="00412FD5">
          <w:rPr>
            <w:noProof/>
            <w:webHidden/>
          </w:rPr>
          <w:tab/>
        </w:r>
        <w:r w:rsidR="00412FD5">
          <w:rPr>
            <w:noProof/>
            <w:webHidden/>
          </w:rPr>
          <w:fldChar w:fldCharType="begin"/>
        </w:r>
        <w:r w:rsidR="00412FD5">
          <w:rPr>
            <w:noProof/>
            <w:webHidden/>
          </w:rPr>
          <w:instrText xml:space="preserve"> PAGEREF _Toc420572559 \h </w:instrText>
        </w:r>
        <w:r w:rsidR="00412FD5">
          <w:rPr>
            <w:noProof/>
            <w:webHidden/>
          </w:rPr>
        </w:r>
        <w:r w:rsidR="00412FD5">
          <w:rPr>
            <w:noProof/>
            <w:webHidden/>
          </w:rPr>
          <w:fldChar w:fldCharType="separate"/>
        </w:r>
        <w:r w:rsidR="00412FD5">
          <w:rPr>
            <w:noProof/>
            <w:webHidden/>
          </w:rPr>
          <w:t>35</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60" w:history="1">
        <w:r w:rsidR="00412FD5" w:rsidRPr="005C0243">
          <w:rPr>
            <w:rStyle w:val="Hyperlink"/>
            <w:noProof/>
          </w:rPr>
          <w:t>Cocreation of Innovation and Customer Metrics</w:t>
        </w:r>
        <w:r w:rsidR="00412FD5">
          <w:rPr>
            <w:noProof/>
            <w:webHidden/>
          </w:rPr>
          <w:tab/>
        </w:r>
        <w:r w:rsidR="00412FD5">
          <w:rPr>
            <w:noProof/>
            <w:webHidden/>
          </w:rPr>
          <w:fldChar w:fldCharType="begin"/>
        </w:r>
        <w:r w:rsidR="00412FD5">
          <w:rPr>
            <w:noProof/>
            <w:webHidden/>
          </w:rPr>
          <w:instrText xml:space="preserve"> PAGEREF _Toc420572560 \h </w:instrText>
        </w:r>
        <w:r w:rsidR="00412FD5">
          <w:rPr>
            <w:noProof/>
            <w:webHidden/>
          </w:rPr>
        </w:r>
        <w:r w:rsidR="00412FD5">
          <w:rPr>
            <w:noProof/>
            <w:webHidden/>
          </w:rPr>
          <w:fldChar w:fldCharType="separate"/>
        </w:r>
        <w:r w:rsidR="00412FD5">
          <w:rPr>
            <w:noProof/>
            <w:webHidden/>
          </w:rPr>
          <w:t>36</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61" w:history="1">
        <w:r w:rsidR="00412FD5" w:rsidRPr="005C0243">
          <w:rPr>
            <w:rStyle w:val="Hyperlink"/>
            <w:noProof/>
          </w:rPr>
          <w:t>Cocreation and Brand Management</w:t>
        </w:r>
        <w:r w:rsidR="00412FD5">
          <w:rPr>
            <w:noProof/>
            <w:webHidden/>
          </w:rPr>
          <w:tab/>
        </w:r>
        <w:r w:rsidR="00412FD5">
          <w:rPr>
            <w:noProof/>
            <w:webHidden/>
          </w:rPr>
          <w:fldChar w:fldCharType="begin"/>
        </w:r>
        <w:r w:rsidR="00412FD5">
          <w:rPr>
            <w:noProof/>
            <w:webHidden/>
          </w:rPr>
          <w:instrText xml:space="preserve"> PAGEREF _Toc420572561 \h </w:instrText>
        </w:r>
        <w:r w:rsidR="00412FD5">
          <w:rPr>
            <w:noProof/>
            <w:webHidden/>
          </w:rPr>
        </w:r>
        <w:r w:rsidR="00412FD5">
          <w:rPr>
            <w:noProof/>
            <w:webHidden/>
          </w:rPr>
          <w:fldChar w:fldCharType="separate"/>
        </w:r>
        <w:r w:rsidR="00412FD5">
          <w:rPr>
            <w:noProof/>
            <w:webHidden/>
          </w:rPr>
          <w:t>38</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62" w:history="1">
        <w:r w:rsidR="00412FD5" w:rsidRPr="005C0243">
          <w:rPr>
            <w:rStyle w:val="Hyperlink"/>
            <w:noProof/>
          </w:rPr>
          <w:t>Practical Challenges Associated with Cocreation</w:t>
        </w:r>
        <w:r w:rsidR="00412FD5">
          <w:rPr>
            <w:noProof/>
            <w:webHidden/>
          </w:rPr>
          <w:tab/>
        </w:r>
        <w:r w:rsidR="00412FD5">
          <w:rPr>
            <w:noProof/>
            <w:webHidden/>
          </w:rPr>
          <w:fldChar w:fldCharType="begin"/>
        </w:r>
        <w:r w:rsidR="00412FD5">
          <w:rPr>
            <w:noProof/>
            <w:webHidden/>
          </w:rPr>
          <w:instrText xml:space="preserve"> PAGEREF _Toc420572562 \h </w:instrText>
        </w:r>
        <w:r w:rsidR="00412FD5">
          <w:rPr>
            <w:noProof/>
            <w:webHidden/>
          </w:rPr>
        </w:r>
        <w:r w:rsidR="00412FD5">
          <w:rPr>
            <w:noProof/>
            <w:webHidden/>
          </w:rPr>
          <w:fldChar w:fldCharType="separate"/>
        </w:r>
        <w:r w:rsidR="00412FD5">
          <w:rPr>
            <w:noProof/>
            <w:webHidden/>
          </w:rPr>
          <w:t>40</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63" w:history="1">
        <w:r w:rsidR="00412FD5" w:rsidRPr="005C0243">
          <w:rPr>
            <w:rStyle w:val="Hyperlink"/>
            <w:noProof/>
          </w:rPr>
          <w:t>Cognitive Theories in Innovation and New Product Development</w:t>
        </w:r>
        <w:r w:rsidR="00412FD5">
          <w:rPr>
            <w:noProof/>
            <w:webHidden/>
          </w:rPr>
          <w:tab/>
        </w:r>
        <w:r w:rsidR="00412FD5">
          <w:rPr>
            <w:noProof/>
            <w:webHidden/>
          </w:rPr>
          <w:fldChar w:fldCharType="begin"/>
        </w:r>
        <w:r w:rsidR="00412FD5">
          <w:rPr>
            <w:noProof/>
            <w:webHidden/>
          </w:rPr>
          <w:instrText xml:space="preserve"> PAGEREF _Toc420572563 \h </w:instrText>
        </w:r>
        <w:r w:rsidR="00412FD5">
          <w:rPr>
            <w:noProof/>
            <w:webHidden/>
          </w:rPr>
        </w:r>
        <w:r w:rsidR="00412FD5">
          <w:rPr>
            <w:noProof/>
            <w:webHidden/>
          </w:rPr>
          <w:fldChar w:fldCharType="separate"/>
        </w:r>
        <w:r w:rsidR="00412FD5">
          <w:rPr>
            <w:noProof/>
            <w:webHidden/>
          </w:rPr>
          <w:t>43</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64" w:history="1">
        <w:r w:rsidR="00412FD5" w:rsidRPr="005C0243">
          <w:rPr>
            <w:rStyle w:val="Hyperlink"/>
            <w:noProof/>
          </w:rPr>
          <w:t>Regulatory Focus Theory</w:t>
        </w:r>
        <w:r w:rsidR="00412FD5">
          <w:rPr>
            <w:noProof/>
            <w:webHidden/>
          </w:rPr>
          <w:tab/>
        </w:r>
        <w:r w:rsidR="00412FD5">
          <w:rPr>
            <w:noProof/>
            <w:webHidden/>
          </w:rPr>
          <w:fldChar w:fldCharType="begin"/>
        </w:r>
        <w:r w:rsidR="00412FD5">
          <w:rPr>
            <w:noProof/>
            <w:webHidden/>
          </w:rPr>
          <w:instrText xml:space="preserve"> PAGEREF _Toc420572564 \h </w:instrText>
        </w:r>
        <w:r w:rsidR="00412FD5">
          <w:rPr>
            <w:noProof/>
            <w:webHidden/>
          </w:rPr>
        </w:r>
        <w:r w:rsidR="00412FD5">
          <w:rPr>
            <w:noProof/>
            <w:webHidden/>
          </w:rPr>
          <w:fldChar w:fldCharType="separate"/>
        </w:r>
        <w:r w:rsidR="00412FD5">
          <w:rPr>
            <w:noProof/>
            <w:webHidden/>
          </w:rPr>
          <w:t>44</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65" w:history="1">
        <w:r w:rsidR="00412FD5" w:rsidRPr="005C0243">
          <w:rPr>
            <w:rStyle w:val="Hyperlink"/>
            <w:noProof/>
          </w:rPr>
          <w:t>Regulatory Focus in Innovation</w:t>
        </w:r>
        <w:r w:rsidR="00412FD5">
          <w:rPr>
            <w:noProof/>
            <w:webHidden/>
          </w:rPr>
          <w:tab/>
        </w:r>
        <w:r w:rsidR="00412FD5">
          <w:rPr>
            <w:noProof/>
            <w:webHidden/>
          </w:rPr>
          <w:fldChar w:fldCharType="begin"/>
        </w:r>
        <w:r w:rsidR="00412FD5">
          <w:rPr>
            <w:noProof/>
            <w:webHidden/>
          </w:rPr>
          <w:instrText xml:space="preserve"> PAGEREF _Toc420572565 \h </w:instrText>
        </w:r>
        <w:r w:rsidR="00412FD5">
          <w:rPr>
            <w:noProof/>
            <w:webHidden/>
          </w:rPr>
        </w:r>
        <w:r w:rsidR="00412FD5">
          <w:rPr>
            <w:noProof/>
            <w:webHidden/>
          </w:rPr>
          <w:fldChar w:fldCharType="separate"/>
        </w:r>
        <w:r w:rsidR="00412FD5">
          <w:rPr>
            <w:noProof/>
            <w:webHidden/>
          </w:rPr>
          <w:t>47</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66" w:history="1">
        <w:r w:rsidR="00412FD5" w:rsidRPr="005C0243">
          <w:rPr>
            <w:rStyle w:val="Hyperlink"/>
            <w:noProof/>
          </w:rPr>
          <w:t>Team Reflexivity</w:t>
        </w:r>
        <w:r w:rsidR="00412FD5">
          <w:rPr>
            <w:noProof/>
            <w:webHidden/>
          </w:rPr>
          <w:tab/>
        </w:r>
        <w:r w:rsidR="00412FD5">
          <w:rPr>
            <w:noProof/>
            <w:webHidden/>
          </w:rPr>
          <w:fldChar w:fldCharType="begin"/>
        </w:r>
        <w:r w:rsidR="00412FD5">
          <w:rPr>
            <w:noProof/>
            <w:webHidden/>
          </w:rPr>
          <w:instrText xml:space="preserve"> PAGEREF _Toc420572566 \h </w:instrText>
        </w:r>
        <w:r w:rsidR="00412FD5">
          <w:rPr>
            <w:noProof/>
            <w:webHidden/>
          </w:rPr>
        </w:r>
        <w:r w:rsidR="00412FD5">
          <w:rPr>
            <w:noProof/>
            <w:webHidden/>
          </w:rPr>
          <w:fldChar w:fldCharType="separate"/>
        </w:r>
        <w:r w:rsidR="00412FD5">
          <w:rPr>
            <w:noProof/>
            <w:webHidden/>
          </w:rPr>
          <w:t>51</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67" w:history="1">
        <w:r w:rsidR="00412FD5" w:rsidRPr="005C0243">
          <w:rPr>
            <w:rStyle w:val="Hyperlink"/>
            <w:noProof/>
          </w:rPr>
          <w:t>Team Reflexivity in the Innovation Literature</w:t>
        </w:r>
        <w:r w:rsidR="00412FD5">
          <w:rPr>
            <w:noProof/>
            <w:webHidden/>
          </w:rPr>
          <w:tab/>
        </w:r>
        <w:r w:rsidR="00412FD5">
          <w:rPr>
            <w:noProof/>
            <w:webHidden/>
          </w:rPr>
          <w:fldChar w:fldCharType="begin"/>
        </w:r>
        <w:r w:rsidR="00412FD5">
          <w:rPr>
            <w:noProof/>
            <w:webHidden/>
          </w:rPr>
          <w:instrText xml:space="preserve"> PAGEREF _Toc420572567 \h </w:instrText>
        </w:r>
        <w:r w:rsidR="00412FD5">
          <w:rPr>
            <w:noProof/>
            <w:webHidden/>
          </w:rPr>
        </w:r>
        <w:r w:rsidR="00412FD5">
          <w:rPr>
            <w:noProof/>
            <w:webHidden/>
          </w:rPr>
          <w:fldChar w:fldCharType="separate"/>
        </w:r>
        <w:r w:rsidR="00412FD5">
          <w:rPr>
            <w:noProof/>
            <w:webHidden/>
          </w:rPr>
          <w:t>53</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68" w:history="1">
        <w:r w:rsidR="00412FD5" w:rsidRPr="005C0243">
          <w:rPr>
            <w:rStyle w:val="Hyperlink"/>
            <w:noProof/>
          </w:rPr>
          <w:t>Hypothesis Development</w:t>
        </w:r>
        <w:r w:rsidR="00412FD5">
          <w:rPr>
            <w:noProof/>
            <w:webHidden/>
          </w:rPr>
          <w:tab/>
        </w:r>
        <w:r w:rsidR="00412FD5">
          <w:rPr>
            <w:noProof/>
            <w:webHidden/>
          </w:rPr>
          <w:fldChar w:fldCharType="begin"/>
        </w:r>
        <w:r w:rsidR="00412FD5">
          <w:rPr>
            <w:noProof/>
            <w:webHidden/>
          </w:rPr>
          <w:instrText xml:space="preserve"> PAGEREF _Toc420572568 \h </w:instrText>
        </w:r>
        <w:r w:rsidR="00412FD5">
          <w:rPr>
            <w:noProof/>
            <w:webHidden/>
          </w:rPr>
        </w:r>
        <w:r w:rsidR="00412FD5">
          <w:rPr>
            <w:noProof/>
            <w:webHidden/>
          </w:rPr>
          <w:fldChar w:fldCharType="separate"/>
        </w:r>
        <w:r w:rsidR="00412FD5">
          <w:rPr>
            <w:noProof/>
            <w:webHidden/>
          </w:rPr>
          <w:t>60</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69" w:history="1">
        <w:r w:rsidR="00412FD5" w:rsidRPr="005C0243">
          <w:rPr>
            <w:rStyle w:val="Hyperlink"/>
            <w:noProof/>
          </w:rPr>
          <w:t>Innovativeness Selection Skill in Cocreation</w:t>
        </w:r>
        <w:r w:rsidR="00412FD5">
          <w:rPr>
            <w:noProof/>
            <w:webHidden/>
          </w:rPr>
          <w:tab/>
        </w:r>
        <w:r w:rsidR="00412FD5">
          <w:rPr>
            <w:noProof/>
            <w:webHidden/>
          </w:rPr>
          <w:fldChar w:fldCharType="begin"/>
        </w:r>
        <w:r w:rsidR="00412FD5">
          <w:rPr>
            <w:noProof/>
            <w:webHidden/>
          </w:rPr>
          <w:instrText xml:space="preserve"> PAGEREF _Toc420572569 \h </w:instrText>
        </w:r>
        <w:r w:rsidR="00412FD5">
          <w:rPr>
            <w:noProof/>
            <w:webHidden/>
          </w:rPr>
        </w:r>
        <w:r w:rsidR="00412FD5">
          <w:rPr>
            <w:noProof/>
            <w:webHidden/>
          </w:rPr>
          <w:fldChar w:fldCharType="separate"/>
        </w:r>
        <w:r w:rsidR="00412FD5">
          <w:rPr>
            <w:noProof/>
            <w:webHidden/>
          </w:rPr>
          <w:t>60</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70" w:history="1">
        <w:r w:rsidR="00412FD5" w:rsidRPr="005C0243">
          <w:rPr>
            <w:rStyle w:val="Hyperlink"/>
            <w:noProof/>
          </w:rPr>
          <w:t>Performance-Based Selection Skill in Cocreation</w:t>
        </w:r>
        <w:r w:rsidR="00412FD5">
          <w:rPr>
            <w:noProof/>
            <w:webHidden/>
          </w:rPr>
          <w:tab/>
        </w:r>
        <w:r w:rsidR="00412FD5">
          <w:rPr>
            <w:noProof/>
            <w:webHidden/>
          </w:rPr>
          <w:fldChar w:fldCharType="begin"/>
        </w:r>
        <w:r w:rsidR="00412FD5">
          <w:rPr>
            <w:noProof/>
            <w:webHidden/>
          </w:rPr>
          <w:instrText xml:space="preserve"> PAGEREF _Toc420572570 \h </w:instrText>
        </w:r>
        <w:r w:rsidR="00412FD5">
          <w:rPr>
            <w:noProof/>
            <w:webHidden/>
          </w:rPr>
        </w:r>
        <w:r w:rsidR="00412FD5">
          <w:rPr>
            <w:noProof/>
            <w:webHidden/>
          </w:rPr>
          <w:fldChar w:fldCharType="separate"/>
        </w:r>
        <w:r w:rsidR="00412FD5">
          <w:rPr>
            <w:noProof/>
            <w:webHidden/>
          </w:rPr>
          <w:t>63</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71" w:history="1">
        <w:r w:rsidR="00412FD5" w:rsidRPr="005C0243">
          <w:rPr>
            <w:rStyle w:val="Hyperlink"/>
            <w:noProof/>
          </w:rPr>
          <w:t>Team Regulatory Focus and Customer Idea Innovativeness</w:t>
        </w:r>
        <w:r w:rsidR="00412FD5">
          <w:rPr>
            <w:noProof/>
            <w:webHidden/>
          </w:rPr>
          <w:tab/>
        </w:r>
        <w:r w:rsidR="00412FD5">
          <w:rPr>
            <w:noProof/>
            <w:webHidden/>
          </w:rPr>
          <w:fldChar w:fldCharType="begin"/>
        </w:r>
        <w:r w:rsidR="00412FD5">
          <w:rPr>
            <w:noProof/>
            <w:webHidden/>
          </w:rPr>
          <w:instrText xml:space="preserve"> PAGEREF _Toc420572571 \h </w:instrText>
        </w:r>
        <w:r w:rsidR="00412FD5">
          <w:rPr>
            <w:noProof/>
            <w:webHidden/>
          </w:rPr>
        </w:r>
        <w:r w:rsidR="00412FD5">
          <w:rPr>
            <w:noProof/>
            <w:webHidden/>
          </w:rPr>
          <w:fldChar w:fldCharType="separate"/>
        </w:r>
        <w:r w:rsidR="00412FD5">
          <w:rPr>
            <w:noProof/>
            <w:webHidden/>
          </w:rPr>
          <w:t>64</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72" w:history="1">
        <w:r w:rsidR="00412FD5" w:rsidRPr="005C0243">
          <w:rPr>
            <w:rStyle w:val="Hyperlink"/>
            <w:noProof/>
          </w:rPr>
          <w:t>Team Reflexivity and Customer Idea Innovativeness</w:t>
        </w:r>
        <w:r w:rsidR="00412FD5">
          <w:rPr>
            <w:noProof/>
            <w:webHidden/>
          </w:rPr>
          <w:tab/>
        </w:r>
        <w:r w:rsidR="00412FD5">
          <w:rPr>
            <w:noProof/>
            <w:webHidden/>
          </w:rPr>
          <w:fldChar w:fldCharType="begin"/>
        </w:r>
        <w:r w:rsidR="00412FD5">
          <w:rPr>
            <w:noProof/>
            <w:webHidden/>
          </w:rPr>
          <w:instrText xml:space="preserve"> PAGEREF _Toc420572572 \h </w:instrText>
        </w:r>
        <w:r w:rsidR="00412FD5">
          <w:rPr>
            <w:noProof/>
            <w:webHidden/>
          </w:rPr>
        </w:r>
        <w:r w:rsidR="00412FD5">
          <w:rPr>
            <w:noProof/>
            <w:webHidden/>
          </w:rPr>
          <w:fldChar w:fldCharType="separate"/>
        </w:r>
        <w:r w:rsidR="00412FD5">
          <w:rPr>
            <w:noProof/>
            <w:webHidden/>
          </w:rPr>
          <w:t>67</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73" w:history="1">
        <w:r w:rsidR="00412FD5" w:rsidRPr="005C0243">
          <w:rPr>
            <w:rStyle w:val="Hyperlink"/>
            <w:noProof/>
          </w:rPr>
          <w:t>Influence of Regulatory Focus x Reflexivity on Novelty, Meaningfulness, and Feasibility</w:t>
        </w:r>
        <w:r w:rsidR="00412FD5">
          <w:rPr>
            <w:noProof/>
            <w:webHidden/>
          </w:rPr>
          <w:tab/>
        </w:r>
        <w:r w:rsidR="00412FD5">
          <w:rPr>
            <w:noProof/>
            <w:webHidden/>
          </w:rPr>
          <w:fldChar w:fldCharType="begin"/>
        </w:r>
        <w:r w:rsidR="00412FD5">
          <w:rPr>
            <w:noProof/>
            <w:webHidden/>
          </w:rPr>
          <w:instrText xml:space="preserve"> PAGEREF _Toc420572573 \h </w:instrText>
        </w:r>
        <w:r w:rsidR="00412FD5">
          <w:rPr>
            <w:noProof/>
            <w:webHidden/>
          </w:rPr>
        </w:r>
        <w:r w:rsidR="00412FD5">
          <w:rPr>
            <w:noProof/>
            <w:webHidden/>
          </w:rPr>
          <w:fldChar w:fldCharType="separate"/>
        </w:r>
        <w:r w:rsidR="00412FD5">
          <w:rPr>
            <w:noProof/>
            <w:webHidden/>
          </w:rPr>
          <w:t>68</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74" w:history="1">
        <w:r w:rsidR="00412FD5" w:rsidRPr="005C0243">
          <w:rPr>
            <w:rStyle w:val="Hyperlink"/>
            <w:noProof/>
          </w:rPr>
          <w:t>Team Regulatory Focus and Positive/Negative Hits</w:t>
        </w:r>
        <w:r w:rsidR="00412FD5">
          <w:rPr>
            <w:noProof/>
            <w:webHidden/>
          </w:rPr>
          <w:tab/>
        </w:r>
        <w:r w:rsidR="00412FD5">
          <w:rPr>
            <w:noProof/>
            <w:webHidden/>
          </w:rPr>
          <w:fldChar w:fldCharType="begin"/>
        </w:r>
        <w:r w:rsidR="00412FD5">
          <w:rPr>
            <w:noProof/>
            <w:webHidden/>
          </w:rPr>
          <w:instrText xml:space="preserve"> PAGEREF _Toc420572574 \h </w:instrText>
        </w:r>
        <w:r w:rsidR="00412FD5">
          <w:rPr>
            <w:noProof/>
            <w:webHidden/>
          </w:rPr>
        </w:r>
        <w:r w:rsidR="00412FD5">
          <w:rPr>
            <w:noProof/>
            <w:webHidden/>
          </w:rPr>
          <w:fldChar w:fldCharType="separate"/>
        </w:r>
        <w:r w:rsidR="00412FD5">
          <w:rPr>
            <w:noProof/>
            <w:webHidden/>
          </w:rPr>
          <w:t>70</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75" w:history="1">
        <w:r w:rsidR="00412FD5" w:rsidRPr="005C0243">
          <w:rPr>
            <w:rStyle w:val="Hyperlink"/>
            <w:noProof/>
          </w:rPr>
          <w:t>Team Reflexivity and Positive/Negative Hits</w:t>
        </w:r>
        <w:r w:rsidR="00412FD5">
          <w:rPr>
            <w:noProof/>
            <w:webHidden/>
          </w:rPr>
          <w:tab/>
        </w:r>
        <w:r w:rsidR="00412FD5">
          <w:rPr>
            <w:noProof/>
            <w:webHidden/>
          </w:rPr>
          <w:fldChar w:fldCharType="begin"/>
        </w:r>
        <w:r w:rsidR="00412FD5">
          <w:rPr>
            <w:noProof/>
            <w:webHidden/>
          </w:rPr>
          <w:instrText xml:space="preserve"> PAGEREF _Toc420572575 \h </w:instrText>
        </w:r>
        <w:r w:rsidR="00412FD5">
          <w:rPr>
            <w:noProof/>
            <w:webHidden/>
          </w:rPr>
        </w:r>
        <w:r w:rsidR="00412FD5">
          <w:rPr>
            <w:noProof/>
            <w:webHidden/>
          </w:rPr>
          <w:fldChar w:fldCharType="separate"/>
        </w:r>
        <w:r w:rsidR="00412FD5">
          <w:rPr>
            <w:noProof/>
            <w:webHidden/>
          </w:rPr>
          <w:t>72</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76" w:history="1">
        <w:r w:rsidR="00412FD5" w:rsidRPr="005C0243">
          <w:rPr>
            <w:rStyle w:val="Hyperlink"/>
            <w:noProof/>
          </w:rPr>
          <w:t>Team Regulatory Focus x Team Reflexivity Interaction</w:t>
        </w:r>
        <w:r w:rsidR="00412FD5">
          <w:rPr>
            <w:noProof/>
            <w:webHidden/>
          </w:rPr>
          <w:tab/>
        </w:r>
        <w:r w:rsidR="00412FD5">
          <w:rPr>
            <w:noProof/>
            <w:webHidden/>
          </w:rPr>
          <w:fldChar w:fldCharType="begin"/>
        </w:r>
        <w:r w:rsidR="00412FD5">
          <w:rPr>
            <w:noProof/>
            <w:webHidden/>
          </w:rPr>
          <w:instrText xml:space="preserve"> PAGEREF _Toc420572576 \h </w:instrText>
        </w:r>
        <w:r w:rsidR="00412FD5">
          <w:rPr>
            <w:noProof/>
            <w:webHidden/>
          </w:rPr>
        </w:r>
        <w:r w:rsidR="00412FD5">
          <w:rPr>
            <w:noProof/>
            <w:webHidden/>
          </w:rPr>
          <w:fldChar w:fldCharType="separate"/>
        </w:r>
        <w:r w:rsidR="00412FD5">
          <w:rPr>
            <w:noProof/>
            <w:webHidden/>
          </w:rPr>
          <w:t>73</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77" w:history="1">
        <w:r w:rsidR="00412FD5" w:rsidRPr="005C0243">
          <w:rPr>
            <w:rStyle w:val="Hyperlink"/>
            <w:noProof/>
          </w:rPr>
          <w:t>Moderating Effects of Inventor Expertise</w:t>
        </w:r>
        <w:r w:rsidR="00412FD5">
          <w:rPr>
            <w:noProof/>
            <w:webHidden/>
          </w:rPr>
          <w:tab/>
        </w:r>
        <w:r w:rsidR="00412FD5">
          <w:rPr>
            <w:noProof/>
            <w:webHidden/>
          </w:rPr>
          <w:fldChar w:fldCharType="begin"/>
        </w:r>
        <w:r w:rsidR="00412FD5">
          <w:rPr>
            <w:noProof/>
            <w:webHidden/>
          </w:rPr>
          <w:instrText xml:space="preserve"> PAGEREF _Toc420572577 \h </w:instrText>
        </w:r>
        <w:r w:rsidR="00412FD5">
          <w:rPr>
            <w:noProof/>
            <w:webHidden/>
          </w:rPr>
        </w:r>
        <w:r w:rsidR="00412FD5">
          <w:rPr>
            <w:noProof/>
            <w:webHidden/>
          </w:rPr>
          <w:fldChar w:fldCharType="separate"/>
        </w:r>
        <w:r w:rsidR="00412FD5">
          <w:rPr>
            <w:noProof/>
            <w:webHidden/>
          </w:rPr>
          <w:t>74</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78" w:history="1">
        <w:r w:rsidR="00412FD5" w:rsidRPr="005C0243">
          <w:rPr>
            <w:rStyle w:val="Hyperlink"/>
            <w:noProof/>
          </w:rPr>
          <w:t>Chapter 2 Summary</w:t>
        </w:r>
        <w:r w:rsidR="00412FD5">
          <w:rPr>
            <w:noProof/>
            <w:webHidden/>
          </w:rPr>
          <w:tab/>
        </w:r>
        <w:r w:rsidR="00412FD5">
          <w:rPr>
            <w:noProof/>
            <w:webHidden/>
          </w:rPr>
          <w:fldChar w:fldCharType="begin"/>
        </w:r>
        <w:r w:rsidR="00412FD5">
          <w:rPr>
            <w:noProof/>
            <w:webHidden/>
          </w:rPr>
          <w:instrText xml:space="preserve"> PAGEREF _Toc420572578 \h </w:instrText>
        </w:r>
        <w:r w:rsidR="00412FD5">
          <w:rPr>
            <w:noProof/>
            <w:webHidden/>
          </w:rPr>
        </w:r>
        <w:r w:rsidR="00412FD5">
          <w:rPr>
            <w:noProof/>
            <w:webHidden/>
          </w:rPr>
          <w:fldChar w:fldCharType="separate"/>
        </w:r>
        <w:r w:rsidR="00412FD5">
          <w:rPr>
            <w:noProof/>
            <w:webHidden/>
          </w:rPr>
          <w:t>76</w:t>
        </w:r>
        <w:r w:rsidR="00412FD5">
          <w:rPr>
            <w:noProof/>
            <w:webHidden/>
          </w:rPr>
          <w:fldChar w:fldCharType="end"/>
        </w:r>
      </w:hyperlink>
    </w:p>
    <w:p w:rsidR="00412FD5" w:rsidRDefault="007E2E0A">
      <w:pPr>
        <w:pStyle w:val="TOC1"/>
        <w:rPr>
          <w:rFonts w:asciiTheme="minorHAnsi" w:eastAsiaTheme="minorEastAsia" w:hAnsiTheme="minorHAnsi" w:cstheme="minorBidi"/>
          <w:b w:val="0"/>
          <w:sz w:val="22"/>
          <w:szCs w:val="22"/>
        </w:rPr>
      </w:pPr>
      <w:hyperlink w:anchor="_Toc420572579" w:history="1">
        <w:r w:rsidR="00412FD5" w:rsidRPr="005C0243">
          <w:rPr>
            <w:rStyle w:val="Hyperlink"/>
            <w:rFonts w:eastAsia="Calibri"/>
          </w:rPr>
          <w:t xml:space="preserve">Chapter 3 </w:t>
        </w:r>
        <w:r w:rsidR="00412FD5" w:rsidRPr="005C0243">
          <w:rPr>
            <w:rStyle w:val="Hyperlink"/>
          </w:rPr>
          <w:t>Methodology</w:t>
        </w:r>
        <w:r w:rsidR="00412FD5">
          <w:rPr>
            <w:webHidden/>
          </w:rPr>
          <w:tab/>
        </w:r>
        <w:r w:rsidR="00412FD5">
          <w:rPr>
            <w:webHidden/>
          </w:rPr>
          <w:fldChar w:fldCharType="begin"/>
        </w:r>
        <w:r w:rsidR="00412FD5">
          <w:rPr>
            <w:webHidden/>
          </w:rPr>
          <w:instrText xml:space="preserve"> PAGEREF _Toc420572579 \h </w:instrText>
        </w:r>
        <w:r w:rsidR="00412FD5">
          <w:rPr>
            <w:webHidden/>
          </w:rPr>
        </w:r>
        <w:r w:rsidR="00412FD5">
          <w:rPr>
            <w:webHidden/>
          </w:rPr>
          <w:fldChar w:fldCharType="separate"/>
        </w:r>
        <w:r w:rsidR="00412FD5">
          <w:rPr>
            <w:webHidden/>
          </w:rPr>
          <w:t>79</w:t>
        </w:r>
        <w:r w:rsidR="00412FD5">
          <w:rPr>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80" w:history="1">
        <w:r w:rsidR="00412FD5" w:rsidRPr="005C0243">
          <w:rPr>
            <w:rStyle w:val="Hyperlink"/>
            <w:noProof/>
          </w:rPr>
          <w:t>Overview of Studies</w:t>
        </w:r>
        <w:r w:rsidR="00412FD5">
          <w:rPr>
            <w:noProof/>
            <w:webHidden/>
          </w:rPr>
          <w:tab/>
        </w:r>
        <w:r w:rsidR="00412FD5">
          <w:rPr>
            <w:noProof/>
            <w:webHidden/>
          </w:rPr>
          <w:fldChar w:fldCharType="begin"/>
        </w:r>
        <w:r w:rsidR="00412FD5">
          <w:rPr>
            <w:noProof/>
            <w:webHidden/>
          </w:rPr>
          <w:instrText xml:space="preserve"> PAGEREF _Toc420572580 \h </w:instrText>
        </w:r>
        <w:r w:rsidR="00412FD5">
          <w:rPr>
            <w:noProof/>
            <w:webHidden/>
          </w:rPr>
        </w:r>
        <w:r w:rsidR="00412FD5">
          <w:rPr>
            <w:noProof/>
            <w:webHidden/>
          </w:rPr>
          <w:fldChar w:fldCharType="separate"/>
        </w:r>
        <w:r w:rsidR="00412FD5">
          <w:rPr>
            <w:noProof/>
            <w:webHidden/>
          </w:rPr>
          <w:t>79</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81" w:history="1">
        <w:r w:rsidR="00412FD5" w:rsidRPr="005C0243">
          <w:rPr>
            <w:rStyle w:val="Hyperlink"/>
            <w:noProof/>
          </w:rPr>
          <w:t>Study 1 and 2 Pretest</w:t>
        </w:r>
        <w:r w:rsidR="00412FD5">
          <w:rPr>
            <w:noProof/>
            <w:webHidden/>
          </w:rPr>
          <w:tab/>
        </w:r>
        <w:r w:rsidR="00412FD5">
          <w:rPr>
            <w:noProof/>
            <w:webHidden/>
          </w:rPr>
          <w:fldChar w:fldCharType="begin"/>
        </w:r>
        <w:r w:rsidR="00412FD5">
          <w:rPr>
            <w:noProof/>
            <w:webHidden/>
          </w:rPr>
          <w:instrText xml:space="preserve"> PAGEREF _Toc420572581 \h </w:instrText>
        </w:r>
        <w:r w:rsidR="00412FD5">
          <w:rPr>
            <w:noProof/>
            <w:webHidden/>
          </w:rPr>
        </w:r>
        <w:r w:rsidR="00412FD5">
          <w:rPr>
            <w:noProof/>
            <w:webHidden/>
          </w:rPr>
          <w:fldChar w:fldCharType="separate"/>
        </w:r>
        <w:r w:rsidR="00412FD5">
          <w:rPr>
            <w:noProof/>
            <w:webHidden/>
          </w:rPr>
          <w:t>85</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82" w:history="1">
        <w:r w:rsidR="00412FD5" w:rsidRPr="005C0243">
          <w:rPr>
            <w:rStyle w:val="Hyperlink"/>
            <w:noProof/>
          </w:rPr>
          <w:t>Study 1</w:t>
        </w:r>
        <w:r w:rsidR="00412FD5">
          <w:rPr>
            <w:noProof/>
            <w:webHidden/>
          </w:rPr>
          <w:tab/>
        </w:r>
        <w:r w:rsidR="00412FD5">
          <w:rPr>
            <w:noProof/>
            <w:webHidden/>
          </w:rPr>
          <w:fldChar w:fldCharType="begin"/>
        </w:r>
        <w:r w:rsidR="00412FD5">
          <w:rPr>
            <w:noProof/>
            <w:webHidden/>
          </w:rPr>
          <w:instrText xml:space="preserve"> PAGEREF _Toc420572582 \h </w:instrText>
        </w:r>
        <w:r w:rsidR="00412FD5">
          <w:rPr>
            <w:noProof/>
            <w:webHidden/>
          </w:rPr>
        </w:r>
        <w:r w:rsidR="00412FD5">
          <w:rPr>
            <w:noProof/>
            <w:webHidden/>
          </w:rPr>
          <w:fldChar w:fldCharType="separate"/>
        </w:r>
        <w:r w:rsidR="00412FD5">
          <w:rPr>
            <w:noProof/>
            <w:webHidden/>
          </w:rPr>
          <w:t>85</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83" w:history="1">
        <w:r w:rsidR="00412FD5" w:rsidRPr="005C0243">
          <w:rPr>
            <w:rStyle w:val="Hyperlink"/>
            <w:noProof/>
          </w:rPr>
          <w:t>Experimental Manipulations</w:t>
        </w:r>
        <w:r w:rsidR="00412FD5">
          <w:rPr>
            <w:noProof/>
            <w:webHidden/>
          </w:rPr>
          <w:tab/>
        </w:r>
        <w:r w:rsidR="00412FD5">
          <w:rPr>
            <w:noProof/>
            <w:webHidden/>
          </w:rPr>
          <w:fldChar w:fldCharType="begin"/>
        </w:r>
        <w:r w:rsidR="00412FD5">
          <w:rPr>
            <w:noProof/>
            <w:webHidden/>
          </w:rPr>
          <w:instrText xml:space="preserve"> PAGEREF _Toc420572583 \h </w:instrText>
        </w:r>
        <w:r w:rsidR="00412FD5">
          <w:rPr>
            <w:noProof/>
            <w:webHidden/>
          </w:rPr>
        </w:r>
        <w:r w:rsidR="00412FD5">
          <w:rPr>
            <w:noProof/>
            <w:webHidden/>
          </w:rPr>
          <w:fldChar w:fldCharType="separate"/>
        </w:r>
        <w:r w:rsidR="00412FD5">
          <w:rPr>
            <w:noProof/>
            <w:webHidden/>
          </w:rPr>
          <w:t>86</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84" w:history="1">
        <w:r w:rsidR="00412FD5" w:rsidRPr="005C0243">
          <w:rPr>
            <w:rStyle w:val="Hyperlink"/>
            <w:noProof/>
          </w:rPr>
          <w:t>Practice Scenario</w:t>
        </w:r>
        <w:r w:rsidR="00412FD5">
          <w:rPr>
            <w:noProof/>
            <w:webHidden/>
          </w:rPr>
          <w:tab/>
        </w:r>
        <w:r w:rsidR="00412FD5">
          <w:rPr>
            <w:noProof/>
            <w:webHidden/>
          </w:rPr>
          <w:fldChar w:fldCharType="begin"/>
        </w:r>
        <w:r w:rsidR="00412FD5">
          <w:rPr>
            <w:noProof/>
            <w:webHidden/>
          </w:rPr>
          <w:instrText xml:space="preserve"> PAGEREF _Toc420572584 \h </w:instrText>
        </w:r>
        <w:r w:rsidR="00412FD5">
          <w:rPr>
            <w:noProof/>
            <w:webHidden/>
          </w:rPr>
        </w:r>
        <w:r w:rsidR="00412FD5">
          <w:rPr>
            <w:noProof/>
            <w:webHidden/>
          </w:rPr>
          <w:fldChar w:fldCharType="separate"/>
        </w:r>
        <w:r w:rsidR="00412FD5">
          <w:rPr>
            <w:noProof/>
            <w:webHidden/>
          </w:rPr>
          <w:t>86</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85" w:history="1">
        <w:r w:rsidR="00412FD5" w:rsidRPr="005C0243">
          <w:rPr>
            <w:rStyle w:val="Hyperlink"/>
            <w:noProof/>
          </w:rPr>
          <w:t>Study 1 Main Experimental Procedure</w:t>
        </w:r>
        <w:r w:rsidR="00412FD5">
          <w:rPr>
            <w:noProof/>
            <w:webHidden/>
          </w:rPr>
          <w:tab/>
        </w:r>
        <w:r w:rsidR="00412FD5">
          <w:rPr>
            <w:noProof/>
            <w:webHidden/>
          </w:rPr>
          <w:fldChar w:fldCharType="begin"/>
        </w:r>
        <w:r w:rsidR="00412FD5">
          <w:rPr>
            <w:noProof/>
            <w:webHidden/>
          </w:rPr>
          <w:instrText xml:space="preserve"> PAGEREF _Toc420572585 \h </w:instrText>
        </w:r>
        <w:r w:rsidR="00412FD5">
          <w:rPr>
            <w:noProof/>
            <w:webHidden/>
          </w:rPr>
        </w:r>
        <w:r w:rsidR="00412FD5">
          <w:rPr>
            <w:noProof/>
            <w:webHidden/>
          </w:rPr>
          <w:fldChar w:fldCharType="separate"/>
        </w:r>
        <w:r w:rsidR="00412FD5">
          <w:rPr>
            <w:noProof/>
            <w:webHidden/>
          </w:rPr>
          <w:t>89</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86" w:history="1">
        <w:r w:rsidR="00412FD5" w:rsidRPr="005C0243">
          <w:rPr>
            <w:rStyle w:val="Hyperlink"/>
            <w:noProof/>
          </w:rPr>
          <w:t>Statistical Analysis for Study 1</w:t>
        </w:r>
        <w:r w:rsidR="00412FD5">
          <w:rPr>
            <w:noProof/>
            <w:webHidden/>
          </w:rPr>
          <w:tab/>
        </w:r>
        <w:r w:rsidR="00412FD5">
          <w:rPr>
            <w:noProof/>
            <w:webHidden/>
          </w:rPr>
          <w:fldChar w:fldCharType="begin"/>
        </w:r>
        <w:r w:rsidR="00412FD5">
          <w:rPr>
            <w:noProof/>
            <w:webHidden/>
          </w:rPr>
          <w:instrText xml:space="preserve"> PAGEREF _Toc420572586 \h </w:instrText>
        </w:r>
        <w:r w:rsidR="00412FD5">
          <w:rPr>
            <w:noProof/>
            <w:webHidden/>
          </w:rPr>
        </w:r>
        <w:r w:rsidR="00412FD5">
          <w:rPr>
            <w:noProof/>
            <w:webHidden/>
          </w:rPr>
          <w:fldChar w:fldCharType="separate"/>
        </w:r>
        <w:r w:rsidR="00412FD5">
          <w:rPr>
            <w:noProof/>
            <w:webHidden/>
          </w:rPr>
          <w:t>91</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87" w:history="1">
        <w:r w:rsidR="00412FD5" w:rsidRPr="005C0243">
          <w:rPr>
            <w:rStyle w:val="Hyperlink"/>
            <w:noProof/>
          </w:rPr>
          <w:t>Study 2</w:t>
        </w:r>
        <w:r w:rsidR="00412FD5">
          <w:rPr>
            <w:noProof/>
            <w:webHidden/>
          </w:rPr>
          <w:tab/>
        </w:r>
        <w:r w:rsidR="00412FD5">
          <w:rPr>
            <w:noProof/>
            <w:webHidden/>
          </w:rPr>
          <w:fldChar w:fldCharType="begin"/>
        </w:r>
        <w:r w:rsidR="00412FD5">
          <w:rPr>
            <w:noProof/>
            <w:webHidden/>
          </w:rPr>
          <w:instrText xml:space="preserve"> PAGEREF _Toc420572587 \h </w:instrText>
        </w:r>
        <w:r w:rsidR="00412FD5">
          <w:rPr>
            <w:noProof/>
            <w:webHidden/>
          </w:rPr>
        </w:r>
        <w:r w:rsidR="00412FD5">
          <w:rPr>
            <w:noProof/>
            <w:webHidden/>
          </w:rPr>
          <w:fldChar w:fldCharType="separate"/>
        </w:r>
        <w:r w:rsidR="00412FD5">
          <w:rPr>
            <w:noProof/>
            <w:webHidden/>
          </w:rPr>
          <w:t>92</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88" w:history="1">
        <w:r w:rsidR="00412FD5" w:rsidRPr="005C0243">
          <w:rPr>
            <w:rStyle w:val="Hyperlink"/>
            <w:noProof/>
          </w:rPr>
          <w:t>Study 2 Procedure</w:t>
        </w:r>
        <w:r w:rsidR="00412FD5">
          <w:rPr>
            <w:noProof/>
            <w:webHidden/>
          </w:rPr>
          <w:tab/>
        </w:r>
        <w:r w:rsidR="00412FD5">
          <w:rPr>
            <w:noProof/>
            <w:webHidden/>
          </w:rPr>
          <w:fldChar w:fldCharType="begin"/>
        </w:r>
        <w:r w:rsidR="00412FD5">
          <w:rPr>
            <w:noProof/>
            <w:webHidden/>
          </w:rPr>
          <w:instrText xml:space="preserve"> PAGEREF _Toc420572588 \h </w:instrText>
        </w:r>
        <w:r w:rsidR="00412FD5">
          <w:rPr>
            <w:noProof/>
            <w:webHidden/>
          </w:rPr>
        </w:r>
        <w:r w:rsidR="00412FD5">
          <w:rPr>
            <w:noProof/>
            <w:webHidden/>
          </w:rPr>
          <w:fldChar w:fldCharType="separate"/>
        </w:r>
        <w:r w:rsidR="00412FD5">
          <w:rPr>
            <w:noProof/>
            <w:webHidden/>
          </w:rPr>
          <w:t>93</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89" w:history="1">
        <w:r w:rsidR="00412FD5" w:rsidRPr="005C0243">
          <w:rPr>
            <w:rStyle w:val="Hyperlink"/>
            <w:noProof/>
          </w:rPr>
          <w:t>Statistical Analysis for Study 2</w:t>
        </w:r>
        <w:r w:rsidR="00412FD5">
          <w:rPr>
            <w:noProof/>
            <w:webHidden/>
          </w:rPr>
          <w:tab/>
        </w:r>
        <w:r w:rsidR="00412FD5">
          <w:rPr>
            <w:noProof/>
            <w:webHidden/>
          </w:rPr>
          <w:fldChar w:fldCharType="begin"/>
        </w:r>
        <w:r w:rsidR="00412FD5">
          <w:rPr>
            <w:noProof/>
            <w:webHidden/>
          </w:rPr>
          <w:instrText xml:space="preserve"> PAGEREF _Toc420572589 \h </w:instrText>
        </w:r>
        <w:r w:rsidR="00412FD5">
          <w:rPr>
            <w:noProof/>
            <w:webHidden/>
          </w:rPr>
        </w:r>
        <w:r w:rsidR="00412FD5">
          <w:rPr>
            <w:noProof/>
            <w:webHidden/>
          </w:rPr>
          <w:fldChar w:fldCharType="separate"/>
        </w:r>
        <w:r w:rsidR="00412FD5">
          <w:rPr>
            <w:noProof/>
            <w:webHidden/>
          </w:rPr>
          <w:t>94</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90" w:history="1">
        <w:r w:rsidR="00412FD5" w:rsidRPr="005C0243">
          <w:rPr>
            <w:rStyle w:val="Hyperlink"/>
            <w:noProof/>
          </w:rPr>
          <w:t>Study 1 and 2 Scale Reliability</w:t>
        </w:r>
        <w:r w:rsidR="00412FD5">
          <w:rPr>
            <w:noProof/>
            <w:webHidden/>
          </w:rPr>
          <w:tab/>
        </w:r>
        <w:r w:rsidR="00412FD5">
          <w:rPr>
            <w:noProof/>
            <w:webHidden/>
          </w:rPr>
          <w:fldChar w:fldCharType="begin"/>
        </w:r>
        <w:r w:rsidR="00412FD5">
          <w:rPr>
            <w:noProof/>
            <w:webHidden/>
          </w:rPr>
          <w:instrText xml:space="preserve"> PAGEREF _Toc420572590 \h </w:instrText>
        </w:r>
        <w:r w:rsidR="00412FD5">
          <w:rPr>
            <w:noProof/>
            <w:webHidden/>
          </w:rPr>
        </w:r>
        <w:r w:rsidR="00412FD5">
          <w:rPr>
            <w:noProof/>
            <w:webHidden/>
          </w:rPr>
          <w:fldChar w:fldCharType="separate"/>
        </w:r>
        <w:r w:rsidR="00412FD5">
          <w:rPr>
            <w:noProof/>
            <w:webHidden/>
          </w:rPr>
          <w:t>95</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91" w:history="1">
        <w:r w:rsidR="00412FD5" w:rsidRPr="005C0243">
          <w:rPr>
            <w:rStyle w:val="Hyperlink"/>
            <w:noProof/>
          </w:rPr>
          <w:t>Study 3</w:t>
        </w:r>
        <w:r w:rsidR="00412FD5">
          <w:rPr>
            <w:noProof/>
            <w:webHidden/>
          </w:rPr>
          <w:tab/>
        </w:r>
        <w:r w:rsidR="00412FD5">
          <w:rPr>
            <w:noProof/>
            <w:webHidden/>
          </w:rPr>
          <w:fldChar w:fldCharType="begin"/>
        </w:r>
        <w:r w:rsidR="00412FD5">
          <w:rPr>
            <w:noProof/>
            <w:webHidden/>
          </w:rPr>
          <w:instrText xml:space="preserve"> PAGEREF _Toc420572591 \h </w:instrText>
        </w:r>
        <w:r w:rsidR="00412FD5">
          <w:rPr>
            <w:noProof/>
            <w:webHidden/>
          </w:rPr>
        </w:r>
        <w:r w:rsidR="00412FD5">
          <w:rPr>
            <w:noProof/>
            <w:webHidden/>
          </w:rPr>
          <w:fldChar w:fldCharType="separate"/>
        </w:r>
        <w:r w:rsidR="00412FD5">
          <w:rPr>
            <w:noProof/>
            <w:webHidden/>
          </w:rPr>
          <w:t>95</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92" w:history="1">
        <w:r w:rsidR="00412FD5" w:rsidRPr="005C0243">
          <w:rPr>
            <w:rStyle w:val="Hyperlink"/>
            <w:noProof/>
          </w:rPr>
          <w:t>Study 3 Dependent Variables</w:t>
        </w:r>
        <w:r w:rsidR="00412FD5">
          <w:rPr>
            <w:noProof/>
            <w:webHidden/>
          </w:rPr>
          <w:tab/>
        </w:r>
        <w:r w:rsidR="00412FD5">
          <w:rPr>
            <w:noProof/>
            <w:webHidden/>
          </w:rPr>
          <w:fldChar w:fldCharType="begin"/>
        </w:r>
        <w:r w:rsidR="00412FD5">
          <w:rPr>
            <w:noProof/>
            <w:webHidden/>
          </w:rPr>
          <w:instrText xml:space="preserve"> PAGEREF _Toc420572592 \h </w:instrText>
        </w:r>
        <w:r w:rsidR="00412FD5">
          <w:rPr>
            <w:noProof/>
            <w:webHidden/>
          </w:rPr>
        </w:r>
        <w:r w:rsidR="00412FD5">
          <w:rPr>
            <w:noProof/>
            <w:webHidden/>
          </w:rPr>
          <w:fldChar w:fldCharType="separate"/>
        </w:r>
        <w:r w:rsidR="00412FD5">
          <w:rPr>
            <w:noProof/>
            <w:webHidden/>
          </w:rPr>
          <w:t>97</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93" w:history="1">
        <w:r w:rsidR="00412FD5" w:rsidRPr="005C0243">
          <w:rPr>
            <w:rStyle w:val="Hyperlink"/>
            <w:noProof/>
          </w:rPr>
          <w:t>Study 3 Independent Variables</w:t>
        </w:r>
        <w:r w:rsidR="00412FD5">
          <w:rPr>
            <w:noProof/>
            <w:webHidden/>
          </w:rPr>
          <w:tab/>
        </w:r>
        <w:r w:rsidR="00412FD5">
          <w:rPr>
            <w:noProof/>
            <w:webHidden/>
          </w:rPr>
          <w:fldChar w:fldCharType="begin"/>
        </w:r>
        <w:r w:rsidR="00412FD5">
          <w:rPr>
            <w:noProof/>
            <w:webHidden/>
          </w:rPr>
          <w:instrText xml:space="preserve"> PAGEREF _Toc420572593 \h </w:instrText>
        </w:r>
        <w:r w:rsidR="00412FD5">
          <w:rPr>
            <w:noProof/>
            <w:webHidden/>
          </w:rPr>
        </w:r>
        <w:r w:rsidR="00412FD5">
          <w:rPr>
            <w:noProof/>
            <w:webHidden/>
          </w:rPr>
          <w:fldChar w:fldCharType="separate"/>
        </w:r>
        <w:r w:rsidR="00412FD5">
          <w:rPr>
            <w:noProof/>
            <w:webHidden/>
          </w:rPr>
          <w:t>98</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94" w:history="1">
        <w:r w:rsidR="00412FD5" w:rsidRPr="005C0243">
          <w:rPr>
            <w:rStyle w:val="Hyperlink"/>
            <w:noProof/>
          </w:rPr>
          <w:t>Study 3 Control Variables</w:t>
        </w:r>
        <w:r w:rsidR="00412FD5">
          <w:rPr>
            <w:noProof/>
            <w:webHidden/>
          </w:rPr>
          <w:tab/>
        </w:r>
        <w:r w:rsidR="00412FD5">
          <w:rPr>
            <w:noProof/>
            <w:webHidden/>
          </w:rPr>
          <w:fldChar w:fldCharType="begin"/>
        </w:r>
        <w:r w:rsidR="00412FD5">
          <w:rPr>
            <w:noProof/>
            <w:webHidden/>
          </w:rPr>
          <w:instrText xml:space="preserve"> PAGEREF _Toc420572594 \h </w:instrText>
        </w:r>
        <w:r w:rsidR="00412FD5">
          <w:rPr>
            <w:noProof/>
            <w:webHidden/>
          </w:rPr>
        </w:r>
        <w:r w:rsidR="00412FD5">
          <w:rPr>
            <w:noProof/>
            <w:webHidden/>
          </w:rPr>
          <w:fldChar w:fldCharType="separate"/>
        </w:r>
        <w:r w:rsidR="00412FD5">
          <w:rPr>
            <w:noProof/>
            <w:webHidden/>
          </w:rPr>
          <w:t>99</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595" w:history="1">
        <w:r w:rsidR="00412FD5" w:rsidRPr="005C0243">
          <w:rPr>
            <w:rStyle w:val="Hyperlink"/>
            <w:noProof/>
          </w:rPr>
          <w:t>Statistical Analysis for Study 3</w:t>
        </w:r>
        <w:r w:rsidR="00412FD5">
          <w:rPr>
            <w:noProof/>
            <w:webHidden/>
          </w:rPr>
          <w:tab/>
        </w:r>
        <w:r w:rsidR="00412FD5">
          <w:rPr>
            <w:noProof/>
            <w:webHidden/>
          </w:rPr>
          <w:fldChar w:fldCharType="begin"/>
        </w:r>
        <w:r w:rsidR="00412FD5">
          <w:rPr>
            <w:noProof/>
            <w:webHidden/>
          </w:rPr>
          <w:instrText xml:space="preserve"> PAGEREF _Toc420572595 \h </w:instrText>
        </w:r>
        <w:r w:rsidR="00412FD5">
          <w:rPr>
            <w:noProof/>
            <w:webHidden/>
          </w:rPr>
        </w:r>
        <w:r w:rsidR="00412FD5">
          <w:rPr>
            <w:noProof/>
            <w:webHidden/>
          </w:rPr>
          <w:fldChar w:fldCharType="separate"/>
        </w:r>
        <w:r w:rsidR="00412FD5">
          <w:rPr>
            <w:noProof/>
            <w:webHidden/>
          </w:rPr>
          <w:t>101</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96" w:history="1">
        <w:r w:rsidR="00412FD5" w:rsidRPr="005C0243">
          <w:rPr>
            <w:rStyle w:val="Hyperlink"/>
            <w:noProof/>
          </w:rPr>
          <w:t>Overview of Chapter 3</w:t>
        </w:r>
        <w:r w:rsidR="00412FD5">
          <w:rPr>
            <w:noProof/>
            <w:webHidden/>
          </w:rPr>
          <w:tab/>
        </w:r>
        <w:r w:rsidR="00412FD5">
          <w:rPr>
            <w:noProof/>
            <w:webHidden/>
          </w:rPr>
          <w:fldChar w:fldCharType="begin"/>
        </w:r>
        <w:r w:rsidR="00412FD5">
          <w:rPr>
            <w:noProof/>
            <w:webHidden/>
          </w:rPr>
          <w:instrText xml:space="preserve"> PAGEREF _Toc420572596 \h </w:instrText>
        </w:r>
        <w:r w:rsidR="00412FD5">
          <w:rPr>
            <w:noProof/>
            <w:webHidden/>
          </w:rPr>
        </w:r>
        <w:r w:rsidR="00412FD5">
          <w:rPr>
            <w:noProof/>
            <w:webHidden/>
          </w:rPr>
          <w:fldChar w:fldCharType="separate"/>
        </w:r>
        <w:r w:rsidR="00412FD5">
          <w:rPr>
            <w:noProof/>
            <w:webHidden/>
          </w:rPr>
          <w:t>101</w:t>
        </w:r>
        <w:r w:rsidR="00412FD5">
          <w:rPr>
            <w:noProof/>
            <w:webHidden/>
          </w:rPr>
          <w:fldChar w:fldCharType="end"/>
        </w:r>
      </w:hyperlink>
    </w:p>
    <w:p w:rsidR="00412FD5" w:rsidRDefault="007E2E0A">
      <w:pPr>
        <w:pStyle w:val="TOC1"/>
        <w:rPr>
          <w:rFonts w:asciiTheme="minorHAnsi" w:eastAsiaTheme="minorEastAsia" w:hAnsiTheme="minorHAnsi" w:cstheme="minorBidi"/>
          <w:b w:val="0"/>
          <w:sz w:val="22"/>
          <w:szCs w:val="22"/>
        </w:rPr>
      </w:pPr>
      <w:hyperlink w:anchor="_Toc420572597" w:history="1">
        <w:r w:rsidR="00412FD5" w:rsidRPr="005C0243">
          <w:rPr>
            <w:rStyle w:val="Hyperlink"/>
          </w:rPr>
          <w:t>Chapter 4  Results</w:t>
        </w:r>
        <w:r w:rsidR="00412FD5">
          <w:rPr>
            <w:webHidden/>
          </w:rPr>
          <w:tab/>
        </w:r>
        <w:r w:rsidR="00412FD5">
          <w:rPr>
            <w:webHidden/>
          </w:rPr>
          <w:fldChar w:fldCharType="begin"/>
        </w:r>
        <w:r w:rsidR="00412FD5">
          <w:rPr>
            <w:webHidden/>
          </w:rPr>
          <w:instrText xml:space="preserve"> PAGEREF _Toc420572597 \h </w:instrText>
        </w:r>
        <w:r w:rsidR="00412FD5">
          <w:rPr>
            <w:webHidden/>
          </w:rPr>
        </w:r>
        <w:r w:rsidR="00412FD5">
          <w:rPr>
            <w:webHidden/>
          </w:rPr>
          <w:fldChar w:fldCharType="separate"/>
        </w:r>
        <w:r w:rsidR="00412FD5">
          <w:rPr>
            <w:webHidden/>
          </w:rPr>
          <w:t>103</w:t>
        </w:r>
        <w:r w:rsidR="00412FD5">
          <w:rPr>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98" w:history="1">
        <w:r w:rsidR="00412FD5" w:rsidRPr="005C0243">
          <w:rPr>
            <w:rStyle w:val="Hyperlink"/>
            <w:noProof/>
          </w:rPr>
          <w:t>Overview of Studies</w:t>
        </w:r>
        <w:r w:rsidR="00412FD5">
          <w:rPr>
            <w:noProof/>
            <w:webHidden/>
          </w:rPr>
          <w:tab/>
        </w:r>
        <w:r w:rsidR="00412FD5">
          <w:rPr>
            <w:noProof/>
            <w:webHidden/>
          </w:rPr>
          <w:fldChar w:fldCharType="begin"/>
        </w:r>
        <w:r w:rsidR="00412FD5">
          <w:rPr>
            <w:noProof/>
            <w:webHidden/>
          </w:rPr>
          <w:instrText xml:space="preserve"> PAGEREF _Toc420572598 \h </w:instrText>
        </w:r>
        <w:r w:rsidR="00412FD5">
          <w:rPr>
            <w:noProof/>
            <w:webHidden/>
          </w:rPr>
        </w:r>
        <w:r w:rsidR="00412FD5">
          <w:rPr>
            <w:noProof/>
            <w:webHidden/>
          </w:rPr>
          <w:fldChar w:fldCharType="separate"/>
        </w:r>
        <w:r w:rsidR="00412FD5">
          <w:rPr>
            <w:noProof/>
            <w:webHidden/>
          </w:rPr>
          <w:t>103</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599" w:history="1">
        <w:r w:rsidR="00412FD5" w:rsidRPr="005C0243">
          <w:rPr>
            <w:rStyle w:val="Hyperlink"/>
            <w:noProof/>
          </w:rPr>
          <w:t>Study 1</w:t>
        </w:r>
        <w:r w:rsidR="00412FD5">
          <w:rPr>
            <w:noProof/>
            <w:webHidden/>
          </w:rPr>
          <w:tab/>
        </w:r>
        <w:r w:rsidR="00412FD5">
          <w:rPr>
            <w:noProof/>
            <w:webHidden/>
          </w:rPr>
          <w:fldChar w:fldCharType="begin"/>
        </w:r>
        <w:r w:rsidR="00412FD5">
          <w:rPr>
            <w:noProof/>
            <w:webHidden/>
          </w:rPr>
          <w:instrText xml:space="preserve"> PAGEREF _Toc420572599 \h </w:instrText>
        </w:r>
        <w:r w:rsidR="00412FD5">
          <w:rPr>
            <w:noProof/>
            <w:webHidden/>
          </w:rPr>
        </w:r>
        <w:r w:rsidR="00412FD5">
          <w:rPr>
            <w:noProof/>
            <w:webHidden/>
          </w:rPr>
          <w:fldChar w:fldCharType="separate"/>
        </w:r>
        <w:r w:rsidR="00412FD5">
          <w:rPr>
            <w:noProof/>
            <w:webHidden/>
          </w:rPr>
          <w:t>103</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00" w:history="1">
        <w:r w:rsidR="00412FD5" w:rsidRPr="005C0243">
          <w:rPr>
            <w:rStyle w:val="Hyperlink"/>
            <w:noProof/>
          </w:rPr>
          <w:t>Pretesting the Manipulated Variables for Study 1 and Study 2</w:t>
        </w:r>
        <w:r w:rsidR="00412FD5">
          <w:rPr>
            <w:noProof/>
            <w:webHidden/>
          </w:rPr>
          <w:tab/>
        </w:r>
        <w:r w:rsidR="00412FD5">
          <w:rPr>
            <w:noProof/>
            <w:webHidden/>
          </w:rPr>
          <w:fldChar w:fldCharType="begin"/>
        </w:r>
        <w:r w:rsidR="00412FD5">
          <w:rPr>
            <w:noProof/>
            <w:webHidden/>
          </w:rPr>
          <w:instrText xml:space="preserve"> PAGEREF _Toc420572600 \h </w:instrText>
        </w:r>
        <w:r w:rsidR="00412FD5">
          <w:rPr>
            <w:noProof/>
            <w:webHidden/>
          </w:rPr>
        </w:r>
        <w:r w:rsidR="00412FD5">
          <w:rPr>
            <w:noProof/>
            <w:webHidden/>
          </w:rPr>
          <w:fldChar w:fldCharType="separate"/>
        </w:r>
        <w:r w:rsidR="00412FD5">
          <w:rPr>
            <w:noProof/>
            <w:webHidden/>
          </w:rPr>
          <w:t>104</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01" w:history="1">
        <w:r w:rsidR="00412FD5" w:rsidRPr="005C0243">
          <w:rPr>
            <w:rStyle w:val="Hyperlink"/>
            <w:noProof/>
          </w:rPr>
          <w:t>Measurement Reliability for Study 1 and Study Main Exercises</w:t>
        </w:r>
        <w:r w:rsidR="00412FD5">
          <w:rPr>
            <w:noProof/>
            <w:webHidden/>
          </w:rPr>
          <w:tab/>
        </w:r>
        <w:r w:rsidR="00412FD5">
          <w:rPr>
            <w:noProof/>
            <w:webHidden/>
          </w:rPr>
          <w:fldChar w:fldCharType="begin"/>
        </w:r>
        <w:r w:rsidR="00412FD5">
          <w:rPr>
            <w:noProof/>
            <w:webHidden/>
          </w:rPr>
          <w:instrText xml:space="preserve"> PAGEREF _Toc420572601 \h </w:instrText>
        </w:r>
        <w:r w:rsidR="00412FD5">
          <w:rPr>
            <w:noProof/>
            <w:webHidden/>
          </w:rPr>
        </w:r>
        <w:r w:rsidR="00412FD5">
          <w:rPr>
            <w:noProof/>
            <w:webHidden/>
          </w:rPr>
          <w:fldChar w:fldCharType="separate"/>
        </w:r>
        <w:r w:rsidR="00412FD5">
          <w:rPr>
            <w:noProof/>
            <w:webHidden/>
          </w:rPr>
          <w:t>107</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02" w:history="1">
        <w:r w:rsidR="00412FD5" w:rsidRPr="005C0243">
          <w:rPr>
            <w:rStyle w:val="Hyperlink"/>
            <w:noProof/>
          </w:rPr>
          <w:t>Expert Raters</w:t>
        </w:r>
        <w:r w:rsidR="00412FD5">
          <w:rPr>
            <w:noProof/>
            <w:webHidden/>
          </w:rPr>
          <w:tab/>
        </w:r>
        <w:r w:rsidR="00412FD5">
          <w:rPr>
            <w:noProof/>
            <w:webHidden/>
          </w:rPr>
          <w:fldChar w:fldCharType="begin"/>
        </w:r>
        <w:r w:rsidR="00412FD5">
          <w:rPr>
            <w:noProof/>
            <w:webHidden/>
          </w:rPr>
          <w:instrText xml:space="preserve"> PAGEREF _Toc420572602 \h </w:instrText>
        </w:r>
        <w:r w:rsidR="00412FD5">
          <w:rPr>
            <w:noProof/>
            <w:webHidden/>
          </w:rPr>
        </w:r>
        <w:r w:rsidR="00412FD5">
          <w:rPr>
            <w:noProof/>
            <w:webHidden/>
          </w:rPr>
          <w:fldChar w:fldCharType="separate"/>
        </w:r>
        <w:r w:rsidR="00412FD5">
          <w:rPr>
            <w:noProof/>
            <w:webHidden/>
          </w:rPr>
          <w:t>110</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03" w:history="1">
        <w:r w:rsidR="00412FD5" w:rsidRPr="005C0243">
          <w:rPr>
            <w:rStyle w:val="Hyperlink"/>
            <w:noProof/>
          </w:rPr>
          <w:t>Expert Rater Reliability</w:t>
        </w:r>
        <w:r w:rsidR="00412FD5">
          <w:rPr>
            <w:noProof/>
            <w:webHidden/>
          </w:rPr>
          <w:tab/>
        </w:r>
        <w:r w:rsidR="00412FD5">
          <w:rPr>
            <w:noProof/>
            <w:webHidden/>
          </w:rPr>
          <w:fldChar w:fldCharType="begin"/>
        </w:r>
        <w:r w:rsidR="00412FD5">
          <w:rPr>
            <w:noProof/>
            <w:webHidden/>
          </w:rPr>
          <w:instrText xml:space="preserve"> PAGEREF _Toc420572603 \h </w:instrText>
        </w:r>
        <w:r w:rsidR="00412FD5">
          <w:rPr>
            <w:noProof/>
            <w:webHidden/>
          </w:rPr>
        </w:r>
        <w:r w:rsidR="00412FD5">
          <w:rPr>
            <w:noProof/>
            <w:webHidden/>
          </w:rPr>
          <w:fldChar w:fldCharType="separate"/>
        </w:r>
        <w:r w:rsidR="00412FD5">
          <w:rPr>
            <w:noProof/>
            <w:webHidden/>
          </w:rPr>
          <w:t>111</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04" w:history="1">
        <w:r w:rsidR="00412FD5" w:rsidRPr="005C0243">
          <w:rPr>
            <w:rStyle w:val="Hyperlink"/>
            <w:noProof/>
          </w:rPr>
          <w:t>Study 1 and 2 Team Sample Characteristics</w:t>
        </w:r>
        <w:r w:rsidR="00412FD5">
          <w:rPr>
            <w:noProof/>
            <w:webHidden/>
          </w:rPr>
          <w:tab/>
        </w:r>
        <w:r w:rsidR="00412FD5">
          <w:rPr>
            <w:noProof/>
            <w:webHidden/>
          </w:rPr>
          <w:fldChar w:fldCharType="begin"/>
        </w:r>
        <w:r w:rsidR="00412FD5">
          <w:rPr>
            <w:noProof/>
            <w:webHidden/>
          </w:rPr>
          <w:instrText xml:space="preserve"> PAGEREF _Toc420572604 \h </w:instrText>
        </w:r>
        <w:r w:rsidR="00412FD5">
          <w:rPr>
            <w:noProof/>
            <w:webHidden/>
          </w:rPr>
        </w:r>
        <w:r w:rsidR="00412FD5">
          <w:rPr>
            <w:noProof/>
            <w:webHidden/>
          </w:rPr>
          <w:fldChar w:fldCharType="separate"/>
        </w:r>
        <w:r w:rsidR="00412FD5">
          <w:rPr>
            <w:noProof/>
            <w:webHidden/>
          </w:rPr>
          <w:t>113</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05" w:history="1">
        <w:r w:rsidR="00412FD5" w:rsidRPr="005C0243">
          <w:rPr>
            <w:rStyle w:val="Hyperlink"/>
            <w:noProof/>
          </w:rPr>
          <w:t>Manipulation and Confound Checks</w:t>
        </w:r>
        <w:r w:rsidR="00412FD5">
          <w:rPr>
            <w:noProof/>
            <w:webHidden/>
          </w:rPr>
          <w:tab/>
        </w:r>
        <w:r w:rsidR="00412FD5">
          <w:rPr>
            <w:noProof/>
            <w:webHidden/>
          </w:rPr>
          <w:fldChar w:fldCharType="begin"/>
        </w:r>
        <w:r w:rsidR="00412FD5">
          <w:rPr>
            <w:noProof/>
            <w:webHidden/>
          </w:rPr>
          <w:instrText xml:space="preserve"> PAGEREF _Toc420572605 \h </w:instrText>
        </w:r>
        <w:r w:rsidR="00412FD5">
          <w:rPr>
            <w:noProof/>
            <w:webHidden/>
          </w:rPr>
        </w:r>
        <w:r w:rsidR="00412FD5">
          <w:rPr>
            <w:noProof/>
            <w:webHidden/>
          </w:rPr>
          <w:fldChar w:fldCharType="separate"/>
        </w:r>
        <w:r w:rsidR="00412FD5">
          <w:rPr>
            <w:noProof/>
            <w:webHidden/>
          </w:rPr>
          <w:t>114</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06" w:history="1">
        <w:r w:rsidR="00412FD5" w:rsidRPr="005C0243">
          <w:rPr>
            <w:rStyle w:val="Hyperlink"/>
            <w:noProof/>
          </w:rPr>
          <w:t>Study 1 Procedure</w:t>
        </w:r>
        <w:r w:rsidR="00412FD5">
          <w:rPr>
            <w:noProof/>
            <w:webHidden/>
          </w:rPr>
          <w:tab/>
        </w:r>
        <w:r w:rsidR="00412FD5">
          <w:rPr>
            <w:noProof/>
            <w:webHidden/>
          </w:rPr>
          <w:fldChar w:fldCharType="begin"/>
        </w:r>
        <w:r w:rsidR="00412FD5">
          <w:rPr>
            <w:noProof/>
            <w:webHidden/>
          </w:rPr>
          <w:instrText xml:space="preserve"> PAGEREF _Toc420572606 \h </w:instrText>
        </w:r>
        <w:r w:rsidR="00412FD5">
          <w:rPr>
            <w:noProof/>
            <w:webHidden/>
          </w:rPr>
        </w:r>
        <w:r w:rsidR="00412FD5">
          <w:rPr>
            <w:noProof/>
            <w:webHidden/>
          </w:rPr>
          <w:fldChar w:fldCharType="separate"/>
        </w:r>
        <w:r w:rsidR="00412FD5">
          <w:rPr>
            <w:noProof/>
            <w:webHidden/>
          </w:rPr>
          <w:t>115</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07" w:history="1">
        <w:r w:rsidR="00412FD5" w:rsidRPr="005C0243">
          <w:rPr>
            <w:rStyle w:val="Hyperlink"/>
            <w:noProof/>
          </w:rPr>
          <w:t>Study 1 Analysis</w:t>
        </w:r>
        <w:r w:rsidR="00412FD5">
          <w:rPr>
            <w:noProof/>
            <w:webHidden/>
          </w:rPr>
          <w:tab/>
        </w:r>
        <w:r w:rsidR="00412FD5">
          <w:rPr>
            <w:noProof/>
            <w:webHidden/>
          </w:rPr>
          <w:fldChar w:fldCharType="begin"/>
        </w:r>
        <w:r w:rsidR="00412FD5">
          <w:rPr>
            <w:noProof/>
            <w:webHidden/>
          </w:rPr>
          <w:instrText xml:space="preserve"> PAGEREF _Toc420572607 \h </w:instrText>
        </w:r>
        <w:r w:rsidR="00412FD5">
          <w:rPr>
            <w:noProof/>
            <w:webHidden/>
          </w:rPr>
        </w:r>
        <w:r w:rsidR="00412FD5">
          <w:rPr>
            <w:noProof/>
            <w:webHidden/>
          </w:rPr>
          <w:fldChar w:fldCharType="separate"/>
        </w:r>
        <w:r w:rsidR="00412FD5">
          <w:rPr>
            <w:noProof/>
            <w:webHidden/>
          </w:rPr>
          <w:t>115</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08" w:history="1">
        <w:r w:rsidR="00412FD5" w:rsidRPr="005C0243">
          <w:rPr>
            <w:rStyle w:val="Hyperlink"/>
            <w:noProof/>
          </w:rPr>
          <w:t>Study 1 Results</w:t>
        </w:r>
        <w:r w:rsidR="00412FD5">
          <w:rPr>
            <w:noProof/>
            <w:webHidden/>
          </w:rPr>
          <w:tab/>
        </w:r>
        <w:r w:rsidR="00412FD5">
          <w:rPr>
            <w:noProof/>
            <w:webHidden/>
          </w:rPr>
          <w:fldChar w:fldCharType="begin"/>
        </w:r>
        <w:r w:rsidR="00412FD5">
          <w:rPr>
            <w:noProof/>
            <w:webHidden/>
          </w:rPr>
          <w:instrText xml:space="preserve"> PAGEREF _Toc420572608 \h </w:instrText>
        </w:r>
        <w:r w:rsidR="00412FD5">
          <w:rPr>
            <w:noProof/>
            <w:webHidden/>
          </w:rPr>
        </w:r>
        <w:r w:rsidR="00412FD5">
          <w:rPr>
            <w:noProof/>
            <w:webHidden/>
          </w:rPr>
          <w:fldChar w:fldCharType="separate"/>
        </w:r>
        <w:r w:rsidR="00412FD5">
          <w:rPr>
            <w:noProof/>
            <w:webHidden/>
          </w:rPr>
          <w:t>117</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09" w:history="1">
        <w:r w:rsidR="00412FD5" w:rsidRPr="005C0243">
          <w:rPr>
            <w:rStyle w:val="Hyperlink"/>
            <w:noProof/>
          </w:rPr>
          <w:t>Hypothesis Tests for the Main Effect of Group Regulatory Focus</w:t>
        </w:r>
        <w:r w:rsidR="00412FD5">
          <w:rPr>
            <w:noProof/>
            <w:webHidden/>
          </w:rPr>
          <w:tab/>
        </w:r>
        <w:r w:rsidR="00412FD5">
          <w:rPr>
            <w:noProof/>
            <w:webHidden/>
          </w:rPr>
          <w:fldChar w:fldCharType="begin"/>
        </w:r>
        <w:r w:rsidR="00412FD5">
          <w:rPr>
            <w:noProof/>
            <w:webHidden/>
          </w:rPr>
          <w:instrText xml:space="preserve"> PAGEREF _Toc420572609 \h </w:instrText>
        </w:r>
        <w:r w:rsidR="00412FD5">
          <w:rPr>
            <w:noProof/>
            <w:webHidden/>
          </w:rPr>
        </w:r>
        <w:r w:rsidR="00412FD5">
          <w:rPr>
            <w:noProof/>
            <w:webHidden/>
          </w:rPr>
          <w:fldChar w:fldCharType="separate"/>
        </w:r>
        <w:r w:rsidR="00412FD5">
          <w:rPr>
            <w:noProof/>
            <w:webHidden/>
          </w:rPr>
          <w:t>117</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10" w:history="1">
        <w:r w:rsidR="00412FD5" w:rsidRPr="005C0243">
          <w:rPr>
            <w:rStyle w:val="Hyperlink"/>
            <w:noProof/>
          </w:rPr>
          <w:t>Hypothesis Tests for the Main Effect of Reflexivity</w:t>
        </w:r>
        <w:r w:rsidR="00412FD5">
          <w:rPr>
            <w:noProof/>
            <w:webHidden/>
          </w:rPr>
          <w:tab/>
        </w:r>
        <w:r w:rsidR="00412FD5">
          <w:rPr>
            <w:noProof/>
            <w:webHidden/>
          </w:rPr>
          <w:fldChar w:fldCharType="begin"/>
        </w:r>
        <w:r w:rsidR="00412FD5">
          <w:rPr>
            <w:noProof/>
            <w:webHidden/>
          </w:rPr>
          <w:instrText xml:space="preserve"> PAGEREF _Toc420572610 \h </w:instrText>
        </w:r>
        <w:r w:rsidR="00412FD5">
          <w:rPr>
            <w:noProof/>
            <w:webHidden/>
          </w:rPr>
        </w:r>
        <w:r w:rsidR="00412FD5">
          <w:rPr>
            <w:noProof/>
            <w:webHidden/>
          </w:rPr>
          <w:fldChar w:fldCharType="separate"/>
        </w:r>
        <w:r w:rsidR="00412FD5">
          <w:rPr>
            <w:noProof/>
            <w:webHidden/>
          </w:rPr>
          <w:t>118</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11" w:history="1">
        <w:r w:rsidR="00412FD5" w:rsidRPr="005C0243">
          <w:rPr>
            <w:rStyle w:val="Hyperlink"/>
            <w:noProof/>
          </w:rPr>
          <w:t>Hypothesis Tests for the Regulatory Focus by Reflexivity Interaction</w:t>
        </w:r>
        <w:r w:rsidR="00412FD5">
          <w:rPr>
            <w:noProof/>
            <w:webHidden/>
          </w:rPr>
          <w:tab/>
        </w:r>
        <w:r w:rsidR="00412FD5">
          <w:rPr>
            <w:noProof/>
            <w:webHidden/>
          </w:rPr>
          <w:fldChar w:fldCharType="begin"/>
        </w:r>
        <w:r w:rsidR="00412FD5">
          <w:rPr>
            <w:noProof/>
            <w:webHidden/>
          </w:rPr>
          <w:instrText xml:space="preserve"> PAGEREF _Toc420572611 \h </w:instrText>
        </w:r>
        <w:r w:rsidR="00412FD5">
          <w:rPr>
            <w:noProof/>
            <w:webHidden/>
          </w:rPr>
        </w:r>
        <w:r w:rsidR="00412FD5">
          <w:rPr>
            <w:noProof/>
            <w:webHidden/>
          </w:rPr>
          <w:fldChar w:fldCharType="separate"/>
        </w:r>
        <w:r w:rsidR="00412FD5">
          <w:rPr>
            <w:noProof/>
            <w:webHidden/>
          </w:rPr>
          <w:t>119</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12" w:history="1">
        <w:r w:rsidR="00412FD5" w:rsidRPr="005C0243">
          <w:rPr>
            <w:rStyle w:val="Hyperlink"/>
            <w:noProof/>
          </w:rPr>
          <w:t>Study 1 Summary of Findings</w:t>
        </w:r>
        <w:r w:rsidR="00412FD5">
          <w:rPr>
            <w:noProof/>
            <w:webHidden/>
          </w:rPr>
          <w:tab/>
        </w:r>
        <w:r w:rsidR="00412FD5">
          <w:rPr>
            <w:noProof/>
            <w:webHidden/>
          </w:rPr>
          <w:fldChar w:fldCharType="begin"/>
        </w:r>
        <w:r w:rsidR="00412FD5">
          <w:rPr>
            <w:noProof/>
            <w:webHidden/>
          </w:rPr>
          <w:instrText xml:space="preserve"> PAGEREF _Toc420572612 \h </w:instrText>
        </w:r>
        <w:r w:rsidR="00412FD5">
          <w:rPr>
            <w:noProof/>
            <w:webHidden/>
          </w:rPr>
        </w:r>
        <w:r w:rsidR="00412FD5">
          <w:rPr>
            <w:noProof/>
            <w:webHidden/>
          </w:rPr>
          <w:fldChar w:fldCharType="separate"/>
        </w:r>
        <w:r w:rsidR="00412FD5">
          <w:rPr>
            <w:noProof/>
            <w:webHidden/>
          </w:rPr>
          <w:t>120</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13" w:history="1">
        <w:r w:rsidR="00412FD5" w:rsidRPr="005C0243">
          <w:rPr>
            <w:rStyle w:val="Hyperlink"/>
            <w:noProof/>
          </w:rPr>
          <w:t>Study 2</w:t>
        </w:r>
        <w:r w:rsidR="00412FD5">
          <w:rPr>
            <w:noProof/>
            <w:webHidden/>
          </w:rPr>
          <w:tab/>
        </w:r>
        <w:r w:rsidR="00412FD5">
          <w:rPr>
            <w:noProof/>
            <w:webHidden/>
          </w:rPr>
          <w:fldChar w:fldCharType="begin"/>
        </w:r>
        <w:r w:rsidR="00412FD5">
          <w:rPr>
            <w:noProof/>
            <w:webHidden/>
          </w:rPr>
          <w:instrText xml:space="preserve"> PAGEREF _Toc420572613 \h </w:instrText>
        </w:r>
        <w:r w:rsidR="00412FD5">
          <w:rPr>
            <w:noProof/>
            <w:webHidden/>
          </w:rPr>
        </w:r>
        <w:r w:rsidR="00412FD5">
          <w:rPr>
            <w:noProof/>
            <w:webHidden/>
          </w:rPr>
          <w:fldChar w:fldCharType="separate"/>
        </w:r>
        <w:r w:rsidR="00412FD5">
          <w:rPr>
            <w:noProof/>
            <w:webHidden/>
          </w:rPr>
          <w:t>121</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14" w:history="1">
        <w:r w:rsidR="00412FD5" w:rsidRPr="005C0243">
          <w:rPr>
            <w:rStyle w:val="Hyperlink"/>
            <w:noProof/>
          </w:rPr>
          <w:t>Study 2 Procedure</w:t>
        </w:r>
        <w:r w:rsidR="00412FD5">
          <w:rPr>
            <w:noProof/>
            <w:webHidden/>
          </w:rPr>
          <w:tab/>
        </w:r>
        <w:r w:rsidR="00412FD5">
          <w:rPr>
            <w:noProof/>
            <w:webHidden/>
          </w:rPr>
          <w:fldChar w:fldCharType="begin"/>
        </w:r>
        <w:r w:rsidR="00412FD5">
          <w:rPr>
            <w:noProof/>
            <w:webHidden/>
          </w:rPr>
          <w:instrText xml:space="preserve"> PAGEREF _Toc420572614 \h </w:instrText>
        </w:r>
        <w:r w:rsidR="00412FD5">
          <w:rPr>
            <w:noProof/>
            <w:webHidden/>
          </w:rPr>
        </w:r>
        <w:r w:rsidR="00412FD5">
          <w:rPr>
            <w:noProof/>
            <w:webHidden/>
          </w:rPr>
          <w:fldChar w:fldCharType="separate"/>
        </w:r>
        <w:r w:rsidR="00412FD5">
          <w:rPr>
            <w:noProof/>
            <w:webHidden/>
          </w:rPr>
          <w:t>121</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15" w:history="1">
        <w:r w:rsidR="00412FD5" w:rsidRPr="005C0243">
          <w:rPr>
            <w:rStyle w:val="Hyperlink"/>
            <w:noProof/>
          </w:rPr>
          <w:t>Study 2 Dependent Variables and Analysis Procedure</w:t>
        </w:r>
        <w:r w:rsidR="00412FD5">
          <w:rPr>
            <w:noProof/>
            <w:webHidden/>
          </w:rPr>
          <w:tab/>
        </w:r>
        <w:r w:rsidR="00412FD5">
          <w:rPr>
            <w:noProof/>
            <w:webHidden/>
          </w:rPr>
          <w:fldChar w:fldCharType="begin"/>
        </w:r>
        <w:r w:rsidR="00412FD5">
          <w:rPr>
            <w:noProof/>
            <w:webHidden/>
          </w:rPr>
          <w:instrText xml:space="preserve"> PAGEREF _Toc420572615 \h </w:instrText>
        </w:r>
        <w:r w:rsidR="00412FD5">
          <w:rPr>
            <w:noProof/>
            <w:webHidden/>
          </w:rPr>
        </w:r>
        <w:r w:rsidR="00412FD5">
          <w:rPr>
            <w:noProof/>
            <w:webHidden/>
          </w:rPr>
          <w:fldChar w:fldCharType="separate"/>
        </w:r>
        <w:r w:rsidR="00412FD5">
          <w:rPr>
            <w:noProof/>
            <w:webHidden/>
          </w:rPr>
          <w:t>122</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16" w:history="1">
        <w:r w:rsidR="00412FD5" w:rsidRPr="005C0243">
          <w:rPr>
            <w:rStyle w:val="Hyperlink"/>
            <w:noProof/>
          </w:rPr>
          <w:t>Study 2 Pretest</w:t>
        </w:r>
        <w:r w:rsidR="00412FD5">
          <w:rPr>
            <w:noProof/>
            <w:webHidden/>
          </w:rPr>
          <w:tab/>
        </w:r>
        <w:r w:rsidR="00412FD5">
          <w:rPr>
            <w:noProof/>
            <w:webHidden/>
          </w:rPr>
          <w:fldChar w:fldCharType="begin"/>
        </w:r>
        <w:r w:rsidR="00412FD5">
          <w:rPr>
            <w:noProof/>
            <w:webHidden/>
          </w:rPr>
          <w:instrText xml:space="preserve"> PAGEREF _Toc420572616 \h </w:instrText>
        </w:r>
        <w:r w:rsidR="00412FD5">
          <w:rPr>
            <w:noProof/>
            <w:webHidden/>
          </w:rPr>
        </w:r>
        <w:r w:rsidR="00412FD5">
          <w:rPr>
            <w:noProof/>
            <w:webHidden/>
          </w:rPr>
          <w:fldChar w:fldCharType="separate"/>
        </w:r>
        <w:r w:rsidR="00412FD5">
          <w:rPr>
            <w:noProof/>
            <w:webHidden/>
          </w:rPr>
          <w:t>123</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17" w:history="1">
        <w:r w:rsidR="00412FD5" w:rsidRPr="005C0243">
          <w:rPr>
            <w:rStyle w:val="Hyperlink"/>
            <w:noProof/>
          </w:rPr>
          <w:t>Study 2 Results</w:t>
        </w:r>
        <w:r w:rsidR="00412FD5">
          <w:rPr>
            <w:noProof/>
            <w:webHidden/>
          </w:rPr>
          <w:tab/>
        </w:r>
        <w:r w:rsidR="00412FD5">
          <w:rPr>
            <w:noProof/>
            <w:webHidden/>
          </w:rPr>
          <w:fldChar w:fldCharType="begin"/>
        </w:r>
        <w:r w:rsidR="00412FD5">
          <w:rPr>
            <w:noProof/>
            <w:webHidden/>
          </w:rPr>
          <w:instrText xml:space="preserve"> PAGEREF _Toc420572617 \h </w:instrText>
        </w:r>
        <w:r w:rsidR="00412FD5">
          <w:rPr>
            <w:noProof/>
            <w:webHidden/>
          </w:rPr>
        </w:r>
        <w:r w:rsidR="00412FD5">
          <w:rPr>
            <w:noProof/>
            <w:webHidden/>
          </w:rPr>
          <w:fldChar w:fldCharType="separate"/>
        </w:r>
        <w:r w:rsidR="00412FD5">
          <w:rPr>
            <w:noProof/>
            <w:webHidden/>
          </w:rPr>
          <w:t>124</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18" w:history="1">
        <w:r w:rsidR="00412FD5" w:rsidRPr="005C0243">
          <w:rPr>
            <w:rStyle w:val="Hyperlink"/>
            <w:noProof/>
          </w:rPr>
          <w:t>Study 2 Hypothesis Tests</w:t>
        </w:r>
        <w:r w:rsidR="00412FD5">
          <w:rPr>
            <w:noProof/>
            <w:webHidden/>
          </w:rPr>
          <w:tab/>
        </w:r>
        <w:r w:rsidR="00412FD5">
          <w:rPr>
            <w:noProof/>
            <w:webHidden/>
          </w:rPr>
          <w:fldChar w:fldCharType="begin"/>
        </w:r>
        <w:r w:rsidR="00412FD5">
          <w:rPr>
            <w:noProof/>
            <w:webHidden/>
          </w:rPr>
          <w:instrText xml:space="preserve"> PAGEREF _Toc420572618 \h </w:instrText>
        </w:r>
        <w:r w:rsidR="00412FD5">
          <w:rPr>
            <w:noProof/>
            <w:webHidden/>
          </w:rPr>
        </w:r>
        <w:r w:rsidR="00412FD5">
          <w:rPr>
            <w:noProof/>
            <w:webHidden/>
          </w:rPr>
          <w:fldChar w:fldCharType="separate"/>
        </w:r>
        <w:r w:rsidR="00412FD5">
          <w:rPr>
            <w:noProof/>
            <w:webHidden/>
          </w:rPr>
          <w:t>125</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19" w:history="1">
        <w:r w:rsidR="00412FD5" w:rsidRPr="005C0243">
          <w:rPr>
            <w:rStyle w:val="Hyperlink"/>
            <w:noProof/>
          </w:rPr>
          <w:t>Study 2 Summary of Findings</w:t>
        </w:r>
        <w:r w:rsidR="00412FD5">
          <w:rPr>
            <w:noProof/>
            <w:webHidden/>
          </w:rPr>
          <w:tab/>
        </w:r>
        <w:r w:rsidR="00412FD5">
          <w:rPr>
            <w:noProof/>
            <w:webHidden/>
          </w:rPr>
          <w:fldChar w:fldCharType="begin"/>
        </w:r>
        <w:r w:rsidR="00412FD5">
          <w:rPr>
            <w:noProof/>
            <w:webHidden/>
          </w:rPr>
          <w:instrText xml:space="preserve"> PAGEREF _Toc420572619 \h </w:instrText>
        </w:r>
        <w:r w:rsidR="00412FD5">
          <w:rPr>
            <w:noProof/>
            <w:webHidden/>
          </w:rPr>
        </w:r>
        <w:r w:rsidR="00412FD5">
          <w:rPr>
            <w:noProof/>
            <w:webHidden/>
          </w:rPr>
          <w:fldChar w:fldCharType="separate"/>
        </w:r>
        <w:r w:rsidR="00412FD5">
          <w:rPr>
            <w:noProof/>
            <w:webHidden/>
          </w:rPr>
          <w:t>128</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20" w:history="1">
        <w:r w:rsidR="00412FD5" w:rsidRPr="005C0243">
          <w:rPr>
            <w:rStyle w:val="Hyperlink"/>
            <w:noProof/>
          </w:rPr>
          <w:t>Study 3</w:t>
        </w:r>
        <w:r w:rsidR="00412FD5">
          <w:rPr>
            <w:noProof/>
            <w:webHidden/>
          </w:rPr>
          <w:tab/>
        </w:r>
        <w:r w:rsidR="00412FD5">
          <w:rPr>
            <w:noProof/>
            <w:webHidden/>
          </w:rPr>
          <w:fldChar w:fldCharType="begin"/>
        </w:r>
        <w:r w:rsidR="00412FD5">
          <w:rPr>
            <w:noProof/>
            <w:webHidden/>
          </w:rPr>
          <w:instrText xml:space="preserve"> PAGEREF _Toc420572620 \h </w:instrText>
        </w:r>
        <w:r w:rsidR="00412FD5">
          <w:rPr>
            <w:noProof/>
            <w:webHidden/>
          </w:rPr>
        </w:r>
        <w:r w:rsidR="00412FD5">
          <w:rPr>
            <w:noProof/>
            <w:webHidden/>
          </w:rPr>
          <w:fldChar w:fldCharType="separate"/>
        </w:r>
        <w:r w:rsidR="00412FD5">
          <w:rPr>
            <w:noProof/>
            <w:webHidden/>
          </w:rPr>
          <w:t>129</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21" w:history="1">
        <w:r w:rsidR="00412FD5" w:rsidRPr="005C0243">
          <w:rPr>
            <w:rStyle w:val="Hyperlink"/>
            <w:noProof/>
          </w:rPr>
          <w:t>Coding Approach</w:t>
        </w:r>
        <w:r w:rsidR="00412FD5">
          <w:rPr>
            <w:noProof/>
            <w:webHidden/>
          </w:rPr>
          <w:tab/>
        </w:r>
        <w:r w:rsidR="00412FD5">
          <w:rPr>
            <w:noProof/>
            <w:webHidden/>
          </w:rPr>
          <w:fldChar w:fldCharType="begin"/>
        </w:r>
        <w:r w:rsidR="00412FD5">
          <w:rPr>
            <w:noProof/>
            <w:webHidden/>
          </w:rPr>
          <w:instrText xml:space="preserve"> PAGEREF _Toc420572621 \h </w:instrText>
        </w:r>
        <w:r w:rsidR="00412FD5">
          <w:rPr>
            <w:noProof/>
            <w:webHidden/>
          </w:rPr>
        </w:r>
        <w:r w:rsidR="00412FD5">
          <w:rPr>
            <w:noProof/>
            <w:webHidden/>
          </w:rPr>
          <w:fldChar w:fldCharType="separate"/>
        </w:r>
        <w:r w:rsidR="00412FD5">
          <w:rPr>
            <w:noProof/>
            <w:webHidden/>
          </w:rPr>
          <w:t>130</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22" w:history="1">
        <w:r w:rsidR="00412FD5" w:rsidRPr="005C0243">
          <w:rPr>
            <w:rStyle w:val="Hyperlink"/>
            <w:noProof/>
          </w:rPr>
          <w:t>Reflexivity Coding</w:t>
        </w:r>
        <w:r w:rsidR="00412FD5">
          <w:rPr>
            <w:noProof/>
            <w:webHidden/>
          </w:rPr>
          <w:tab/>
        </w:r>
        <w:r w:rsidR="00412FD5">
          <w:rPr>
            <w:noProof/>
            <w:webHidden/>
          </w:rPr>
          <w:fldChar w:fldCharType="begin"/>
        </w:r>
        <w:r w:rsidR="00412FD5">
          <w:rPr>
            <w:noProof/>
            <w:webHidden/>
          </w:rPr>
          <w:instrText xml:space="preserve"> PAGEREF _Toc420572622 \h </w:instrText>
        </w:r>
        <w:r w:rsidR="00412FD5">
          <w:rPr>
            <w:noProof/>
            <w:webHidden/>
          </w:rPr>
        </w:r>
        <w:r w:rsidR="00412FD5">
          <w:rPr>
            <w:noProof/>
            <w:webHidden/>
          </w:rPr>
          <w:fldChar w:fldCharType="separate"/>
        </w:r>
        <w:r w:rsidR="00412FD5">
          <w:rPr>
            <w:noProof/>
            <w:webHidden/>
          </w:rPr>
          <w:t>130</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23" w:history="1">
        <w:r w:rsidR="00412FD5" w:rsidRPr="005C0243">
          <w:rPr>
            <w:rStyle w:val="Hyperlink"/>
            <w:noProof/>
          </w:rPr>
          <w:t>Regulatory Focus Coding</w:t>
        </w:r>
        <w:r w:rsidR="00412FD5">
          <w:rPr>
            <w:noProof/>
            <w:webHidden/>
          </w:rPr>
          <w:tab/>
        </w:r>
        <w:r w:rsidR="00412FD5">
          <w:rPr>
            <w:noProof/>
            <w:webHidden/>
          </w:rPr>
          <w:fldChar w:fldCharType="begin"/>
        </w:r>
        <w:r w:rsidR="00412FD5">
          <w:rPr>
            <w:noProof/>
            <w:webHidden/>
          </w:rPr>
          <w:instrText xml:space="preserve"> PAGEREF _Toc420572623 \h </w:instrText>
        </w:r>
        <w:r w:rsidR="00412FD5">
          <w:rPr>
            <w:noProof/>
            <w:webHidden/>
          </w:rPr>
        </w:r>
        <w:r w:rsidR="00412FD5">
          <w:rPr>
            <w:noProof/>
            <w:webHidden/>
          </w:rPr>
          <w:fldChar w:fldCharType="separate"/>
        </w:r>
        <w:r w:rsidR="00412FD5">
          <w:rPr>
            <w:noProof/>
            <w:webHidden/>
          </w:rPr>
          <w:t>131</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24" w:history="1">
        <w:r w:rsidR="00412FD5" w:rsidRPr="005C0243">
          <w:rPr>
            <w:rStyle w:val="Hyperlink"/>
            <w:noProof/>
          </w:rPr>
          <w:t>Coding Reliability Assessment</w:t>
        </w:r>
        <w:r w:rsidR="00412FD5">
          <w:rPr>
            <w:noProof/>
            <w:webHidden/>
          </w:rPr>
          <w:tab/>
        </w:r>
        <w:r w:rsidR="00412FD5">
          <w:rPr>
            <w:noProof/>
            <w:webHidden/>
          </w:rPr>
          <w:fldChar w:fldCharType="begin"/>
        </w:r>
        <w:r w:rsidR="00412FD5">
          <w:rPr>
            <w:noProof/>
            <w:webHidden/>
          </w:rPr>
          <w:instrText xml:space="preserve"> PAGEREF _Toc420572624 \h </w:instrText>
        </w:r>
        <w:r w:rsidR="00412FD5">
          <w:rPr>
            <w:noProof/>
            <w:webHidden/>
          </w:rPr>
        </w:r>
        <w:r w:rsidR="00412FD5">
          <w:rPr>
            <w:noProof/>
            <w:webHidden/>
          </w:rPr>
          <w:fldChar w:fldCharType="separate"/>
        </w:r>
        <w:r w:rsidR="00412FD5">
          <w:rPr>
            <w:noProof/>
            <w:webHidden/>
          </w:rPr>
          <w:t>139</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25" w:history="1">
        <w:r w:rsidR="00412FD5" w:rsidRPr="005C0243">
          <w:rPr>
            <w:rStyle w:val="Hyperlink"/>
            <w:noProof/>
          </w:rPr>
          <w:t>Constructing the Dependent Variables: Positive and Negative Hits</w:t>
        </w:r>
        <w:r w:rsidR="00412FD5">
          <w:rPr>
            <w:noProof/>
            <w:webHidden/>
          </w:rPr>
          <w:tab/>
        </w:r>
        <w:r w:rsidR="00412FD5">
          <w:rPr>
            <w:noProof/>
            <w:webHidden/>
          </w:rPr>
          <w:fldChar w:fldCharType="begin"/>
        </w:r>
        <w:r w:rsidR="00412FD5">
          <w:rPr>
            <w:noProof/>
            <w:webHidden/>
          </w:rPr>
          <w:instrText xml:space="preserve"> PAGEREF _Toc420572625 \h </w:instrText>
        </w:r>
        <w:r w:rsidR="00412FD5">
          <w:rPr>
            <w:noProof/>
            <w:webHidden/>
          </w:rPr>
        </w:r>
        <w:r w:rsidR="00412FD5">
          <w:rPr>
            <w:noProof/>
            <w:webHidden/>
          </w:rPr>
          <w:fldChar w:fldCharType="separate"/>
        </w:r>
        <w:r w:rsidR="00412FD5">
          <w:rPr>
            <w:noProof/>
            <w:webHidden/>
          </w:rPr>
          <w:t>140</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26" w:history="1">
        <w:r w:rsidR="00412FD5" w:rsidRPr="005C0243">
          <w:rPr>
            <w:rStyle w:val="Hyperlink"/>
            <w:noProof/>
          </w:rPr>
          <w:t>Inventor Expertise</w:t>
        </w:r>
        <w:r w:rsidR="00412FD5">
          <w:rPr>
            <w:noProof/>
            <w:webHidden/>
          </w:rPr>
          <w:tab/>
        </w:r>
        <w:r w:rsidR="00412FD5">
          <w:rPr>
            <w:noProof/>
            <w:webHidden/>
          </w:rPr>
          <w:fldChar w:fldCharType="begin"/>
        </w:r>
        <w:r w:rsidR="00412FD5">
          <w:rPr>
            <w:noProof/>
            <w:webHidden/>
          </w:rPr>
          <w:instrText xml:space="preserve"> PAGEREF _Toc420572626 \h </w:instrText>
        </w:r>
        <w:r w:rsidR="00412FD5">
          <w:rPr>
            <w:noProof/>
            <w:webHidden/>
          </w:rPr>
        </w:r>
        <w:r w:rsidR="00412FD5">
          <w:rPr>
            <w:noProof/>
            <w:webHidden/>
          </w:rPr>
          <w:fldChar w:fldCharType="separate"/>
        </w:r>
        <w:r w:rsidR="00412FD5">
          <w:rPr>
            <w:noProof/>
            <w:webHidden/>
          </w:rPr>
          <w:t>142</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27" w:history="1">
        <w:r w:rsidR="00412FD5" w:rsidRPr="005C0243">
          <w:rPr>
            <w:rStyle w:val="Hyperlink"/>
            <w:noProof/>
          </w:rPr>
          <w:t>Control Variables</w:t>
        </w:r>
        <w:r w:rsidR="00412FD5">
          <w:rPr>
            <w:noProof/>
            <w:webHidden/>
          </w:rPr>
          <w:tab/>
        </w:r>
        <w:r w:rsidR="00412FD5">
          <w:rPr>
            <w:noProof/>
            <w:webHidden/>
          </w:rPr>
          <w:fldChar w:fldCharType="begin"/>
        </w:r>
        <w:r w:rsidR="00412FD5">
          <w:rPr>
            <w:noProof/>
            <w:webHidden/>
          </w:rPr>
          <w:instrText xml:space="preserve"> PAGEREF _Toc420572627 \h </w:instrText>
        </w:r>
        <w:r w:rsidR="00412FD5">
          <w:rPr>
            <w:noProof/>
            <w:webHidden/>
          </w:rPr>
        </w:r>
        <w:r w:rsidR="00412FD5">
          <w:rPr>
            <w:noProof/>
            <w:webHidden/>
          </w:rPr>
          <w:fldChar w:fldCharType="separate"/>
        </w:r>
        <w:r w:rsidR="00412FD5">
          <w:rPr>
            <w:noProof/>
            <w:webHidden/>
          </w:rPr>
          <w:t>143</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28" w:history="1">
        <w:r w:rsidR="00412FD5" w:rsidRPr="005C0243">
          <w:rPr>
            <w:rStyle w:val="Hyperlink"/>
            <w:noProof/>
          </w:rPr>
          <w:t>Descriptive Statistics</w:t>
        </w:r>
        <w:r w:rsidR="00412FD5">
          <w:rPr>
            <w:noProof/>
            <w:webHidden/>
          </w:rPr>
          <w:tab/>
        </w:r>
        <w:r w:rsidR="00412FD5">
          <w:rPr>
            <w:noProof/>
            <w:webHidden/>
          </w:rPr>
          <w:fldChar w:fldCharType="begin"/>
        </w:r>
        <w:r w:rsidR="00412FD5">
          <w:rPr>
            <w:noProof/>
            <w:webHidden/>
          </w:rPr>
          <w:instrText xml:space="preserve"> PAGEREF _Toc420572628 \h </w:instrText>
        </w:r>
        <w:r w:rsidR="00412FD5">
          <w:rPr>
            <w:noProof/>
            <w:webHidden/>
          </w:rPr>
        </w:r>
        <w:r w:rsidR="00412FD5">
          <w:rPr>
            <w:noProof/>
            <w:webHidden/>
          </w:rPr>
          <w:fldChar w:fldCharType="separate"/>
        </w:r>
        <w:r w:rsidR="00412FD5">
          <w:rPr>
            <w:noProof/>
            <w:webHidden/>
          </w:rPr>
          <w:t>144</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29" w:history="1">
        <w:r w:rsidR="00412FD5" w:rsidRPr="005C0243">
          <w:rPr>
            <w:rStyle w:val="Hyperlink"/>
            <w:noProof/>
          </w:rPr>
          <w:t>Analysis</w:t>
        </w:r>
        <w:r w:rsidR="00412FD5">
          <w:rPr>
            <w:noProof/>
            <w:webHidden/>
          </w:rPr>
          <w:tab/>
        </w:r>
        <w:r w:rsidR="00412FD5">
          <w:rPr>
            <w:noProof/>
            <w:webHidden/>
          </w:rPr>
          <w:fldChar w:fldCharType="begin"/>
        </w:r>
        <w:r w:rsidR="00412FD5">
          <w:rPr>
            <w:noProof/>
            <w:webHidden/>
          </w:rPr>
          <w:instrText xml:space="preserve"> PAGEREF _Toc420572629 \h </w:instrText>
        </w:r>
        <w:r w:rsidR="00412FD5">
          <w:rPr>
            <w:noProof/>
            <w:webHidden/>
          </w:rPr>
        </w:r>
        <w:r w:rsidR="00412FD5">
          <w:rPr>
            <w:noProof/>
            <w:webHidden/>
          </w:rPr>
          <w:fldChar w:fldCharType="separate"/>
        </w:r>
        <w:r w:rsidR="00412FD5">
          <w:rPr>
            <w:noProof/>
            <w:webHidden/>
          </w:rPr>
          <w:t>146</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30" w:history="1">
        <w:r w:rsidR="00412FD5" w:rsidRPr="005C0243">
          <w:rPr>
            <w:rStyle w:val="Hyperlink"/>
            <w:noProof/>
          </w:rPr>
          <w:t>Study 3 Results</w:t>
        </w:r>
        <w:r w:rsidR="00412FD5">
          <w:rPr>
            <w:noProof/>
            <w:webHidden/>
          </w:rPr>
          <w:tab/>
        </w:r>
        <w:r w:rsidR="00412FD5">
          <w:rPr>
            <w:noProof/>
            <w:webHidden/>
          </w:rPr>
          <w:fldChar w:fldCharType="begin"/>
        </w:r>
        <w:r w:rsidR="00412FD5">
          <w:rPr>
            <w:noProof/>
            <w:webHidden/>
          </w:rPr>
          <w:instrText xml:space="preserve"> PAGEREF _Toc420572630 \h </w:instrText>
        </w:r>
        <w:r w:rsidR="00412FD5">
          <w:rPr>
            <w:noProof/>
            <w:webHidden/>
          </w:rPr>
        </w:r>
        <w:r w:rsidR="00412FD5">
          <w:rPr>
            <w:noProof/>
            <w:webHidden/>
          </w:rPr>
          <w:fldChar w:fldCharType="separate"/>
        </w:r>
        <w:r w:rsidR="00412FD5">
          <w:rPr>
            <w:noProof/>
            <w:webHidden/>
          </w:rPr>
          <w:t>146</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31" w:history="1">
        <w:r w:rsidR="00412FD5" w:rsidRPr="005C0243">
          <w:rPr>
            <w:rStyle w:val="Hyperlink"/>
            <w:noProof/>
          </w:rPr>
          <w:t>Inventor Expertise Interactions</w:t>
        </w:r>
        <w:r w:rsidR="00412FD5">
          <w:rPr>
            <w:noProof/>
            <w:webHidden/>
          </w:rPr>
          <w:tab/>
        </w:r>
        <w:r w:rsidR="00412FD5">
          <w:rPr>
            <w:noProof/>
            <w:webHidden/>
          </w:rPr>
          <w:fldChar w:fldCharType="begin"/>
        </w:r>
        <w:r w:rsidR="00412FD5">
          <w:rPr>
            <w:noProof/>
            <w:webHidden/>
          </w:rPr>
          <w:instrText xml:space="preserve"> PAGEREF _Toc420572631 \h </w:instrText>
        </w:r>
        <w:r w:rsidR="00412FD5">
          <w:rPr>
            <w:noProof/>
            <w:webHidden/>
          </w:rPr>
        </w:r>
        <w:r w:rsidR="00412FD5">
          <w:rPr>
            <w:noProof/>
            <w:webHidden/>
          </w:rPr>
          <w:fldChar w:fldCharType="separate"/>
        </w:r>
        <w:r w:rsidR="00412FD5">
          <w:rPr>
            <w:noProof/>
            <w:webHidden/>
          </w:rPr>
          <w:t>151</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32" w:history="1">
        <w:r w:rsidR="00412FD5" w:rsidRPr="005C0243">
          <w:rPr>
            <w:rStyle w:val="Hyperlink"/>
            <w:noProof/>
          </w:rPr>
          <w:t>Study 3 Summary</w:t>
        </w:r>
        <w:r w:rsidR="00412FD5">
          <w:rPr>
            <w:noProof/>
            <w:webHidden/>
          </w:rPr>
          <w:tab/>
        </w:r>
        <w:r w:rsidR="00412FD5">
          <w:rPr>
            <w:noProof/>
            <w:webHidden/>
          </w:rPr>
          <w:fldChar w:fldCharType="begin"/>
        </w:r>
        <w:r w:rsidR="00412FD5">
          <w:rPr>
            <w:noProof/>
            <w:webHidden/>
          </w:rPr>
          <w:instrText xml:space="preserve"> PAGEREF _Toc420572632 \h </w:instrText>
        </w:r>
        <w:r w:rsidR="00412FD5">
          <w:rPr>
            <w:noProof/>
            <w:webHidden/>
          </w:rPr>
        </w:r>
        <w:r w:rsidR="00412FD5">
          <w:rPr>
            <w:noProof/>
            <w:webHidden/>
          </w:rPr>
          <w:fldChar w:fldCharType="separate"/>
        </w:r>
        <w:r w:rsidR="00412FD5">
          <w:rPr>
            <w:noProof/>
            <w:webHidden/>
          </w:rPr>
          <w:t>154</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33" w:history="1">
        <w:r w:rsidR="00412FD5" w:rsidRPr="005C0243">
          <w:rPr>
            <w:rStyle w:val="Hyperlink"/>
            <w:noProof/>
          </w:rPr>
          <w:t>Summary of Results Across Study 1, Study 2, and Study 3</w:t>
        </w:r>
        <w:r w:rsidR="00412FD5">
          <w:rPr>
            <w:noProof/>
            <w:webHidden/>
          </w:rPr>
          <w:tab/>
        </w:r>
        <w:r w:rsidR="00412FD5">
          <w:rPr>
            <w:noProof/>
            <w:webHidden/>
          </w:rPr>
          <w:fldChar w:fldCharType="begin"/>
        </w:r>
        <w:r w:rsidR="00412FD5">
          <w:rPr>
            <w:noProof/>
            <w:webHidden/>
          </w:rPr>
          <w:instrText xml:space="preserve"> PAGEREF _Toc420572633 \h </w:instrText>
        </w:r>
        <w:r w:rsidR="00412FD5">
          <w:rPr>
            <w:noProof/>
            <w:webHidden/>
          </w:rPr>
        </w:r>
        <w:r w:rsidR="00412FD5">
          <w:rPr>
            <w:noProof/>
            <w:webHidden/>
          </w:rPr>
          <w:fldChar w:fldCharType="separate"/>
        </w:r>
        <w:r w:rsidR="00412FD5">
          <w:rPr>
            <w:noProof/>
            <w:webHidden/>
          </w:rPr>
          <w:t>155</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34" w:history="1">
        <w:r w:rsidR="00412FD5" w:rsidRPr="005C0243">
          <w:rPr>
            <w:rStyle w:val="Hyperlink"/>
            <w:noProof/>
          </w:rPr>
          <w:t>Chapter 4 Conclusion</w:t>
        </w:r>
        <w:r w:rsidR="00412FD5">
          <w:rPr>
            <w:noProof/>
            <w:webHidden/>
          </w:rPr>
          <w:tab/>
        </w:r>
        <w:r w:rsidR="00412FD5">
          <w:rPr>
            <w:noProof/>
            <w:webHidden/>
          </w:rPr>
          <w:fldChar w:fldCharType="begin"/>
        </w:r>
        <w:r w:rsidR="00412FD5">
          <w:rPr>
            <w:noProof/>
            <w:webHidden/>
          </w:rPr>
          <w:instrText xml:space="preserve"> PAGEREF _Toc420572634 \h </w:instrText>
        </w:r>
        <w:r w:rsidR="00412FD5">
          <w:rPr>
            <w:noProof/>
            <w:webHidden/>
          </w:rPr>
        </w:r>
        <w:r w:rsidR="00412FD5">
          <w:rPr>
            <w:noProof/>
            <w:webHidden/>
          </w:rPr>
          <w:fldChar w:fldCharType="separate"/>
        </w:r>
        <w:r w:rsidR="00412FD5">
          <w:rPr>
            <w:noProof/>
            <w:webHidden/>
          </w:rPr>
          <w:t>157</w:t>
        </w:r>
        <w:r w:rsidR="00412FD5">
          <w:rPr>
            <w:noProof/>
            <w:webHidden/>
          </w:rPr>
          <w:fldChar w:fldCharType="end"/>
        </w:r>
      </w:hyperlink>
    </w:p>
    <w:p w:rsidR="00412FD5" w:rsidRDefault="007E2E0A">
      <w:pPr>
        <w:pStyle w:val="TOC1"/>
        <w:rPr>
          <w:rFonts w:asciiTheme="minorHAnsi" w:eastAsiaTheme="minorEastAsia" w:hAnsiTheme="minorHAnsi" w:cstheme="minorBidi"/>
          <w:b w:val="0"/>
          <w:sz w:val="22"/>
          <w:szCs w:val="22"/>
        </w:rPr>
      </w:pPr>
      <w:hyperlink w:anchor="_Toc420572635" w:history="1">
        <w:r w:rsidR="00412FD5" w:rsidRPr="005C0243">
          <w:rPr>
            <w:rStyle w:val="Hyperlink"/>
          </w:rPr>
          <w:t>Chapter 5  Discussion</w:t>
        </w:r>
        <w:r w:rsidR="00412FD5">
          <w:rPr>
            <w:webHidden/>
          </w:rPr>
          <w:tab/>
        </w:r>
        <w:r w:rsidR="00412FD5">
          <w:rPr>
            <w:webHidden/>
          </w:rPr>
          <w:fldChar w:fldCharType="begin"/>
        </w:r>
        <w:r w:rsidR="00412FD5">
          <w:rPr>
            <w:webHidden/>
          </w:rPr>
          <w:instrText xml:space="preserve"> PAGEREF _Toc420572635 \h </w:instrText>
        </w:r>
        <w:r w:rsidR="00412FD5">
          <w:rPr>
            <w:webHidden/>
          </w:rPr>
        </w:r>
        <w:r w:rsidR="00412FD5">
          <w:rPr>
            <w:webHidden/>
          </w:rPr>
          <w:fldChar w:fldCharType="separate"/>
        </w:r>
        <w:r w:rsidR="00412FD5">
          <w:rPr>
            <w:webHidden/>
          </w:rPr>
          <w:t>158</w:t>
        </w:r>
        <w:r w:rsidR="00412FD5">
          <w:rPr>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36" w:history="1">
        <w:r w:rsidR="00412FD5" w:rsidRPr="005C0243">
          <w:rPr>
            <w:rStyle w:val="Hyperlink"/>
            <w:noProof/>
          </w:rPr>
          <w:t>Regulatory Focus and Reflexivity in Evaluating Cocreated New Product Concepts</w:t>
        </w:r>
        <w:r w:rsidR="00412FD5">
          <w:rPr>
            <w:noProof/>
            <w:webHidden/>
          </w:rPr>
          <w:tab/>
        </w:r>
        <w:r w:rsidR="00412FD5">
          <w:rPr>
            <w:noProof/>
            <w:webHidden/>
          </w:rPr>
          <w:fldChar w:fldCharType="begin"/>
        </w:r>
        <w:r w:rsidR="00412FD5">
          <w:rPr>
            <w:noProof/>
            <w:webHidden/>
          </w:rPr>
          <w:instrText xml:space="preserve"> PAGEREF _Toc420572636 \h </w:instrText>
        </w:r>
        <w:r w:rsidR="00412FD5">
          <w:rPr>
            <w:noProof/>
            <w:webHidden/>
          </w:rPr>
        </w:r>
        <w:r w:rsidR="00412FD5">
          <w:rPr>
            <w:noProof/>
            <w:webHidden/>
          </w:rPr>
          <w:fldChar w:fldCharType="separate"/>
        </w:r>
        <w:r w:rsidR="00412FD5">
          <w:rPr>
            <w:noProof/>
            <w:webHidden/>
          </w:rPr>
          <w:t>158</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37" w:history="1">
        <w:r w:rsidR="00412FD5" w:rsidRPr="005C0243">
          <w:rPr>
            <w:rStyle w:val="Hyperlink"/>
            <w:noProof/>
          </w:rPr>
          <w:t>Main Effects of Regulatory Focus: Overview and Insights</w:t>
        </w:r>
        <w:r w:rsidR="00412FD5">
          <w:rPr>
            <w:noProof/>
            <w:webHidden/>
          </w:rPr>
          <w:tab/>
        </w:r>
        <w:r w:rsidR="00412FD5">
          <w:rPr>
            <w:noProof/>
            <w:webHidden/>
          </w:rPr>
          <w:fldChar w:fldCharType="begin"/>
        </w:r>
        <w:r w:rsidR="00412FD5">
          <w:rPr>
            <w:noProof/>
            <w:webHidden/>
          </w:rPr>
          <w:instrText xml:space="preserve"> PAGEREF _Toc420572637 \h </w:instrText>
        </w:r>
        <w:r w:rsidR="00412FD5">
          <w:rPr>
            <w:noProof/>
            <w:webHidden/>
          </w:rPr>
        </w:r>
        <w:r w:rsidR="00412FD5">
          <w:rPr>
            <w:noProof/>
            <w:webHidden/>
          </w:rPr>
          <w:fldChar w:fldCharType="separate"/>
        </w:r>
        <w:r w:rsidR="00412FD5">
          <w:rPr>
            <w:noProof/>
            <w:webHidden/>
          </w:rPr>
          <w:t>159</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38" w:history="1">
        <w:r w:rsidR="00412FD5" w:rsidRPr="005C0243">
          <w:rPr>
            <w:rStyle w:val="Hyperlink"/>
            <w:noProof/>
          </w:rPr>
          <w:t>Study 1</w:t>
        </w:r>
        <w:r w:rsidR="00412FD5">
          <w:rPr>
            <w:noProof/>
            <w:webHidden/>
          </w:rPr>
          <w:tab/>
        </w:r>
        <w:r w:rsidR="00412FD5">
          <w:rPr>
            <w:noProof/>
            <w:webHidden/>
          </w:rPr>
          <w:fldChar w:fldCharType="begin"/>
        </w:r>
        <w:r w:rsidR="00412FD5">
          <w:rPr>
            <w:noProof/>
            <w:webHidden/>
          </w:rPr>
          <w:instrText xml:space="preserve"> PAGEREF _Toc420572638 \h </w:instrText>
        </w:r>
        <w:r w:rsidR="00412FD5">
          <w:rPr>
            <w:noProof/>
            <w:webHidden/>
          </w:rPr>
        </w:r>
        <w:r w:rsidR="00412FD5">
          <w:rPr>
            <w:noProof/>
            <w:webHidden/>
          </w:rPr>
          <w:fldChar w:fldCharType="separate"/>
        </w:r>
        <w:r w:rsidR="00412FD5">
          <w:rPr>
            <w:noProof/>
            <w:webHidden/>
          </w:rPr>
          <w:t>160</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39" w:history="1">
        <w:r w:rsidR="00412FD5" w:rsidRPr="005C0243">
          <w:rPr>
            <w:rStyle w:val="Hyperlink"/>
            <w:noProof/>
          </w:rPr>
          <w:t>Study 2</w:t>
        </w:r>
        <w:r w:rsidR="00412FD5">
          <w:rPr>
            <w:noProof/>
            <w:webHidden/>
          </w:rPr>
          <w:tab/>
        </w:r>
        <w:r w:rsidR="00412FD5">
          <w:rPr>
            <w:noProof/>
            <w:webHidden/>
          </w:rPr>
          <w:fldChar w:fldCharType="begin"/>
        </w:r>
        <w:r w:rsidR="00412FD5">
          <w:rPr>
            <w:noProof/>
            <w:webHidden/>
          </w:rPr>
          <w:instrText xml:space="preserve"> PAGEREF _Toc420572639 \h </w:instrText>
        </w:r>
        <w:r w:rsidR="00412FD5">
          <w:rPr>
            <w:noProof/>
            <w:webHidden/>
          </w:rPr>
        </w:r>
        <w:r w:rsidR="00412FD5">
          <w:rPr>
            <w:noProof/>
            <w:webHidden/>
          </w:rPr>
          <w:fldChar w:fldCharType="separate"/>
        </w:r>
        <w:r w:rsidR="00412FD5">
          <w:rPr>
            <w:noProof/>
            <w:webHidden/>
          </w:rPr>
          <w:t>162</w:t>
        </w:r>
        <w:r w:rsidR="00412FD5">
          <w:rPr>
            <w:noProof/>
            <w:webHidden/>
          </w:rPr>
          <w:fldChar w:fldCharType="end"/>
        </w:r>
      </w:hyperlink>
    </w:p>
    <w:p w:rsidR="00412FD5" w:rsidRDefault="007E2E0A">
      <w:pPr>
        <w:pStyle w:val="TOC3"/>
        <w:tabs>
          <w:tab w:val="right" w:leader="dot" w:pos="9350"/>
        </w:tabs>
        <w:rPr>
          <w:rFonts w:asciiTheme="minorHAnsi" w:eastAsiaTheme="minorEastAsia" w:hAnsiTheme="minorHAnsi" w:cstheme="minorBidi"/>
          <w:noProof/>
          <w:sz w:val="22"/>
          <w:szCs w:val="22"/>
        </w:rPr>
      </w:pPr>
      <w:hyperlink w:anchor="_Toc420572640" w:history="1">
        <w:r w:rsidR="00412FD5" w:rsidRPr="005C0243">
          <w:rPr>
            <w:rStyle w:val="Hyperlink"/>
            <w:noProof/>
          </w:rPr>
          <w:t>Study 3 and Integration of Insights Across Studies</w:t>
        </w:r>
        <w:r w:rsidR="00412FD5">
          <w:rPr>
            <w:noProof/>
            <w:webHidden/>
          </w:rPr>
          <w:tab/>
        </w:r>
        <w:r w:rsidR="00412FD5">
          <w:rPr>
            <w:noProof/>
            <w:webHidden/>
          </w:rPr>
          <w:fldChar w:fldCharType="begin"/>
        </w:r>
        <w:r w:rsidR="00412FD5">
          <w:rPr>
            <w:noProof/>
            <w:webHidden/>
          </w:rPr>
          <w:instrText xml:space="preserve"> PAGEREF _Toc420572640 \h </w:instrText>
        </w:r>
        <w:r w:rsidR="00412FD5">
          <w:rPr>
            <w:noProof/>
            <w:webHidden/>
          </w:rPr>
        </w:r>
        <w:r w:rsidR="00412FD5">
          <w:rPr>
            <w:noProof/>
            <w:webHidden/>
          </w:rPr>
          <w:fldChar w:fldCharType="separate"/>
        </w:r>
        <w:r w:rsidR="00412FD5">
          <w:rPr>
            <w:noProof/>
            <w:webHidden/>
          </w:rPr>
          <w:t>164</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41" w:history="1">
        <w:r w:rsidR="00412FD5" w:rsidRPr="005C0243">
          <w:rPr>
            <w:rStyle w:val="Hyperlink"/>
            <w:noProof/>
          </w:rPr>
          <w:t>Main Effects of Reflexivity: Overview and Insights</w:t>
        </w:r>
        <w:r w:rsidR="00412FD5">
          <w:rPr>
            <w:noProof/>
            <w:webHidden/>
          </w:rPr>
          <w:tab/>
        </w:r>
        <w:r w:rsidR="00412FD5">
          <w:rPr>
            <w:noProof/>
            <w:webHidden/>
          </w:rPr>
          <w:fldChar w:fldCharType="begin"/>
        </w:r>
        <w:r w:rsidR="00412FD5">
          <w:rPr>
            <w:noProof/>
            <w:webHidden/>
          </w:rPr>
          <w:instrText xml:space="preserve"> PAGEREF _Toc420572641 \h </w:instrText>
        </w:r>
        <w:r w:rsidR="00412FD5">
          <w:rPr>
            <w:noProof/>
            <w:webHidden/>
          </w:rPr>
        </w:r>
        <w:r w:rsidR="00412FD5">
          <w:rPr>
            <w:noProof/>
            <w:webHidden/>
          </w:rPr>
          <w:fldChar w:fldCharType="separate"/>
        </w:r>
        <w:r w:rsidR="00412FD5">
          <w:rPr>
            <w:noProof/>
            <w:webHidden/>
          </w:rPr>
          <w:t>166</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42" w:history="1">
        <w:r w:rsidR="00412FD5" w:rsidRPr="005C0243">
          <w:rPr>
            <w:rStyle w:val="Hyperlink"/>
            <w:noProof/>
          </w:rPr>
          <w:t>Interaction between Regulatory Focus and Reflexivity: Overview and Insights</w:t>
        </w:r>
        <w:r w:rsidR="00412FD5">
          <w:rPr>
            <w:noProof/>
            <w:webHidden/>
          </w:rPr>
          <w:tab/>
        </w:r>
        <w:r w:rsidR="00412FD5">
          <w:rPr>
            <w:noProof/>
            <w:webHidden/>
          </w:rPr>
          <w:fldChar w:fldCharType="begin"/>
        </w:r>
        <w:r w:rsidR="00412FD5">
          <w:rPr>
            <w:noProof/>
            <w:webHidden/>
          </w:rPr>
          <w:instrText xml:space="preserve"> PAGEREF _Toc420572642 \h </w:instrText>
        </w:r>
        <w:r w:rsidR="00412FD5">
          <w:rPr>
            <w:noProof/>
            <w:webHidden/>
          </w:rPr>
        </w:r>
        <w:r w:rsidR="00412FD5">
          <w:rPr>
            <w:noProof/>
            <w:webHidden/>
          </w:rPr>
          <w:fldChar w:fldCharType="separate"/>
        </w:r>
        <w:r w:rsidR="00412FD5">
          <w:rPr>
            <w:noProof/>
            <w:webHidden/>
          </w:rPr>
          <w:t>168</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43" w:history="1">
        <w:r w:rsidR="00412FD5" w:rsidRPr="005C0243">
          <w:rPr>
            <w:rStyle w:val="Hyperlink"/>
            <w:noProof/>
          </w:rPr>
          <w:t>Moderating Effects of Inventor Expertise</w:t>
        </w:r>
        <w:r w:rsidR="00412FD5">
          <w:rPr>
            <w:noProof/>
            <w:webHidden/>
          </w:rPr>
          <w:tab/>
        </w:r>
        <w:r w:rsidR="00412FD5">
          <w:rPr>
            <w:noProof/>
            <w:webHidden/>
          </w:rPr>
          <w:fldChar w:fldCharType="begin"/>
        </w:r>
        <w:r w:rsidR="00412FD5">
          <w:rPr>
            <w:noProof/>
            <w:webHidden/>
          </w:rPr>
          <w:instrText xml:space="preserve"> PAGEREF _Toc420572643 \h </w:instrText>
        </w:r>
        <w:r w:rsidR="00412FD5">
          <w:rPr>
            <w:noProof/>
            <w:webHidden/>
          </w:rPr>
        </w:r>
        <w:r w:rsidR="00412FD5">
          <w:rPr>
            <w:noProof/>
            <w:webHidden/>
          </w:rPr>
          <w:fldChar w:fldCharType="separate"/>
        </w:r>
        <w:r w:rsidR="00412FD5">
          <w:rPr>
            <w:noProof/>
            <w:webHidden/>
          </w:rPr>
          <w:t>170</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44" w:history="1">
        <w:r w:rsidR="00412FD5" w:rsidRPr="005C0243">
          <w:rPr>
            <w:rStyle w:val="Hyperlink"/>
            <w:noProof/>
          </w:rPr>
          <w:t>Contributions to Theory</w:t>
        </w:r>
        <w:r w:rsidR="00412FD5">
          <w:rPr>
            <w:noProof/>
            <w:webHidden/>
          </w:rPr>
          <w:tab/>
        </w:r>
        <w:r w:rsidR="00412FD5">
          <w:rPr>
            <w:noProof/>
            <w:webHidden/>
          </w:rPr>
          <w:fldChar w:fldCharType="begin"/>
        </w:r>
        <w:r w:rsidR="00412FD5">
          <w:rPr>
            <w:noProof/>
            <w:webHidden/>
          </w:rPr>
          <w:instrText xml:space="preserve"> PAGEREF _Toc420572644 \h </w:instrText>
        </w:r>
        <w:r w:rsidR="00412FD5">
          <w:rPr>
            <w:noProof/>
            <w:webHidden/>
          </w:rPr>
        </w:r>
        <w:r w:rsidR="00412FD5">
          <w:rPr>
            <w:noProof/>
            <w:webHidden/>
          </w:rPr>
          <w:fldChar w:fldCharType="separate"/>
        </w:r>
        <w:r w:rsidR="00412FD5">
          <w:rPr>
            <w:noProof/>
            <w:webHidden/>
          </w:rPr>
          <w:t>171</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45" w:history="1">
        <w:r w:rsidR="00412FD5" w:rsidRPr="005C0243">
          <w:rPr>
            <w:rStyle w:val="Hyperlink"/>
            <w:noProof/>
          </w:rPr>
          <w:t>Implications for Practice</w:t>
        </w:r>
        <w:r w:rsidR="00412FD5">
          <w:rPr>
            <w:noProof/>
            <w:webHidden/>
          </w:rPr>
          <w:tab/>
        </w:r>
        <w:r w:rsidR="00412FD5">
          <w:rPr>
            <w:noProof/>
            <w:webHidden/>
          </w:rPr>
          <w:fldChar w:fldCharType="begin"/>
        </w:r>
        <w:r w:rsidR="00412FD5">
          <w:rPr>
            <w:noProof/>
            <w:webHidden/>
          </w:rPr>
          <w:instrText xml:space="preserve"> PAGEREF _Toc420572645 \h </w:instrText>
        </w:r>
        <w:r w:rsidR="00412FD5">
          <w:rPr>
            <w:noProof/>
            <w:webHidden/>
          </w:rPr>
        </w:r>
        <w:r w:rsidR="00412FD5">
          <w:rPr>
            <w:noProof/>
            <w:webHidden/>
          </w:rPr>
          <w:fldChar w:fldCharType="separate"/>
        </w:r>
        <w:r w:rsidR="00412FD5">
          <w:rPr>
            <w:noProof/>
            <w:webHidden/>
          </w:rPr>
          <w:t>173</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46" w:history="1">
        <w:r w:rsidR="00412FD5" w:rsidRPr="005C0243">
          <w:rPr>
            <w:rStyle w:val="Hyperlink"/>
            <w:noProof/>
          </w:rPr>
          <w:t>Limitations and Future Research Directions</w:t>
        </w:r>
        <w:r w:rsidR="00412FD5">
          <w:rPr>
            <w:noProof/>
            <w:webHidden/>
          </w:rPr>
          <w:tab/>
        </w:r>
        <w:r w:rsidR="00412FD5">
          <w:rPr>
            <w:noProof/>
            <w:webHidden/>
          </w:rPr>
          <w:fldChar w:fldCharType="begin"/>
        </w:r>
        <w:r w:rsidR="00412FD5">
          <w:rPr>
            <w:noProof/>
            <w:webHidden/>
          </w:rPr>
          <w:instrText xml:space="preserve"> PAGEREF _Toc420572646 \h </w:instrText>
        </w:r>
        <w:r w:rsidR="00412FD5">
          <w:rPr>
            <w:noProof/>
            <w:webHidden/>
          </w:rPr>
        </w:r>
        <w:r w:rsidR="00412FD5">
          <w:rPr>
            <w:noProof/>
            <w:webHidden/>
          </w:rPr>
          <w:fldChar w:fldCharType="separate"/>
        </w:r>
        <w:r w:rsidR="00412FD5">
          <w:rPr>
            <w:noProof/>
            <w:webHidden/>
          </w:rPr>
          <w:t>176</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47" w:history="1">
        <w:r w:rsidR="00412FD5" w:rsidRPr="005C0243">
          <w:rPr>
            <w:rStyle w:val="Hyperlink"/>
            <w:noProof/>
          </w:rPr>
          <w:t>Conclusion</w:t>
        </w:r>
        <w:r w:rsidR="00412FD5">
          <w:rPr>
            <w:noProof/>
            <w:webHidden/>
          </w:rPr>
          <w:tab/>
        </w:r>
        <w:r w:rsidR="00412FD5">
          <w:rPr>
            <w:noProof/>
            <w:webHidden/>
          </w:rPr>
          <w:fldChar w:fldCharType="begin"/>
        </w:r>
        <w:r w:rsidR="00412FD5">
          <w:rPr>
            <w:noProof/>
            <w:webHidden/>
          </w:rPr>
          <w:instrText xml:space="preserve"> PAGEREF _Toc420572647 \h </w:instrText>
        </w:r>
        <w:r w:rsidR="00412FD5">
          <w:rPr>
            <w:noProof/>
            <w:webHidden/>
          </w:rPr>
        </w:r>
        <w:r w:rsidR="00412FD5">
          <w:rPr>
            <w:noProof/>
            <w:webHidden/>
          </w:rPr>
          <w:fldChar w:fldCharType="separate"/>
        </w:r>
        <w:r w:rsidR="00412FD5">
          <w:rPr>
            <w:noProof/>
            <w:webHidden/>
          </w:rPr>
          <w:t>179</w:t>
        </w:r>
        <w:r w:rsidR="00412FD5">
          <w:rPr>
            <w:noProof/>
            <w:webHidden/>
          </w:rPr>
          <w:fldChar w:fldCharType="end"/>
        </w:r>
      </w:hyperlink>
    </w:p>
    <w:p w:rsidR="00412FD5" w:rsidRDefault="007E2E0A">
      <w:pPr>
        <w:pStyle w:val="TOC1"/>
        <w:rPr>
          <w:rFonts w:asciiTheme="minorHAnsi" w:eastAsiaTheme="minorEastAsia" w:hAnsiTheme="minorHAnsi" w:cstheme="minorBidi"/>
          <w:b w:val="0"/>
          <w:sz w:val="22"/>
          <w:szCs w:val="22"/>
        </w:rPr>
      </w:pPr>
      <w:hyperlink w:anchor="_Toc420572648" w:history="1">
        <w:r w:rsidR="00412FD5" w:rsidRPr="005C0243">
          <w:rPr>
            <w:rStyle w:val="Hyperlink"/>
          </w:rPr>
          <w:t>References</w:t>
        </w:r>
        <w:r w:rsidR="00412FD5">
          <w:rPr>
            <w:webHidden/>
          </w:rPr>
          <w:tab/>
        </w:r>
        <w:r w:rsidR="00412FD5">
          <w:rPr>
            <w:webHidden/>
          </w:rPr>
          <w:fldChar w:fldCharType="begin"/>
        </w:r>
        <w:r w:rsidR="00412FD5">
          <w:rPr>
            <w:webHidden/>
          </w:rPr>
          <w:instrText xml:space="preserve"> PAGEREF _Toc420572648 \h </w:instrText>
        </w:r>
        <w:r w:rsidR="00412FD5">
          <w:rPr>
            <w:webHidden/>
          </w:rPr>
        </w:r>
        <w:r w:rsidR="00412FD5">
          <w:rPr>
            <w:webHidden/>
          </w:rPr>
          <w:fldChar w:fldCharType="separate"/>
        </w:r>
        <w:r w:rsidR="00412FD5">
          <w:rPr>
            <w:webHidden/>
          </w:rPr>
          <w:t>180</w:t>
        </w:r>
        <w:r w:rsidR="00412FD5">
          <w:rPr>
            <w:webHidden/>
          </w:rPr>
          <w:fldChar w:fldCharType="end"/>
        </w:r>
      </w:hyperlink>
    </w:p>
    <w:p w:rsidR="00412FD5" w:rsidRDefault="007E2E0A">
      <w:pPr>
        <w:pStyle w:val="TOC1"/>
        <w:rPr>
          <w:rFonts w:asciiTheme="minorHAnsi" w:eastAsiaTheme="minorEastAsia" w:hAnsiTheme="minorHAnsi" w:cstheme="minorBidi"/>
          <w:b w:val="0"/>
          <w:sz w:val="22"/>
          <w:szCs w:val="22"/>
        </w:rPr>
      </w:pPr>
      <w:hyperlink w:anchor="_Toc420572649" w:history="1">
        <w:r w:rsidR="00412FD5" w:rsidRPr="005C0243">
          <w:rPr>
            <w:rStyle w:val="Hyperlink"/>
          </w:rPr>
          <w:t>Appendices</w:t>
        </w:r>
        <w:r w:rsidR="00412FD5">
          <w:rPr>
            <w:webHidden/>
          </w:rPr>
          <w:tab/>
        </w:r>
        <w:r w:rsidR="00412FD5">
          <w:rPr>
            <w:webHidden/>
          </w:rPr>
          <w:fldChar w:fldCharType="begin"/>
        </w:r>
        <w:r w:rsidR="00412FD5">
          <w:rPr>
            <w:webHidden/>
          </w:rPr>
          <w:instrText xml:space="preserve"> PAGEREF _Toc420572649 \h </w:instrText>
        </w:r>
        <w:r w:rsidR="00412FD5">
          <w:rPr>
            <w:webHidden/>
          </w:rPr>
        </w:r>
        <w:r w:rsidR="00412FD5">
          <w:rPr>
            <w:webHidden/>
          </w:rPr>
          <w:fldChar w:fldCharType="separate"/>
        </w:r>
        <w:r w:rsidR="00412FD5">
          <w:rPr>
            <w:webHidden/>
          </w:rPr>
          <w:t>196</w:t>
        </w:r>
        <w:r w:rsidR="00412FD5">
          <w:rPr>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50" w:history="1">
        <w:r w:rsidR="00412FD5" w:rsidRPr="005C0243">
          <w:rPr>
            <w:rStyle w:val="Hyperlink"/>
            <w:noProof/>
          </w:rPr>
          <w:t>Appendix 1. Measurement Scales</w:t>
        </w:r>
        <w:r w:rsidR="00412FD5">
          <w:rPr>
            <w:noProof/>
            <w:webHidden/>
          </w:rPr>
          <w:tab/>
        </w:r>
        <w:r w:rsidR="00412FD5">
          <w:rPr>
            <w:noProof/>
            <w:webHidden/>
          </w:rPr>
          <w:fldChar w:fldCharType="begin"/>
        </w:r>
        <w:r w:rsidR="00412FD5">
          <w:rPr>
            <w:noProof/>
            <w:webHidden/>
          </w:rPr>
          <w:instrText xml:space="preserve"> PAGEREF _Toc420572650 \h </w:instrText>
        </w:r>
        <w:r w:rsidR="00412FD5">
          <w:rPr>
            <w:noProof/>
            <w:webHidden/>
          </w:rPr>
        </w:r>
        <w:r w:rsidR="00412FD5">
          <w:rPr>
            <w:noProof/>
            <w:webHidden/>
          </w:rPr>
          <w:fldChar w:fldCharType="separate"/>
        </w:r>
        <w:r w:rsidR="00412FD5">
          <w:rPr>
            <w:noProof/>
            <w:webHidden/>
          </w:rPr>
          <w:t>197</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51" w:history="1">
        <w:r w:rsidR="00412FD5" w:rsidRPr="005C0243">
          <w:rPr>
            <w:rStyle w:val="Hyperlink"/>
            <w:noProof/>
          </w:rPr>
          <w:t>Appendix 2. Study 1 Product Concepts</w:t>
        </w:r>
        <w:r w:rsidR="00412FD5">
          <w:rPr>
            <w:noProof/>
            <w:webHidden/>
          </w:rPr>
          <w:tab/>
        </w:r>
        <w:r w:rsidR="00412FD5">
          <w:rPr>
            <w:noProof/>
            <w:webHidden/>
          </w:rPr>
          <w:fldChar w:fldCharType="begin"/>
        </w:r>
        <w:r w:rsidR="00412FD5">
          <w:rPr>
            <w:noProof/>
            <w:webHidden/>
          </w:rPr>
          <w:instrText xml:space="preserve"> PAGEREF _Toc420572651 \h </w:instrText>
        </w:r>
        <w:r w:rsidR="00412FD5">
          <w:rPr>
            <w:noProof/>
            <w:webHidden/>
          </w:rPr>
        </w:r>
        <w:r w:rsidR="00412FD5">
          <w:rPr>
            <w:noProof/>
            <w:webHidden/>
          </w:rPr>
          <w:fldChar w:fldCharType="separate"/>
        </w:r>
        <w:r w:rsidR="00412FD5">
          <w:rPr>
            <w:noProof/>
            <w:webHidden/>
          </w:rPr>
          <w:t>201</w:t>
        </w:r>
        <w:r w:rsidR="00412FD5">
          <w:rPr>
            <w:noProof/>
            <w:webHidden/>
          </w:rPr>
          <w:fldChar w:fldCharType="end"/>
        </w:r>
      </w:hyperlink>
    </w:p>
    <w:p w:rsidR="00412FD5" w:rsidRDefault="007E2E0A">
      <w:pPr>
        <w:pStyle w:val="TOC2"/>
        <w:tabs>
          <w:tab w:val="right" w:leader="dot" w:pos="9350"/>
        </w:tabs>
        <w:rPr>
          <w:rFonts w:asciiTheme="minorHAnsi" w:eastAsiaTheme="minorEastAsia" w:hAnsiTheme="minorHAnsi" w:cstheme="minorBidi"/>
          <w:noProof/>
          <w:sz w:val="22"/>
          <w:szCs w:val="22"/>
        </w:rPr>
      </w:pPr>
      <w:hyperlink w:anchor="_Toc420572652" w:history="1">
        <w:r w:rsidR="00412FD5" w:rsidRPr="005C0243">
          <w:rPr>
            <w:rStyle w:val="Hyperlink"/>
            <w:noProof/>
          </w:rPr>
          <w:t>Appendix 3. Study 2 Product Sets</w:t>
        </w:r>
        <w:r w:rsidR="00412FD5">
          <w:rPr>
            <w:noProof/>
            <w:webHidden/>
          </w:rPr>
          <w:tab/>
        </w:r>
        <w:r w:rsidR="00412FD5">
          <w:rPr>
            <w:noProof/>
            <w:webHidden/>
          </w:rPr>
          <w:fldChar w:fldCharType="begin"/>
        </w:r>
        <w:r w:rsidR="00412FD5">
          <w:rPr>
            <w:noProof/>
            <w:webHidden/>
          </w:rPr>
          <w:instrText xml:space="preserve"> PAGEREF _Toc420572652 \h </w:instrText>
        </w:r>
        <w:r w:rsidR="00412FD5">
          <w:rPr>
            <w:noProof/>
            <w:webHidden/>
          </w:rPr>
        </w:r>
        <w:r w:rsidR="00412FD5">
          <w:rPr>
            <w:noProof/>
            <w:webHidden/>
          </w:rPr>
          <w:fldChar w:fldCharType="separate"/>
        </w:r>
        <w:r w:rsidR="00412FD5">
          <w:rPr>
            <w:noProof/>
            <w:webHidden/>
          </w:rPr>
          <w:t>204</w:t>
        </w:r>
        <w:r w:rsidR="00412FD5">
          <w:rPr>
            <w:noProof/>
            <w:webHidden/>
          </w:rPr>
          <w:fldChar w:fldCharType="end"/>
        </w:r>
      </w:hyperlink>
    </w:p>
    <w:p w:rsidR="00412FD5" w:rsidRDefault="007E2E0A">
      <w:pPr>
        <w:pStyle w:val="TOC1"/>
        <w:rPr>
          <w:rFonts w:asciiTheme="minorHAnsi" w:eastAsiaTheme="minorEastAsia" w:hAnsiTheme="minorHAnsi" w:cstheme="minorBidi"/>
          <w:b w:val="0"/>
          <w:sz w:val="22"/>
          <w:szCs w:val="22"/>
        </w:rPr>
      </w:pPr>
      <w:hyperlink w:anchor="_Toc420572653" w:history="1">
        <w:r w:rsidR="00412FD5" w:rsidRPr="005C0243">
          <w:rPr>
            <w:rStyle w:val="Hyperlink"/>
          </w:rPr>
          <w:t>Vita</w:t>
        </w:r>
        <w:r w:rsidR="00412FD5">
          <w:rPr>
            <w:webHidden/>
          </w:rPr>
          <w:tab/>
        </w:r>
        <w:r w:rsidR="00412FD5">
          <w:rPr>
            <w:webHidden/>
          </w:rPr>
          <w:fldChar w:fldCharType="begin"/>
        </w:r>
        <w:r w:rsidR="00412FD5">
          <w:rPr>
            <w:webHidden/>
          </w:rPr>
          <w:instrText xml:space="preserve"> PAGEREF _Toc420572653 \h </w:instrText>
        </w:r>
        <w:r w:rsidR="00412FD5">
          <w:rPr>
            <w:webHidden/>
          </w:rPr>
        </w:r>
        <w:r w:rsidR="00412FD5">
          <w:rPr>
            <w:webHidden/>
          </w:rPr>
          <w:fldChar w:fldCharType="separate"/>
        </w:r>
        <w:r w:rsidR="00412FD5">
          <w:rPr>
            <w:webHidden/>
          </w:rPr>
          <w:t>207</w:t>
        </w:r>
        <w:r w:rsidR="00412FD5">
          <w:rPr>
            <w:webHidden/>
          </w:rPr>
          <w:fldChar w:fldCharType="end"/>
        </w:r>
      </w:hyperlink>
    </w:p>
    <w:p w:rsidR="00070FC5" w:rsidRPr="00CC73F3" w:rsidRDefault="00070FC5" w:rsidP="00D639F5">
      <w:pPr>
        <w:numPr>
          <w:ilvl w:val="12"/>
          <w:numId w:val="0"/>
        </w:numPr>
        <w:jc w:val="center"/>
        <w:rPr>
          <w:b/>
          <w:bCs/>
          <w:sz w:val="28"/>
          <w:szCs w:val="28"/>
        </w:rPr>
      </w:pPr>
      <w:r w:rsidRPr="00CC73F3">
        <w:fldChar w:fldCharType="end"/>
      </w:r>
    </w:p>
    <w:p w:rsidR="00070FC5" w:rsidRPr="00CC73F3" w:rsidRDefault="00070FC5" w:rsidP="00D639F5">
      <w:pPr>
        <w:numPr>
          <w:ilvl w:val="12"/>
          <w:numId w:val="0"/>
        </w:numPr>
        <w:jc w:val="center"/>
        <w:rPr>
          <w:b/>
        </w:rPr>
      </w:pPr>
      <w:r w:rsidRPr="00CC73F3">
        <w:rPr>
          <w:b/>
          <w:bCs/>
          <w:sz w:val="28"/>
          <w:szCs w:val="28"/>
        </w:rPr>
        <w:br w:type="page"/>
      </w:r>
      <w:r w:rsidRPr="00CC73F3">
        <w:rPr>
          <w:b/>
          <w:bCs/>
        </w:rPr>
        <w:t>List of Tables</w:t>
      </w:r>
    </w:p>
    <w:p w:rsidR="00070FC5" w:rsidRPr="00CC73F3" w:rsidRDefault="00070FC5" w:rsidP="00D639F5">
      <w:pPr>
        <w:numPr>
          <w:ilvl w:val="12"/>
          <w:numId w:val="0"/>
        </w:numPr>
        <w:jc w:val="center"/>
      </w:pPr>
    </w:p>
    <w:p w:rsidR="00117A2D" w:rsidRDefault="00070FC5">
      <w:pPr>
        <w:pStyle w:val="TableofFigures"/>
        <w:tabs>
          <w:tab w:val="right" w:leader="dot" w:pos="9350"/>
        </w:tabs>
        <w:rPr>
          <w:rFonts w:asciiTheme="minorHAnsi" w:eastAsiaTheme="minorEastAsia" w:hAnsiTheme="minorHAnsi" w:cstheme="minorBidi"/>
          <w:noProof/>
          <w:sz w:val="22"/>
          <w:szCs w:val="22"/>
        </w:rPr>
      </w:pPr>
      <w:r w:rsidRPr="00CC73F3">
        <w:fldChar w:fldCharType="begin"/>
      </w:r>
      <w:r w:rsidRPr="00CC73F3">
        <w:instrText xml:space="preserve"> TOC \h \z \c "Table" </w:instrText>
      </w:r>
      <w:r w:rsidRPr="00CC73F3">
        <w:fldChar w:fldCharType="separate"/>
      </w:r>
      <w:hyperlink w:anchor="_Toc420570926" w:history="1">
        <w:r w:rsidR="00117A2D" w:rsidRPr="00034707">
          <w:rPr>
            <w:rStyle w:val="Hyperlink"/>
            <w:rFonts w:eastAsia="Calibri"/>
            <w:noProof/>
          </w:rPr>
          <w:t>Table 1. Definitions of Cocreation in the Marketing Literature</w:t>
        </w:r>
        <w:r w:rsidR="00117A2D">
          <w:rPr>
            <w:noProof/>
            <w:webHidden/>
          </w:rPr>
          <w:tab/>
        </w:r>
        <w:r w:rsidR="00117A2D">
          <w:rPr>
            <w:noProof/>
            <w:webHidden/>
          </w:rPr>
          <w:fldChar w:fldCharType="begin"/>
        </w:r>
        <w:r w:rsidR="00117A2D">
          <w:rPr>
            <w:noProof/>
            <w:webHidden/>
          </w:rPr>
          <w:instrText xml:space="preserve"> PAGEREF _Toc420570926 \h </w:instrText>
        </w:r>
        <w:r w:rsidR="00117A2D">
          <w:rPr>
            <w:noProof/>
            <w:webHidden/>
          </w:rPr>
        </w:r>
        <w:r w:rsidR="00117A2D">
          <w:rPr>
            <w:noProof/>
            <w:webHidden/>
          </w:rPr>
          <w:fldChar w:fldCharType="separate"/>
        </w:r>
        <w:r w:rsidR="00117A2D">
          <w:rPr>
            <w:noProof/>
            <w:webHidden/>
          </w:rPr>
          <w:t>20</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27" w:history="1">
        <w:r w:rsidR="00117A2D" w:rsidRPr="00034707">
          <w:rPr>
            <w:rStyle w:val="Hyperlink"/>
            <w:rFonts w:eastAsia="Calibri"/>
            <w:noProof/>
          </w:rPr>
          <w:t>Table 2. Review of the Literature on Cocreation in New Product Development</w:t>
        </w:r>
        <w:r w:rsidR="00117A2D">
          <w:rPr>
            <w:noProof/>
            <w:webHidden/>
          </w:rPr>
          <w:tab/>
        </w:r>
        <w:r w:rsidR="00117A2D">
          <w:rPr>
            <w:noProof/>
            <w:webHidden/>
          </w:rPr>
          <w:fldChar w:fldCharType="begin"/>
        </w:r>
        <w:r w:rsidR="00117A2D">
          <w:rPr>
            <w:noProof/>
            <w:webHidden/>
          </w:rPr>
          <w:instrText xml:space="preserve"> PAGEREF _Toc420570927 \h </w:instrText>
        </w:r>
        <w:r w:rsidR="00117A2D">
          <w:rPr>
            <w:noProof/>
            <w:webHidden/>
          </w:rPr>
        </w:r>
        <w:r w:rsidR="00117A2D">
          <w:rPr>
            <w:noProof/>
            <w:webHidden/>
          </w:rPr>
          <w:fldChar w:fldCharType="separate"/>
        </w:r>
        <w:r w:rsidR="00117A2D">
          <w:rPr>
            <w:noProof/>
            <w:webHidden/>
          </w:rPr>
          <w:t>22</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28" w:history="1">
        <w:r w:rsidR="00117A2D" w:rsidRPr="00034707">
          <w:rPr>
            <w:rStyle w:val="Hyperlink"/>
            <w:rFonts w:eastAsia="Calibri"/>
            <w:noProof/>
          </w:rPr>
          <w:t>Table 3. Group Regulatory Focus Theory in Entrepreneurship/Innovation</w:t>
        </w:r>
        <w:r w:rsidR="00117A2D">
          <w:rPr>
            <w:noProof/>
            <w:webHidden/>
          </w:rPr>
          <w:tab/>
        </w:r>
        <w:r w:rsidR="00117A2D">
          <w:rPr>
            <w:noProof/>
            <w:webHidden/>
          </w:rPr>
          <w:fldChar w:fldCharType="begin"/>
        </w:r>
        <w:r w:rsidR="00117A2D">
          <w:rPr>
            <w:noProof/>
            <w:webHidden/>
          </w:rPr>
          <w:instrText xml:space="preserve"> PAGEREF _Toc420570928 \h </w:instrText>
        </w:r>
        <w:r w:rsidR="00117A2D">
          <w:rPr>
            <w:noProof/>
            <w:webHidden/>
          </w:rPr>
        </w:r>
        <w:r w:rsidR="00117A2D">
          <w:rPr>
            <w:noProof/>
            <w:webHidden/>
          </w:rPr>
          <w:fldChar w:fldCharType="separate"/>
        </w:r>
        <w:r w:rsidR="00117A2D">
          <w:rPr>
            <w:noProof/>
            <w:webHidden/>
          </w:rPr>
          <w:t>46</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29" w:history="1">
        <w:r w:rsidR="00117A2D" w:rsidRPr="00034707">
          <w:rPr>
            <w:rStyle w:val="Hyperlink"/>
            <w:rFonts w:eastAsia="Calibri"/>
            <w:noProof/>
          </w:rPr>
          <w:t>Table 4. Literature Review of Team Reflexivity in Innovation</w:t>
        </w:r>
        <w:r w:rsidR="00117A2D">
          <w:rPr>
            <w:noProof/>
            <w:webHidden/>
          </w:rPr>
          <w:tab/>
        </w:r>
        <w:r w:rsidR="00117A2D">
          <w:rPr>
            <w:noProof/>
            <w:webHidden/>
          </w:rPr>
          <w:fldChar w:fldCharType="begin"/>
        </w:r>
        <w:r w:rsidR="00117A2D">
          <w:rPr>
            <w:noProof/>
            <w:webHidden/>
          </w:rPr>
          <w:instrText xml:space="preserve"> PAGEREF _Toc420570929 \h </w:instrText>
        </w:r>
        <w:r w:rsidR="00117A2D">
          <w:rPr>
            <w:noProof/>
            <w:webHidden/>
          </w:rPr>
        </w:r>
        <w:r w:rsidR="00117A2D">
          <w:rPr>
            <w:noProof/>
            <w:webHidden/>
          </w:rPr>
          <w:fldChar w:fldCharType="separate"/>
        </w:r>
        <w:r w:rsidR="00117A2D">
          <w:rPr>
            <w:noProof/>
            <w:webHidden/>
          </w:rPr>
          <w:t>55</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30" w:history="1">
        <w:r w:rsidR="00117A2D" w:rsidRPr="00034707">
          <w:rPr>
            <w:rStyle w:val="Hyperlink"/>
            <w:rFonts w:eastAsia="Calibri"/>
            <w:noProof/>
          </w:rPr>
          <w:t>Table 5. Summary of Hypotheses</w:t>
        </w:r>
        <w:r w:rsidR="00117A2D">
          <w:rPr>
            <w:noProof/>
            <w:webHidden/>
          </w:rPr>
          <w:tab/>
        </w:r>
        <w:r w:rsidR="00117A2D">
          <w:rPr>
            <w:noProof/>
            <w:webHidden/>
          </w:rPr>
          <w:fldChar w:fldCharType="begin"/>
        </w:r>
        <w:r w:rsidR="00117A2D">
          <w:rPr>
            <w:noProof/>
            <w:webHidden/>
          </w:rPr>
          <w:instrText xml:space="preserve"> PAGEREF _Toc420570930 \h </w:instrText>
        </w:r>
        <w:r w:rsidR="00117A2D">
          <w:rPr>
            <w:noProof/>
            <w:webHidden/>
          </w:rPr>
        </w:r>
        <w:r w:rsidR="00117A2D">
          <w:rPr>
            <w:noProof/>
            <w:webHidden/>
          </w:rPr>
          <w:fldChar w:fldCharType="separate"/>
        </w:r>
        <w:r w:rsidR="00117A2D">
          <w:rPr>
            <w:noProof/>
            <w:webHidden/>
          </w:rPr>
          <w:t>77</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31" w:history="1">
        <w:r w:rsidR="00117A2D" w:rsidRPr="00034707">
          <w:rPr>
            <w:rStyle w:val="Hyperlink"/>
            <w:rFonts w:eastAsia="Calibri"/>
            <w:noProof/>
          </w:rPr>
          <w:t>Table 6. Overview of Studies</w:t>
        </w:r>
        <w:r w:rsidR="00117A2D">
          <w:rPr>
            <w:noProof/>
            <w:webHidden/>
          </w:rPr>
          <w:tab/>
        </w:r>
        <w:r w:rsidR="00117A2D">
          <w:rPr>
            <w:noProof/>
            <w:webHidden/>
          </w:rPr>
          <w:fldChar w:fldCharType="begin"/>
        </w:r>
        <w:r w:rsidR="00117A2D">
          <w:rPr>
            <w:noProof/>
            <w:webHidden/>
          </w:rPr>
          <w:instrText xml:space="preserve"> PAGEREF _Toc420570931 \h </w:instrText>
        </w:r>
        <w:r w:rsidR="00117A2D">
          <w:rPr>
            <w:noProof/>
            <w:webHidden/>
          </w:rPr>
        </w:r>
        <w:r w:rsidR="00117A2D">
          <w:rPr>
            <w:noProof/>
            <w:webHidden/>
          </w:rPr>
          <w:fldChar w:fldCharType="separate"/>
        </w:r>
        <w:r w:rsidR="00117A2D">
          <w:rPr>
            <w:noProof/>
            <w:webHidden/>
          </w:rPr>
          <w:t>81</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32" w:history="1">
        <w:r w:rsidR="00117A2D" w:rsidRPr="00034707">
          <w:rPr>
            <w:rStyle w:val="Hyperlink"/>
            <w:rFonts w:eastAsia="Calibri"/>
            <w:noProof/>
          </w:rPr>
          <w:t>Table 7. Group Regulatory Focus Experimental Manipulations</w:t>
        </w:r>
        <w:r w:rsidR="00117A2D">
          <w:rPr>
            <w:noProof/>
            <w:webHidden/>
          </w:rPr>
          <w:tab/>
        </w:r>
        <w:r w:rsidR="00117A2D">
          <w:rPr>
            <w:noProof/>
            <w:webHidden/>
          </w:rPr>
          <w:fldChar w:fldCharType="begin"/>
        </w:r>
        <w:r w:rsidR="00117A2D">
          <w:rPr>
            <w:noProof/>
            <w:webHidden/>
          </w:rPr>
          <w:instrText xml:space="preserve"> PAGEREF _Toc420570932 \h </w:instrText>
        </w:r>
        <w:r w:rsidR="00117A2D">
          <w:rPr>
            <w:noProof/>
            <w:webHidden/>
          </w:rPr>
        </w:r>
        <w:r w:rsidR="00117A2D">
          <w:rPr>
            <w:noProof/>
            <w:webHidden/>
          </w:rPr>
          <w:fldChar w:fldCharType="separate"/>
        </w:r>
        <w:r w:rsidR="00117A2D">
          <w:rPr>
            <w:noProof/>
            <w:webHidden/>
          </w:rPr>
          <w:t>87</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33" w:history="1">
        <w:r w:rsidR="00117A2D" w:rsidRPr="00034707">
          <w:rPr>
            <w:rStyle w:val="Hyperlink"/>
            <w:rFonts w:eastAsia="Calibri"/>
            <w:noProof/>
          </w:rPr>
          <w:t>Table 8. Group Reflexivity Manipulations</w:t>
        </w:r>
        <w:r w:rsidR="00117A2D">
          <w:rPr>
            <w:noProof/>
            <w:webHidden/>
          </w:rPr>
          <w:tab/>
        </w:r>
        <w:r w:rsidR="00117A2D">
          <w:rPr>
            <w:noProof/>
            <w:webHidden/>
          </w:rPr>
          <w:fldChar w:fldCharType="begin"/>
        </w:r>
        <w:r w:rsidR="00117A2D">
          <w:rPr>
            <w:noProof/>
            <w:webHidden/>
          </w:rPr>
          <w:instrText xml:space="preserve"> PAGEREF _Toc420570933 \h </w:instrText>
        </w:r>
        <w:r w:rsidR="00117A2D">
          <w:rPr>
            <w:noProof/>
            <w:webHidden/>
          </w:rPr>
        </w:r>
        <w:r w:rsidR="00117A2D">
          <w:rPr>
            <w:noProof/>
            <w:webHidden/>
          </w:rPr>
          <w:fldChar w:fldCharType="separate"/>
        </w:r>
        <w:r w:rsidR="00117A2D">
          <w:rPr>
            <w:noProof/>
            <w:webHidden/>
          </w:rPr>
          <w:t>88</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34" w:history="1">
        <w:r w:rsidR="00117A2D" w:rsidRPr="00034707">
          <w:rPr>
            <w:rStyle w:val="Hyperlink"/>
            <w:rFonts w:eastAsia="Calibri"/>
            <w:noProof/>
          </w:rPr>
          <w:t>Table 9. Practice Scenario</w:t>
        </w:r>
        <w:r w:rsidR="00117A2D">
          <w:rPr>
            <w:noProof/>
            <w:webHidden/>
          </w:rPr>
          <w:tab/>
        </w:r>
        <w:r w:rsidR="00117A2D">
          <w:rPr>
            <w:noProof/>
            <w:webHidden/>
          </w:rPr>
          <w:fldChar w:fldCharType="begin"/>
        </w:r>
        <w:r w:rsidR="00117A2D">
          <w:rPr>
            <w:noProof/>
            <w:webHidden/>
          </w:rPr>
          <w:instrText xml:space="preserve"> PAGEREF _Toc420570934 \h </w:instrText>
        </w:r>
        <w:r w:rsidR="00117A2D">
          <w:rPr>
            <w:noProof/>
            <w:webHidden/>
          </w:rPr>
        </w:r>
        <w:r w:rsidR="00117A2D">
          <w:rPr>
            <w:noProof/>
            <w:webHidden/>
          </w:rPr>
          <w:fldChar w:fldCharType="separate"/>
        </w:r>
        <w:r w:rsidR="00117A2D">
          <w:rPr>
            <w:noProof/>
            <w:webHidden/>
          </w:rPr>
          <w:t>89</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35" w:history="1">
        <w:r w:rsidR="00117A2D" w:rsidRPr="00034707">
          <w:rPr>
            <w:rStyle w:val="Hyperlink"/>
            <w:rFonts w:eastAsia="Calibri"/>
            <w:noProof/>
          </w:rPr>
          <w:t>Table 10. Study 1 Main Experimental Scenario</w:t>
        </w:r>
        <w:r w:rsidR="00117A2D">
          <w:rPr>
            <w:noProof/>
            <w:webHidden/>
          </w:rPr>
          <w:tab/>
        </w:r>
        <w:r w:rsidR="00117A2D">
          <w:rPr>
            <w:noProof/>
            <w:webHidden/>
          </w:rPr>
          <w:fldChar w:fldCharType="begin"/>
        </w:r>
        <w:r w:rsidR="00117A2D">
          <w:rPr>
            <w:noProof/>
            <w:webHidden/>
          </w:rPr>
          <w:instrText xml:space="preserve"> PAGEREF _Toc420570935 \h </w:instrText>
        </w:r>
        <w:r w:rsidR="00117A2D">
          <w:rPr>
            <w:noProof/>
            <w:webHidden/>
          </w:rPr>
        </w:r>
        <w:r w:rsidR="00117A2D">
          <w:rPr>
            <w:noProof/>
            <w:webHidden/>
          </w:rPr>
          <w:fldChar w:fldCharType="separate"/>
        </w:r>
        <w:r w:rsidR="00117A2D">
          <w:rPr>
            <w:noProof/>
            <w:webHidden/>
          </w:rPr>
          <w:t>90</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36" w:history="1">
        <w:r w:rsidR="00117A2D" w:rsidRPr="00034707">
          <w:rPr>
            <w:rStyle w:val="Hyperlink"/>
            <w:rFonts w:eastAsia="Calibri"/>
            <w:noProof/>
          </w:rPr>
          <w:t>Table 11. Main Experimental Scenario for Study 2</w:t>
        </w:r>
        <w:r w:rsidR="00117A2D">
          <w:rPr>
            <w:noProof/>
            <w:webHidden/>
          </w:rPr>
          <w:tab/>
        </w:r>
        <w:r w:rsidR="00117A2D">
          <w:rPr>
            <w:noProof/>
            <w:webHidden/>
          </w:rPr>
          <w:fldChar w:fldCharType="begin"/>
        </w:r>
        <w:r w:rsidR="00117A2D">
          <w:rPr>
            <w:noProof/>
            <w:webHidden/>
          </w:rPr>
          <w:instrText xml:space="preserve"> PAGEREF _Toc420570936 \h </w:instrText>
        </w:r>
        <w:r w:rsidR="00117A2D">
          <w:rPr>
            <w:noProof/>
            <w:webHidden/>
          </w:rPr>
        </w:r>
        <w:r w:rsidR="00117A2D">
          <w:rPr>
            <w:noProof/>
            <w:webHidden/>
          </w:rPr>
          <w:fldChar w:fldCharType="separate"/>
        </w:r>
        <w:r w:rsidR="00117A2D">
          <w:rPr>
            <w:noProof/>
            <w:webHidden/>
          </w:rPr>
          <w:t>94</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37" w:history="1">
        <w:r w:rsidR="00117A2D" w:rsidRPr="00034707">
          <w:rPr>
            <w:rStyle w:val="Hyperlink"/>
            <w:rFonts w:eastAsia="Calibri"/>
            <w:noProof/>
          </w:rPr>
          <w:t>Table 12. Operationalization of Main IVs and DVs in Study 3</w:t>
        </w:r>
        <w:r w:rsidR="00117A2D">
          <w:rPr>
            <w:noProof/>
            <w:webHidden/>
          </w:rPr>
          <w:tab/>
        </w:r>
        <w:r w:rsidR="00117A2D">
          <w:rPr>
            <w:noProof/>
            <w:webHidden/>
          </w:rPr>
          <w:fldChar w:fldCharType="begin"/>
        </w:r>
        <w:r w:rsidR="00117A2D">
          <w:rPr>
            <w:noProof/>
            <w:webHidden/>
          </w:rPr>
          <w:instrText xml:space="preserve"> PAGEREF _Toc420570937 \h </w:instrText>
        </w:r>
        <w:r w:rsidR="00117A2D">
          <w:rPr>
            <w:noProof/>
            <w:webHidden/>
          </w:rPr>
        </w:r>
        <w:r w:rsidR="00117A2D">
          <w:rPr>
            <w:noProof/>
            <w:webHidden/>
          </w:rPr>
          <w:fldChar w:fldCharType="separate"/>
        </w:r>
        <w:r w:rsidR="00117A2D">
          <w:rPr>
            <w:noProof/>
            <w:webHidden/>
          </w:rPr>
          <w:t>100</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38" w:history="1">
        <w:r w:rsidR="00117A2D" w:rsidRPr="00034707">
          <w:rPr>
            <w:rStyle w:val="Hyperlink"/>
            <w:rFonts w:eastAsia="Calibri"/>
            <w:noProof/>
          </w:rPr>
          <w:t>Table 13. Group Regulatory Focus Experimental Manipulations</w:t>
        </w:r>
        <w:r w:rsidR="00117A2D">
          <w:rPr>
            <w:noProof/>
            <w:webHidden/>
          </w:rPr>
          <w:tab/>
        </w:r>
        <w:r w:rsidR="00117A2D">
          <w:rPr>
            <w:noProof/>
            <w:webHidden/>
          </w:rPr>
          <w:fldChar w:fldCharType="begin"/>
        </w:r>
        <w:r w:rsidR="00117A2D">
          <w:rPr>
            <w:noProof/>
            <w:webHidden/>
          </w:rPr>
          <w:instrText xml:space="preserve"> PAGEREF _Toc420570938 \h </w:instrText>
        </w:r>
        <w:r w:rsidR="00117A2D">
          <w:rPr>
            <w:noProof/>
            <w:webHidden/>
          </w:rPr>
        </w:r>
        <w:r w:rsidR="00117A2D">
          <w:rPr>
            <w:noProof/>
            <w:webHidden/>
          </w:rPr>
          <w:fldChar w:fldCharType="separate"/>
        </w:r>
        <w:r w:rsidR="00117A2D">
          <w:rPr>
            <w:noProof/>
            <w:webHidden/>
          </w:rPr>
          <w:t>106</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39" w:history="1">
        <w:r w:rsidR="00117A2D" w:rsidRPr="00034707">
          <w:rPr>
            <w:rStyle w:val="Hyperlink"/>
            <w:rFonts w:eastAsia="Calibri"/>
            <w:noProof/>
          </w:rPr>
          <w:t>Table 14. Group Reflexivity Manipulations</w:t>
        </w:r>
        <w:r w:rsidR="00117A2D">
          <w:rPr>
            <w:noProof/>
            <w:webHidden/>
          </w:rPr>
          <w:tab/>
        </w:r>
        <w:r w:rsidR="00117A2D">
          <w:rPr>
            <w:noProof/>
            <w:webHidden/>
          </w:rPr>
          <w:fldChar w:fldCharType="begin"/>
        </w:r>
        <w:r w:rsidR="00117A2D">
          <w:rPr>
            <w:noProof/>
            <w:webHidden/>
          </w:rPr>
          <w:instrText xml:space="preserve"> PAGEREF _Toc420570939 \h </w:instrText>
        </w:r>
        <w:r w:rsidR="00117A2D">
          <w:rPr>
            <w:noProof/>
            <w:webHidden/>
          </w:rPr>
        </w:r>
        <w:r w:rsidR="00117A2D">
          <w:rPr>
            <w:noProof/>
            <w:webHidden/>
          </w:rPr>
          <w:fldChar w:fldCharType="separate"/>
        </w:r>
        <w:r w:rsidR="00117A2D">
          <w:rPr>
            <w:noProof/>
            <w:webHidden/>
          </w:rPr>
          <w:t>107</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40" w:history="1">
        <w:r w:rsidR="00117A2D" w:rsidRPr="00034707">
          <w:rPr>
            <w:rStyle w:val="Hyperlink"/>
            <w:rFonts w:eastAsia="Calibri"/>
            <w:noProof/>
          </w:rPr>
          <w:t>Table 15. Measure Reliability for Study 1 and Study 2</w:t>
        </w:r>
        <w:r w:rsidR="00117A2D">
          <w:rPr>
            <w:noProof/>
            <w:webHidden/>
          </w:rPr>
          <w:tab/>
        </w:r>
        <w:r w:rsidR="00117A2D">
          <w:rPr>
            <w:noProof/>
            <w:webHidden/>
          </w:rPr>
          <w:fldChar w:fldCharType="begin"/>
        </w:r>
        <w:r w:rsidR="00117A2D">
          <w:rPr>
            <w:noProof/>
            <w:webHidden/>
          </w:rPr>
          <w:instrText xml:space="preserve"> PAGEREF _Toc420570940 \h </w:instrText>
        </w:r>
        <w:r w:rsidR="00117A2D">
          <w:rPr>
            <w:noProof/>
            <w:webHidden/>
          </w:rPr>
        </w:r>
        <w:r w:rsidR="00117A2D">
          <w:rPr>
            <w:noProof/>
            <w:webHidden/>
          </w:rPr>
          <w:fldChar w:fldCharType="separate"/>
        </w:r>
        <w:r w:rsidR="00117A2D">
          <w:rPr>
            <w:noProof/>
            <w:webHidden/>
          </w:rPr>
          <w:t>108</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41" w:history="1">
        <w:r w:rsidR="00117A2D" w:rsidRPr="00034707">
          <w:rPr>
            <w:rStyle w:val="Hyperlink"/>
            <w:rFonts w:eastAsia="Calibri"/>
            <w:noProof/>
          </w:rPr>
          <w:t>Table 16. New Product Concept Feasibility Items</w:t>
        </w:r>
        <w:r w:rsidR="00117A2D">
          <w:rPr>
            <w:noProof/>
            <w:webHidden/>
          </w:rPr>
          <w:tab/>
        </w:r>
        <w:r w:rsidR="00117A2D">
          <w:rPr>
            <w:noProof/>
            <w:webHidden/>
          </w:rPr>
          <w:fldChar w:fldCharType="begin"/>
        </w:r>
        <w:r w:rsidR="00117A2D">
          <w:rPr>
            <w:noProof/>
            <w:webHidden/>
          </w:rPr>
          <w:instrText xml:space="preserve"> PAGEREF _Toc420570941 \h </w:instrText>
        </w:r>
        <w:r w:rsidR="00117A2D">
          <w:rPr>
            <w:noProof/>
            <w:webHidden/>
          </w:rPr>
        </w:r>
        <w:r w:rsidR="00117A2D">
          <w:rPr>
            <w:noProof/>
            <w:webHidden/>
          </w:rPr>
          <w:fldChar w:fldCharType="separate"/>
        </w:r>
        <w:r w:rsidR="00117A2D">
          <w:rPr>
            <w:noProof/>
            <w:webHidden/>
          </w:rPr>
          <w:t>110</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42" w:history="1">
        <w:r w:rsidR="00117A2D" w:rsidRPr="00034707">
          <w:rPr>
            <w:rStyle w:val="Hyperlink"/>
            <w:rFonts w:eastAsia="Calibri"/>
            <w:noProof/>
          </w:rPr>
          <w:t>Table 17. Expert Rater Professional Experience</w:t>
        </w:r>
        <w:r w:rsidR="00117A2D">
          <w:rPr>
            <w:noProof/>
            <w:webHidden/>
          </w:rPr>
          <w:tab/>
        </w:r>
        <w:r w:rsidR="00117A2D">
          <w:rPr>
            <w:noProof/>
            <w:webHidden/>
          </w:rPr>
          <w:fldChar w:fldCharType="begin"/>
        </w:r>
        <w:r w:rsidR="00117A2D">
          <w:rPr>
            <w:noProof/>
            <w:webHidden/>
          </w:rPr>
          <w:instrText xml:space="preserve"> PAGEREF _Toc420570942 \h </w:instrText>
        </w:r>
        <w:r w:rsidR="00117A2D">
          <w:rPr>
            <w:noProof/>
            <w:webHidden/>
          </w:rPr>
        </w:r>
        <w:r w:rsidR="00117A2D">
          <w:rPr>
            <w:noProof/>
            <w:webHidden/>
          </w:rPr>
          <w:fldChar w:fldCharType="separate"/>
        </w:r>
        <w:r w:rsidR="00117A2D">
          <w:rPr>
            <w:noProof/>
            <w:webHidden/>
          </w:rPr>
          <w:t>111</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43" w:history="1">
        <w:r w:rsidR="00117A2D" w:rsidRPr="00034707">
          <w:rPr>
            <w:rStyle w:val="Hyperlink"/>
            <w:rFonts w:eastAsia="Calibri"/>
            <w:noProof/>
          </w:rPr>
          <w:t>Table 18. Inter-Rater Agreement (Mean Rating) for Experimental Product Set</w:t>
        </w:r>
        <w:r w:rsidR="00117A2D">
          <w:rPr>
            <w:noProof/>
            <w:webHidden/>
          </w:rPr>
          <w:tab/>
        </w:r>
        <w:r w:rsidR="00117A2D">
          <w:rPr>
            <w:noProof/>
            <w:webHidden/>
          </w:rPr>
          <w:fldChar w:fldCharType="begin"/>
        </w:r>
        <w:r w:rsidR="00117A2D">
          <w:rPr>
            <w:noProof/>
            <w:webHidden/>
          </w:rPr>
          <w:instrText xml:space="preserve"> PAGEREF _Toc420570943 \h </w:instrText>
        </w:r>
        <w:r w:rsidR="00117A2D">
          <w:rPr>
            <w:noProof/>
            <w:webHidden/>
          </w:rPr>
        </w:r>
        <w:r w:rsidR="00117A2D">
          <w:rPr>
            <w:noProof/>
            <w:webHidden/>
          </w:rPr>
          <w:fldChar w:fldCharType="separate"/>
        </w:r>
        <w:r w:rsidR="00117A2D">
          <w:rPr>
            <w:noProof/>
            <w:webHidden/>
          </w:rPr>
          <w:t>112</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44" w:history="1">
        <w:r w:rsidR="00117A2D" w:rsidRPr="00034707">
          <w:rPr>
            <w:rStyle w:val="Hyperlink"/>
            <w:rFonts w:eastAsia="Calibri"/>
            <w:noProof/>
          </w:rPr>
          <w:t>Table 19. Pretest Distance Means (SD) for Study 1 Product Concepts</w:t>
        </w:r>
        <w:r w:rsidR="00117A2D">
          <w:rPr>
            <w:noProof/>
            <w:webHidden/>
          </w:rPr>
          <w:tab/>
        </w:r>
        <w:r w:rsidR="00117A2D">
          <w:rPr>
            <w:noProof/>
            <w:webHidden/>
          </w:rPr>
          <w:fldChar w:fldCharType="begin"/>
        </w:r>
        <w:r w:rsidR="00117A2D">
          <w:rPr>
            <w:noProof/>
            <w:webHidden/>
          </w:rPr>
          <w:instrText xml:space="preserve"> PAGEREF _Toc420570944 \h </w:instrText>
        </w:r>
        <w:r w:rsidR="00117A2D">
          <w:rPr>
            <w:noProof/>
            <w:webHidden/>
          </w:rPr>
        </w:r>
        <w:r w:rsidR="00117A2D">
          <w:rPr>
            <w:noProof/>
            <w:webHidden/>
          </w:rPr>
          <w:fldChar w:fldCharType="separate"/>
        </w:r>
        <w:r w:rsidR="00117A2D">
          <w:rPr>
            <w:noProof/>
            <w:webHidden/>
          </w:rPr>
          <w:t>113</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45" w:history="1">
        <w:r w:rsidR="00117A2D" w:rsidRPr="00034707">
          <w:rPr>
            <w:rStyle w:val="Hyperlink"/>
            <w:rFonts w:eastAsia="Calibri"/>
            <w:noProof/>
          </w:rPr>
          <w:t>Table 20. Manipulation and Confound Checks for Study 1 and Study 2</w:t>
        </w:r>
        <w:r w:rsidR="00117A2D">
          <w:rPr>
            <w:noProof/>
            <w:webHidden/>
          </w:rPr>
          <w:tab/>
        </w:r>
        <w:r w:rsidR="00117A2D">
          <w:rPr>
            <w:noProof/>
            <w:webHidden/>
          </w:rPr>
          <w:fldChar w:fldCharType="begin"/>
        </w:r>
        <w:r w:rsidR="00117A2D">
          <w:rPr>
            <w:noProof/>
            <w:webHidden/>
          </w:rPr>
          <w:instrText xml:space="preserve"> PAGEREF _Toc420570945 \h </w:instrText>
        </w:r>
        <w:r w:rsidR="00117A2D">
          <w:rPr>
            <w:noProof/>
            <w:webHidden/>
          </w:rPr>
        </w:r>
        <w:r w:rsidR="00117A2D">
          <w:rPr>
            <w:noProof/>
            <w:webHidden/>
          </w:rPr>
          <w:fldChar w:fldCharType="separate"/>
        </w:r>
        <w:r w:rsidR="00117A2D">
          <w:rPr>
            <w:noProof/>
            <w:webHidden/>
          </w:rPr>
          <w:t>114</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46" w:history="1">
        <w:r w:rsidR="00117A2D" w:rsidRPr="00034707">
          <w:rPr>
            <w:rStyle w:val="Hyperlink"/>
            <w:rFonts w:eastAsia="Calibri"/>
            <w:noProof/>
          </w:rPr>
          <w:t>Table 21. ANCOVA Results for Study 1</w:t>
        </w:r>
        <w:r w:rsidR="00117A2D">
          <w:rPr>
            <w:noProof/>
            <w:webHidden/>
          </w:rPr>
          <w:tab/>
        </w:r>
        <w:r w:rsidR="00117A2D">
          <w:rPr>
            <w:noProof/>
            <w:webHidden/>
          </w:rPr>
          <w:fldChar w:fldCharType="begin"/>
        </w:r>
        <w:r w:rsidR="00117A2D">
          <w:rPr>
            <w:noProof/>
            <w:webHidden/>
          </w:rPr>
          <w:instrText xml:space="preserve"> PAGEREF _Toc420570946 \h </w:instrText>
        </w:r>
        <w:r w:rsidR="00117A2D">
          <w:rPr>
            <w:noProof/>
            <w:webHidden/>
          </w:rPr>
        </w:r>
        <w:r w:rsidR="00117A2D">
          <w:rPr>
            <w:noProof/>
            <w:webHidden/>
          </w:rPr>
          <w:fldChar w:fldCharType="separate"/>
        </w:r>
        <w:r w:rsidR="00117A2D">
          <w:rPr>
            <w:noProof/>
            <w:webHidden/>
          </w:rPr>
          <w:t>116</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47" w:history="1">
        <w:r w:rsidR="00117A2D" w:rsidRPr="00034707">
          <w:rPr>
            <w:rStyle w:val="Hyperlink"/>
            <w:rFonts w:eastAsia="Calibri"/>
            <w:noProof/>
          </w:rPr>
          <w:t>Table 22. Summary of Study 1 Hypothesis Tests</w:t>
        </w:r>
        <w:r w:rsidR="00117A2D">
          <w:rPr>
            <w:noProof/>
            <w:webHidden/>
          </w:rPr>
          <w:tab/>
        </w:r>
        <w:r w:rsidR="00117A2D">
          <w:rPr>
            <w:noProof/>
            <w:webHidden/>
          </w:rPr>
          <w:fldChar w:fldCharType="begin"/>
        </w:r>
        <w:r w:rsidR="00117A2D">
          <w:rPr>
            <w:noProof/>
            <w:webHidden/>
          </w:rPr>
          <w:instrText xml:space="preserve"> PAGEREF _Toc420570947 \h </w:instrText>
        </w:r>
        <w:r w:rsidR="00117A2D">
          <w:rPr>
            <w:noProof/>
            <w:webHidden/>
          </w:rPr>
        </w:r>
        <w:r w:rsidR="00117A2D">
          <w:rPr>
            <w:noProof/>
            <w:webHidden/>
          </w:rPr>
          <w:fldChar w:fldCharType="separate"/>
        </w:r>
        <w:r w:rsidR="00117A2D">
          <w:rPr>
            <w:noProof/>
            <w:webHidden/>
          </w:rPr>
          <w:t>121</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48" w:history="1">
        <w:r w:rsidR="00117A2D" w:rsidRPr="00034707">
          <w:rPr>
            <w:rStyle w:val="Hyperlink"/>
            <w:rFonts w:eastAsia="Calibri"/>
            <w:noProof/>
          </w:rPr>
          <w:t>Table 23. Overall Pretest Sample Hit Rates for Study 2 Product Choice Sets</w:t>
        </w:r>
        <w:r w:rsidR="00117A2D">
          <w:rPr>
            <w:noProof/>
            <w:webHidden/>
          </w:rPr>
          <w:tab/>
        </w:r>
        <w:r w:rsidR="00117A2D">
          <w:rPr>
            <w:noProof/>
            <w:webHidden/>
          </w:rPr>
          <w:fldChar w:fldCharType="begin"/>
        </w:r>
        <w:r w:rsidR="00117A2D">
          <w:rPr>
            <w:noProof/>
            <w:webHidden/>
          </w:rPr>
          <w:instrText xml:space="preserve"> PAGEREF _Toc420570948 \h </w:instrText>
        </w:r>
        <w:r w:rsidR="00117A2D">
          <w:rPr>
            <w:noProof/>
            <w:webHidden/>
          </w:rPr>
        </w:r>
        <w:r w:rsidR="00117A2D">
          <w:rPr>
            <w:noProof/>
            <w:webHidden/>
          </w:rPr>
          <w:fldChar w:fldCharType="separate"/>
        </w:r>
        <w:r w:rsidR="00117A2D">
          <w:rPr>
            <w:noProof/>
            <w:webHidden/>
          </w:rPr>
          <w:t>123</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49" w:history="1">
        <w:r w:rsidR="00117A2D" w:rsidRPr="00034707">
          <w:rPr>
            <w:rStyle w:val="Hyperlink"/>
            <w:rFonts w:eastAsia="Calibri"/>
            <w:noProof/>
          </w:rPr>
          <w:t>Table 24. Overall Sales (in Units) for Study 2 Main Experiment Product Choice Sets</w:t>
        </w:r>
        <w:r w:rsidR="00117A2D">
          <w:rPr>
            <w:noProof/>
            <w:webHidden/>
          </w:rPr>
          <w:tab/>
        </w:r>
        <w:r w:rsidR="00117A2D">
          <w:rPr>
            <w:noProof/>
            <w:webHidden/>
          </w:rPr>
          <w:fldChar w:fldCharType="begin"/>
        </w:r>
        <w:r w:rsidR="00117A2D">
          <w:rPr>
            <w:noProof/>
            <w:webHidden/>
          </w:rPr>
          <w:instrText xml:space="preserve"> PAGEREF _Toc420570949 \h </w:instrText>
        </w:r>
        <w:r w:rsidR="00117A2D">
          <w:rPr>
            <w:noProof/>
            <w:webHidden/>
          </w:rPr>
        </w:r>
        <w:r w:rsidR="00117A2D">
          <w:rPr>
            <w:noProof/>
            <w:webHidden/>
          </w:rPr>
          <w:fldChar w:fldCharType="separate"/>
        </w:r>
        <w:r w:rsidR="00117A2D">
          <w:rPr>
            <w:noProof/>
            <w:webHidden/>
          </w:rPr>
          <w:t>124</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50" w:history="1">
        <w:r w:rsidR="00117A2D" w:rsidRPr="00034707">
          <w:rPr>
            <w:rStyle w:val="Hyperlink"/>
            <w:rFonts w:eastAsia="Calibri"/>
            <w:noProof/>
          </w:rPr>
          <w:t>Table 25. Hit Rates for Study 2 Experiment Product Choice Sets</w:t>
        </w:r>
        <w:r w:rsidR="00117A2D">
          <w:rPr>
            <w:noProof/>
            <w:webHidden/>
          </w:rPr>
          <w:tab/>
        </w:r>
        <w:r w:rsidR="00117A2D">
          <w:rPr>
            <w:noProof/>
            <w:webHidden/>
          </w:rPr>
          <w:fldChar w:fldCharType="begin"/>
        </w:r>
        <w:r w:rsidR="00117A2D">
          <w:rPr>
            <w:noProof/>
            <w:webHidden/>
          </w:rPr>
          <w:instrText xml:space="preserve"> PAGEREF _Toc420570950 \h </w:instrText>
        </w:r>
        <w:r w:rsidR="00117A2D">
          <w:rPr>
            <w:noProof/>
            <w:webHidden/>
          </w:rPr>
        </w:r>
        <w:r w:rsidR="00117A2D">
          <w:rPr>
            <w:noProof/>
            <w:webHidden/>
          </w:rPr>
          <w:fldChar w:fldCharType="separate"/>
        </w:r>
        <w:r w:rsidR="00117A2D">
          <w:rPr>
            <w:noProof/>
            <w:webHidden/>
          </w:rPr>
          <w:t>125</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51" w:history="1">
        <w:r w:rsidR="00117A2D" w:rsidRPr="00034707">
          <w:rPr>
            <w:rStyle w:val="Hyperlink"/>
            <w:rFonts w:eastAsia="Calibri"/>
            <w:noProof/>
          </w:rPr>
          <w:t>Table 26. ANCOVA Results for Study 2</w:t>
        </w:r>
        <w:r w:rsidR="00117A2D">
          <w:rPr>
            <w:noProof/>
            <w:webHidden/>
          </w:rPr>
          <w:tab/>
        </w:r>
        <w:r w:rsidR="00117A2D">
          <w:rPr>
            <w:noProof/>
            <w:webHidden/>
          </w:rPr>
          <w:fldChar w:fldCharType="begin"/>
        </w:r>
        <w:r w:rsidR="00117A2D">
          <w:rPr>
            <w:noProof/>
            <w:webHidden/>
          </w:rPr>
          <w:instrText xml:space="preserve"> PAGEREF _Toc420570951 \h </w:instrText>
        </w:r>
        <w:r w:rsidR="00117A2D">
          <w:rPr>
            <w:noProof/>
            <w:webHidden/>
          </w:rPr>
        </w:r>
        <w:r w:rsidR="00117A2D">
          <w:rPr>
            <w:noProof/>
            <w:webHidden/>
          </w:rPr>
          <w:fldChar w:fldCharType="separate"/>
        </w:r>
        <w:r w:rsidR="00117A2D">
          <w:rPr>
            <w:noProof/>
            <w:webHidden/>
          </w:rPr>
          <w:t>126</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52" w:history="1">
        <w:r w:rsidR="00117A2D" w:rsidRPr="00034707">
          <w:rPr>
            <w:rStyle w:val="Hyperlink"/>
            <w:rFonts w:eastAsia="Calibri"/>
            <w:noProof/>
          </w:rPr>
          <w:t>Table 27. Summary of Study 2 Hypothesis Tests</w:t>
        </w:r>
        <w:r w:rsidR="00117A2D">
          <w:rPr>
            <w:noProof/>
            <w:webHidden/>
          </w:rPr>
          <w:tab/>
        </w:r>
        <w:r w:rsidR="00117A2D">
          <w:rPr>
            <w:noProof/>
            <w:webHidden/>
          </w:rPr>
          <w:fldChar w:fldCharType="begin"/>
        </w:r>
        <w:r w:rsidR="00117A2D">
          <w:rPr>
            <w:noProof/>
            <w:webHidden/>
          </w:rPr>
          <w:instrText xml:space="preserve"> PAGEREF _Toc420570952 \h </w:instrText>
        </w:r>
        <w:r w:rsidR="00117A2D">
          <w:rPr>
            <w:noProof/>
            <w:webHidden/>
          </w:rPr>
        </w:r>
        <w:r w:rsidR="00117A2D">
          <w:rPr>
            <w:noProof/>
            <w:webHidden/>
          </w:rPr>
          <w:fldChar w:fldCharType="separate"/>
        </w:r>
        <w:r w:rsidR="00117A2D">
          <w:rPr>
            <w:noProof/>
            <w:webHidden/>
          </w:rPr>
          <w:t>129</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53" w:history="1">
        <w:r w:rsidR="00117A2D" w:rsidRPr="00034707">
          <w:rPr>
            <w:rStyle w:val="Hyperlink"/>
            <w:rFonts w:eastAsia="Calibri"/>
            <w:noProof/>
          </w:rPr>
          <w:t>Table 28. Study 3 Reflexivity Coding Categories and Examples</w:t>
        </w:r>
        <w:r w:rsidR="00117A2D">
          <w:rPr>
            <w:noProof/>
            <w:webHidden/>
          </w:rPr>
          <w:tab/>
        </w:r>
        <w:r w:rsidR="00117A2D">
          <w:rPr>
            <w:noProof/>
            <w:webHidden/>
          </w:rPr>
          <w:fldChar w:fldCharType="begin"/>
        </w:r>
        <w:r w:rsidR="00117A2D">
          <w:rPr>
            <w:noProof/>
            <w:webHidden/>
          </w:rPr>
          <w:instrText xml:space="preserve"> PAGEREF _Toc420570953 \h </w:instrText>
        </w:r>
        <w:r w:rsidR="00117A2D">
          <w:rPr>
            <w:noProof/>
            <w:webHidden/>
          </w:rPr>
        </w:r>
        <w:r w:rsidR="00117A2D">
          <w:rPr>
            <w:noProof/>
            <w:webHidden/>
          </w:rPr>
          <w:fldChar w:fldCharType="separate"/>
        </w:r>
        <w:r w:rsidR="00117A2D">
          <w:rPr>
            <w:noProof/>
            <w:webHidden/>
          </w:rPr>
          <w:t>132</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54" w:history="1">
        <w:r w:rsidR="00117A2D" w:rsidRPr="00034707">
          <w:rPr>
            <w:rStyle w:val="Hyperlink"/>
            <w:rFonts w:eastAsia="Calibri"/>
            <w:noProof/>
          </w:rPr>
          <w:t>Table 29. Regulatory Focus Coding</w:t>
        </w:r>
        <w:r w:rsidR="00117A2D">
          <w:rPr>
            <w:noProof/>
            <w:webHidden/>
          </w:rPr>
          <w:tab/>
        </w:r>
        <w:r w:rsidR="00117A2D">
          <w:rPr>
            <w:noProof/>
            <w:webHidden/>
          </w:rPr>
          <w:fldChar w:fldCharType="begin"/>
        </w:r>
        <w:r w:rsidR="00117A2D">
          <w:rPr>
            <w:noProof/>
            <w:webHidden/>
          </w:rPr>
          <w:instrText xml:space="preserve"> PAGEREF _Toc420570954 \h </w:instrText>
        </w:r>
        <w:r w:rsidR="00117A2D">
          <w:rPr>
            <w:noProof/>
            <w:webHidden/>
          </w:rPr>
        </w:r>
        <w:r w:rsidR="00117A2D">
          <w:rPr>
            <w:noProof/>
            <w:webHidden/>
          </w:rPr>
          <w:fldChar w:fldCharType="separate"/>
        </w:r>
        <w:r w:rsidR="00117A2D">
          <w:rPr>
            <w:noProof/>
            <w:webHidden/>
          </w:rPr>
          <w:t>138</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55" w:history="1">
        <w:r w:rsidR="00117A2D" w:rsidRPr="00034707">
          <w:rPr>
            <w:rStyle w:val="Hyperlink"/>
            <w:rFonts w:eastAsia="Calibri"/>
            <w:noProof/>
          </w:rPr>
          <w:t>Table 30. Categories and Responses for Willingness to Purchase Variable</w:t>
        </w:r>
        <w:r w:rsidR="00117A2D">
          <w:rPr>
            <w:noProof/>
            <w:webHidden/>
          </w:rPr>
          <w:tab/>
        </w:r>
        <w:r w:rsidR="00117A2D">
          <w:rPr>
            <w:noProof/>
            <w:webHidden/>
          </w:rPr>
          <w:fldChar w:fldCharType="begin"/>
        </w:r>
        <w:r w:rsidR="00117A2D">
          <w:rPr>
            <w:noProof/>
            <w:webHidden/>
          </w:rPr>
          <w:instrText xml:space="preserve"> PAGEREF _Toc420570955 \h </w:instrText>
        </w:r>
        <w:r w:rsidR="00117A2D">
          <w:rPr>
            <w:noProof/>
            <w:webHidden/>
          </w:rPr>
        </w:r>
        <w:r w:rsidR="00117A2D">
          <w:rPr>
            <w:noProof/>
            <w:webHidden/>
          </w:rPr>
          <w:fldChar w:fldCharType="separate"/>
        </w:r>
        <w:r w:rsidR="00117A2D">
          <w:rPr>
            <w:noProof/>
            <w:webHidden/>
          </w:rPr>
          <w:t>142</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56" w:history="1">
        <w:r w:rsidR="00117A2D" w:rsidRPr="00034707">
          <w:rPr>
            <w:rStyle w:val="Hyperlink"/>
            <w:rFonts w:eastAsia="Calibri"/>
            <w:noProof/>
          </w:rPr>
          <w:t>Table 31. Correlation of Continuous Variables in Study 3</w:t>
        </w:r>
        <w:r w:rsidR="00117A2D">
          <w:rPr>
            <w:noProof/>
            <w:webHidden/>
          </w:rPr>
          <w:tab/>
        </w:r>
        <w:r w:rsidR="00117A2D">
          <w:rPr>
            <w:noProof/>
            <w:webHidden/>
          </w:rPr>
          <w:fldChar w:fldCharType="begin"/>
        </w:r>
        <w:r w:rsidR="00117A2D">
          <w:rPr>
            <w:noProof/>
            <w:webHidden/>
          </w:rPr>
          <w:instrText xml:space="preserve"> PAGEREF _Toc420570956 \h </w:instrText>
        </w:r>
        <w:r w:rsidR="00117A2D">
          <w:rPr>
            <w:noProof/>
            <w:webHidden/>
          </w:rPr>
        </w:r>
        <w:r w:rsidR="00117A2D">
          <w:rPr>
            <w:noProof/>
            <w:webHidden/>
          </w:rPr>
          <w:fldChar w:fldCharType="separate"/>
        </w:r>
        <w:r w:rsidR="00117A2D">
          <w:rPr>
            <w:noProof/>
            <w:webHidden/>
          </w:rPr>
          <w:t>145</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57" w:history="1">
        <w:r w:rsidR="00117A2D" w:rsidRPr="00034707">
          <w:rPr>
            <w:rStyle w:val="Hyperlink"/>
            <w:rFonts w:eastAsia="Calibri"/>
            <w:noProof/>
          </w:rPr>
          <w:t>Table 32. Description of Study 3 Categorical Variables</w:t>
        </w:r>
        <w:r w:rsidR="00117A2D">
          <w:rPr>
            <w:noProof/>
            <w:webHidden/>
          </w:rPr>
          <w:tab/>
        </w:r>
        <w:r w:rsidR="00117A2D">
          <w:rPr>
            <w:noProof/>
            <w:webHidden/>
          </w:rPr>
          <w:fldChar w:fldCharType="begin"/>
        </w:r>
        <w:r w:rsidR="00117A2D">
          <w:rPr>
            <w:noProof/>
            <w:webHidden/>
          </w:rPr>
          <w:instrText xml:space="preserve"> PAGEREF _Toc420570957 \h </w:instrText>
        </w:r>
        <w:r w:rsidR="00117A2D">
          <w:rPr>
            <w:noProof/>
            <w:webHidden/>
          </w:rPr>
        </w:r>
        <w:r w:rsidR="00117A2D">
          <w:rPr>
            <w:noProof/>
            <w:webHidden/>
          </w:rPr>
          <w:fldChar w:fldCharType="separate"/>
        </w:r>
        <w:r w:rsidR="00117A2D">
          <w:rPr>
            <w:noProof/>
            <w:webHidden/>
          </w:rPr>
          <w:t>145</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58" w:history="1">
        <w:r w:rsidR="00117A2D" w:rsidRPr="00034707">
          <w:rPr>
            <w:rStyle w:val="Hyperlink"/>
            <w:rFonts w:eastAsia="Calibri"/>
            <w:noProof/>
          </w:rPr>
          <w:t>Table 33. Logistic Regression Model for H4a, H5a, and H6a - Positive Hits</w:t>
        </w:r>
        <w:r w:rsidR="00117A2D">
          <w:rPr>
            <w:noProof/>
            <w:webHidden/>
          </w:rPr>
          <w:tab/>
        </w:r>
        <w:r w:rsidR="00117A2D">
          <w:rPr>
            <w:noProof/>
            <w:webHidden/>
          </w:rPr>
          <w:fldChar w:fldCharType="begin"/>
        </w:r>
        <w:r w:rsidR="00117A2D">
          <w:rPr>
            <w:noProof/>
            <w:webHidden/>
          </w:rPr>
          <w:instrText xml:space="preserve"> PAGEREF _Toc420570958 \h </w:instrText>
        </w:r>
        <w:r w:rsidR="00117A2D">
          <w:rPr>
            <w:noProof/>
            <w:webHidden/>
          </w:rPr>
        </w:r>
        <w:r w:rsidR="00117A2D">
          <w:rPr>
            <w:noProof/>
            <w:webHidden/>
          </w:rPr>
          <w:fldChar w:fldCharType="separate"/>
        </w:r>
        <w:r w:rsidR="00117A2D">
          <w:rPr>
            <w:noProof/>
            <w:webHidden/>
          </w:rPr>
          <w:t>147</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59" w:history="1">
        <w:r w:rsidR="00117A2D" w:rsidRPr="00034707">
          <w:rPr>
            <w:rStyle w:val="Hyperlink"/>
            <w:rFonts w:eastAsia="Calibri"/>
            <w:noProof/>
          </w:rPr>
          <w:t>Table 34. Logistic Regression Model for H4a, H5a, and H6a - Negative Hits</w:t>
        </w:r>
        <w:r w:rsidR="00117A2D">
          <w:rPr>
            <w:noProof/>
            <w:webHidden/>
          </w:rPr>
          <w:tab/>
        </w:r>
        <w:r w:rsidR="00117A2D">
          <w:rPr>
            <w:noProof/>
            <w:webHidden/>
          </w:rPr>
          <w:fldChar w:fldCharType="begin"/>
        </w:r>
        <w:r w:rsidR="00117A2D">
          <w:rPr>
            <w:noProof/>
            <w:webHidden/>
          </w:rPr>
          <w:instrText xml:space="preserve"> PAGEREF _Toc420570959 \h </w:instrText>
        </w:r>
        <w:r w:rsidR="00117A2D">
          <w:rPr>
            <w:noProof/>
            <w:webHidden/>
          </w:rPr>
        </w:r>
        <w:r w:rsidR="00117A2D">
          <w:rPr>
            <w:noProof/>
            <w:webHidden/>
          </w:rPr>
          <w:fldChar w:fldCharType="separate"/>
        </w:r>
        <w:r w:rsidR="00117A2D">
          <w:rPr>
            <w:noProof/>
            <w:webHidden/>
          </w:rPr>
          <w:t>150</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60" w:history="1">
        <w:r w:rsidR="00117A2D" w:rsidRPr="00034707">
          <w:rPr>
            <w:rStyle w:val="Hyperlink"/>
            <w:rFonts w:eastAsia="Calibri"/>
            <w:noProof/>
          </w:rPr>
          <w:t>Table 35. Logistic Regression Model for H7a and H8a – Positive Hits</w:t>
        </w:r>
        <w:r w:rsidR="00117A2D">
          <w:rPr>
            <w:noProof/>
            <w:webHidden/>
          </w:rPr>
          <w:tab/>
        </w:r>
        <w:r w:rsidR="00117A2D">
          <w:rPr>
            <w:noProof/>
            <w:webHidden/>
          </w:rPr>
          <w:fldChar w:fldCharType="begin"/>
        </w:r>
        <w:r w:rsidR="00117A2D">
          <w:rPr>
            <w:noProof/>
            <w:webHidden/>
          </w:rPr>
          <w:instrText xml:space="preserve"> PAGEREF _Toc420570960 \h </w:instrText>
        </w:r>
        <w:r w:rsidR="00117A2D">
          <w:rPr>
            <w:noProof/>
            <w:webHidden/>
          </w:rPr>
        </w:r>
        <w:r w:rsidR="00117A2D">
          <w:rPr>
            <w:noProof/>
            <w:webHidden/>
          </w:rPr>
          <w:fldChar w:fldCharType="separate"/>
        </w:r>
        <w:r w:rsidR="00117A2D">
          <w:rPr>
            <w:noProof/>
            <w:webHidden/>
          </w:rPr>
          <w:t>151</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61" w:history="1">
        <w:r w:rsidR="00117A2D" w:rsidRPr="00034707">
          <w:rPr>
            <w:rStyle w:val="Hyperlink"/>
            <w:rFonts w:eastAsia="Calibri"/>
            <w:noProof/>
          </w:rPr>
          <w:t>Table 36. Logistic Regression Model for H7a and H8a – Negative Hits</w:t>
        </w:r>
        <w:r w:rsidR="00117A2D">
          <w:rPr>
            <w:noProof/>
            <w:webHidden/>
          </w:rPr>
          <w:tab/>
        </w:r>
        <w:r w:rsidR="00117A2D">
          <w:rPr>
            <w:noProof/>
            <w:webHidden/>
          </w:rPr>
          <w:fldChar w:fldCharType="begin"/>
        </w:r>
        <w:r w:rsidR="00117A2D">
          <w:rPr>
            <w:noProof/>
            <w:webHidden/>
          </w:rPr>
          <w:instrText xml:space="preserve"> PAGEREF _Toc420570961 \h </w:instrText>
        </w:r>
        <w:r w:rsidR="00117A2D">
          <w:rPr>
            <w:noProof/>
            <w:webHidden/>
          </w:rPr>
        </w:r>
        <w:r w:rsidR="00117A2D">
          <w:rPr>
            <w:noProof/>
            <w:webHidden/>
          </w:rPr>
          <w:fldChar w:fldCharType="separate"/>
        </w:r>
        <w:r w:rsidR="00117A2D">
          <w:rPr>
            <w:noProof/>
            <w:webHidden/>
          </w:rPr>
          <w:t>153</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62" w:history="1">
        <w:r w:rsidR="00117A2D" w:rsidRPr="00034707">
          <w:rPr>
            <w:rStyle w:val="Hyperlink"/>
            <w:rFonts w:eastAsia="Calibri"/>
            <w:noProof/>
          </w:rPr>
          <w:t>Table 37. Summary of Study 3 Hypothesis Tests</w:t>
        </w:r>
        <w:r w:rsidR="00117A2D">
          <w:rPr>
            <w:noProof/>
            <w:webHidden/>
          </w:rPr>
          <w:tab/>
        </w:r>
        <w:r w:rsidR="00117A2D">
          <w:rPr>
            <w:noProof/>
            <w:webHidden/>
          </w:rPr>
          <w:fldChar w:fldCharType="begin"/>
        </w:r>
        <w:r w:rsidR="00117A2D">
          <w:rPr>
            <w:noProof/>
            <w:webHidden/>
          </w:rPr>
          <w:instrText xml:space="preserve"> PAGEREF _Toc420570962 \h </w:instrText>
        </w:r>
        <w:r w:rsidR="00117A2D">
          <w:rPr>
            <w:noProof/>
            <w:webHidden/>
          </w:rPr>
        </w:r>
        <w:r w:rsidR="00117A2D">
          <w:rPr>
            <w:noProof/>
            <w:webHidden/>
          </w:rPr>
          <w:fldChar w:fldCharType="separate"/>
        </w:r>
        <w:r w:rsidR="00117A2D">
          <w:rPr>
            <w:noProof/>
            <w:webHidden/>
          </w:rPr>
          <w:t>154</w:t>
        </w:r>
        <w:r w:rsidR="00117A2D">
          <w:rPr>
            <w:noProof/>
            <w:webHidden/>
          </w:rPr>
          <w:fldChar w:fldCharType="end"/>
        </w:r>
      </w:hyperlink>
    </w:p>
    <w:p w:rsidR="00117A2D" w:rsidRDefault="007E2E0A">
      <w:pPr>
        <w:pStyle w:val="TableofFigures"/>
        <w:tabs>
          <w:tab w:val="right" w:leader="dot" w:pos="9350"/>
        </w:tabs>
        <w:rPr>
          <w:rFonts w:asciiTheme="minorHAnsi" w:eastAsiaTheme="minorEastAsia" w:hAnsiTheme="minorHAnsi" w:cstheme="minorBidi"/>
          <w:noProof/>
          <w:sz w:val="22"/>
          <w:szCs w:val="22"/>
        </w:rPr>
      </w:pPr>
      <w:hyperlink w:anchor="_Toc420570963" w:history="1">
        <w:r w:rsidR="00117A2D" w:rsidRPr="00034707">
          <w:rPr>
            <w:rStyle w:val="Hyperlink"/>
            <w:rFonts w:eastAsia="Calibri"/>
            <w:noProof/>
          </w:rPr>
          <w:t>Table 38. Summary of Hypothesis Tests Across Studies 1, 2, and 3</w:t>
        </w:r>
        <w:r w:rsidR="00117A2D">
          <w:rPr>
            <w:noProof/>
            <w:webHidden/>
          </w:rPr>
          <w:tab/>
        </w:r>
        <w:r w:rsidR="00117A2D">
          <w:rPr>
            <w:noProof/>
            <w:webHidden/>
          </w:rPr>
          <w:fldChar w:fldCharType="begin"/>
        </w:r>
        <w:r w:rsidR="00117A2D">
          <w:rPr>
            <w:noProof/>
            <w:webHidden/>
          </w:rPr>
          <w:instrText xml:space="preserve"> PAGEREF _Toc420570963 \h </w:instrText>
        </w:r>
        <w:r w:rsidR="00117A2D">
          <w:rPr>
            <w:noProof/>
            <w:webHidden/>
          </w:rPr>
        </w:r>
        <w:r w:rsidR="00117A2D">
          <w:rPr>
            <w:noProof/>
            <w:webHidden/>
          </w:rPr>
          <w:fldChar w:fldCharType="separate"/>
        </w:r>
        <w:r w:rsidR="00117A2D">
          <w:rPr>
            <w:noProof/>
            <w:webHidden/>
          </w:rPr>
          <w:t>156</w:t>
        </w:r>
        <w:r w:rsidR="00117A2D">
          <w:rPr>
            <w:noProof/>
            <w:webHidden/>
          </w:rPr>
          <w:fldChar w:fldCharType="end"/>
        </w:r>
      </w:hyperlink>
    </w:p>
    <w:p w:rsidR="00070FC5" w:rsidRPr="00CC73F3" w:rsidRDefault="00070FC5" w:rsidP="00D639F5">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ind w:left="8280" w:hanging="8280"/>
      </w:pPr>
      <w:r w:rsidRPr="00CC73F3">
        <w:fldChar w:fldCharType="end"/>
      </w:r>
    </w:p>
    <w:p w:rsidR="00070FC5" w:rsidRPr="00CC73F3" w:rsidRDefault="00070FC5" w:rsidP="00D639F5">
      <w:pPr>
        <w:spacing w:line="2" w:lineRule="exact"/>
      </w:pPr>
    </w:p>
    <w:p w:rsidR="00070FC5" w:rsidRPr="00CC73F3" w:rsidRDefault="00070FC5" w:rsidP="00D639F5">
      <w:pPr>
        <w:spacing w:line="2" w:lineRule="exact"/>
      </w:pPr>
    </w:p>
    <w:p w:rsidR="00070FC5" w:rsidRPr="00CC73F3" w:rsidRDefault="00070FC5">
      <w:pPr>
        <w:spacing w:after="200" w:line="276" w:lineRule="auto"/>
        <w:rPr>
          <w:b/>
          <w:bCs/>
        </w:rPr>
      </w:pPr>
      <w:r w:rsidRPr="00CC73F3">
        <w:rPr>
          <w:b/>
          <w:bCs/>
        </w:rPr>
        <w:br w:type="page"/>
      </w:r>
    </w:p>
    <w:p w:rsidR="00070FC5" w:rsidRPr="00CC73F3" w:rsidRDefault="00070FC5" w:rsidP="00D639F5">
      <w:pPr>
        <w:numPr>
          <w:ilvl w:val="12"/>
          <w:numId w:val="0"/>
        </w:numPr>
        <w:jc w:val="center"/>
        <w:rPr>
          <w:b/>
        </w:rPr>
      </w:pPr>
      <w:r w:rsidRPr="00CC73F3">
        <w:rPr>
          <w:b/>
          <w:bCs/>
        </w:rPr>
        <w:t>List of Figures</w:t>
      </w:r>
    </w:p>
    <w:p w:rsidR="00070FC5" w:rsidRPr="00CC73F3" w:rsidRDefault="00070FC5" w:rsidP="00D639F5">
      <w:pPr>
        <w:numPr>
          <w:ilvl w:val="12"/>
          <w:numId w:val="0"/>
        </w:numPr>
      </w:pPr>
    </w:p>
    <w:p w:rsidR="00070FC5" w:rsidRPr="00CC73F3" w:rsidRDefault="00070FC5">
      <w:pPr>
        <w:pStyle w:val="TableofFigures"/>
        <w:tabs>
          <w:tab w:val="right" w:leader="dot" w:pos="8630"/>
        </w:tabs>
        <w:rPr>
          <w:rFonts w:ascii="Calibri" w:hAnsi="Calibri"/>
          <w:noProof/>
          <w:sz w:val="22"/>
          <w:szCs w:val="22"/>
        </w:rPr>
      </w:pPr>
      <w:r w:rsidRPr="00CC73F3">
        <w:fldChar w:fldCharType="begin"/>
      </w:r>
      <w:r w:rsidRPr="00CC73F3">
        <w:instrText xml:space="preserve"> TOC \h \z \c "Figure" </w:instrText>
      </w:r>
      <w:r w:rsidRPr="00CC73F3">
        <w:fldChar w:fldCharType="separate"/>
      </w:r>
      <w:hyperlink w:anchor="_Toc420524231" w:history="1">
        <w:r w:rsidRPr="00CC73F3">
          <w:rPr>
            <w:rStyle w:val="Hyperlink"/>
            <w:noProof/>
          </w:rPr>
          <w:t>Figure 1 Conceptual Model</w:t>
        </w:r>
        <w:r w:rsidRPr="00CC73F3">
          <w:rPr>
            <w:noProof/>
            <w:webHidden/>
          </w:rPr>
          <w:tab/>
        </w:r>
        <w:r w:rsidRPr="00CC73F3">
          <w:rPr>
            <w:noProof/>
            <w:webHidden/>
          </w:rPr>
          <w:fldChar w:fldCharType="begin"/>
        </w:r>
        <w:r w:rsidRPr="00CC73F3">
          <w:rPr>
            <w:noProof/>
            <w:webHidden/>
          </w:rPr>
          <w:instrText xml:space="preserve"> PAGEREF _Toc420524231 \h </w:instrText>
        </w:r>
        <w:r w:rsidRPr="00CC73F3">
          <w:rPr>
            <w:noProof/>
            <w:webHidden/>
          </w:rPr>
        </w:r>
        <w:r w:rsidRPr="00CC73F3">
          <w:rPr>
            <w:noProof/>
            <w:webHidden/>
          </w:rPr>
          <w:fldChar w:fldCharType="separate"/>
        </w:r>
        <w:r w:rsidRPr="00CC73F3">
          <w:rPr>
            <w:noProof/>
            <w:webHidden/>
          </w:rPr>
          <w:t>15</w:t>
        </w:r>
        <w:r w:rsidRPr="00CC73F3">
          <w:rPr>
            <w:noProof/>
            <w:webHidden/>
          </w:rPr>
          <w:fldChar w:fldCharType="end"/>
        </w:r>
      </w:hyperlink>
    </w:p>
    <w:p w:rsidR="00070FC5" w:rsidRPr="00CC73F3" w:rsidRDefault="007E2E0A">
      <w:pPr>
        <w:pStyle w:val="TableofFigures"/>
        <w:tabs>
          <w:tab w:val="right" w:leader="dot" w:pos="8630"/>
        </w:tabs>
        <w:rPr>
          <w:rFonts w:ascii="Calibri" w:hAnsi="Calibri"/>
          <w:noProof/>
          <w:sz w:val="22"/>
          <w:szCs w:val="22"/>
        </w:rPr>
      </w:pPr>
      <w:hyperlink w:anchor="_Toc420524232" w:history="1">
        <w:r w:rsidR="00070FC5" w:rsidRPr="00CC73F3">
          <w:rPr>
            <w:rStyle w:val="Hyperlink"/>
            <w:noProof/>
          </w:rPr>
          <w:t>Figure 2.</w:t>
        </w:r>
        <w:r w:rsidR="00070FC5" w:rsidRPr="00CC73F3">
          <w:rPr>
            <w:rStyle w:val="Hyperlink"/>
            <w:rFonts w:eastAsia="Calibri"/>
            <w:noProof/>
          </w:rPr>
          <w:t xml:space="preserve"> Decision Outcomes in Cocreated New Product Development Evaluations</w:t>
        </w:r>
        <w:r w:rsidR="00070FC5" w:rsidRPr="00CC73F3">
          <w:rPr>
            <w:noProof/>
            <w:webHidden/>
          </w:rPr>
          <w:tab/>
        </w:r>
        <w:r w:rsidR="00070FC5" w:rsidRPr="00CC73F3">
          <w:rPr>
            <w:noProof/>
            <w:webHidden/>
          </w:rPr>
          <w:fldChar w:fldCharType="begin"/>
        </w:r>
        <w:r w:rsidR="00070FC5" w:rsidRPr="00CC73F3">
          <w:rPr>
            <w:noProof/>
            <w:webHidden/>
          </w:rPr>
          <w:instrText xml:space="preserve"> PAGEREF _Toc420524232 \h </w:instrText>
        </w:r>
        <w:r w:rsidR="00070FC5" w:rsidRPr="00CC73F3">
          <w:rPr>
            <w:noProof/>
            <w:webHidden/>
          </w:rPr>
        </w:r>
        <w:r w:rsidR="00070FC5" w:rsidRPr="00CC73F3">
          <w:rPr>
            <w:noProof/>
            <w:webHidden/>
          </w:rPr>
          <w:fldChar w:fldCharType="separate"/>
        </w:r>
        <w:r w:rsidR="00070FC5" w:rsidRPr="00CC73F3">
          <w:rPr>
            <w:noProof/>
            <w:webHidden/>
          </w:rPr>
          <w:t>65</w:t>
        </w:r>
        <w:r w:rsidR="00070FC5" w:rsidRPr="00CC73F3">
          <w:rPr>
            <w:noProof/>
            <w:webHidden/>
          </w:rPr>
          <w:fldChar w:fldCharType="end"/>
        </w:r>
      </w:hyperlink>
    </w:p>
    <w:p w:rsidR="00070FC5" w:rsidRPr="00CC73F3" w:rsidRDefault="007E2E0A">
      <w:pPr>
        <w:pStyle w:val="TableofFigures"/>
        <w:tabs>
          <w:tab w:val="right" w:leader="dot" w:pos="8630"/>
        </w:tabs>
        <w:rPr>
          <w:rFonts w:ascii="Calibri" w:hAnsi="Calibri"/>
          <w:noProof/>
          <w:sz w:val="22"/>
          <w:szCs w:val="22"/>
        </w:rPr>
      </w:pPr>
      <w:hyperlink w:anchor="_Toc420524233" w:history="1">
        <w:r w:rsidR="00070FC5" w:rsidRPr="00CC73F3">
          <w:rPr>
            <w:rStyle w:val="Hyperlink"/>
            <w:noProof/>
          </w:rPr>
          <w:t>Figure 3. Conceptual Model</w:t>
        </w:r>
        <w:r w:rsidR="00070FC5" w:rsidRPr="00CC73F3">
          <w:rPr>
            <w:noProof/>
            <w:webHidden/>
          </w:rPr>
          <w:tab/>
        </w:r>
        <w:r w:rsidR="00070FC5" w:rsidRPr="00CC73F3">
          <w:rPr>
            <w:noProof/>
            <w:webHidden/>
          </w:rPr>
          <w:fldChar w:fldCharType="begin"/>
        </w:r>
        <w:r w:rsidR="00070FC5" w:rsidRPr="00CC73F3">
          <w:rPr>
            <w:noProof/>
            <w:webHidden/>
          </w:rPr>
          <w:instrText xml:space="preserve"> PAGEREF _Toc420524233 \h </w:instrText>
        </w:r>
        <w:r w:rsidR="00070FC5" w:rsidRPr="00CC73F3">
          <w:rPr>
            <w:noProof/>
            <w:webHidden/>
          </w:rPr>
        </w:r>
        <w:r w:rsidR="00070FC5" w:rsidRPr="00CC73F3">
          <w:rPr>
            <w:noProof/>
            <w:webHidden/>
          </w:rPr>
          <w:fldChar w:fldCharType="separate"/>
        </w:r>
        <w:r w:rsidR="00070FC5" w:rsidRPr="00CC73F3">
          <w:rPr>
            <w:noProof/>
            <w:webHidden/>
          </w:rPr>
          <w:t>79</w:t>
        </w:r>
        <w:r w:rsidR="00070FC5" w:rsidRPr="00CC73F3">
          <w:rPr>
            <w:noProof/>
            <w:webHidden/>
          </w:rPr>
          <w:fldChar w:fldCharType="end"/>
        </w:r>
      </w:hyperlink>
    </w:p>
    <w:p w:rsidR="00070FC5" w:rsidRPr="00CC73F3" w:rsidRDefault="007E2E0A">
      <w:pPr>
        <w:pStyle w:val="TableofFigures"/>
        <w:tabs>
          <w:tab w:val="right" w:leader="dot" w:pos="8630"/>
        </w:tabs>
        <w:rPr>
          <w:rFonts w:ascii="Calibri" w:hAnsi="Calibri"/>
          <w:noProof/>
          <w:sz w:val="22"/>
          <w:szCs w:val="22"/>
        </w:rPr>
      </w:pPr>
      <w:hyperlink w:anchor="_Toc420524234" w:history="1">
        <w:r w:rsidR="00070FC5" w:rsidRPr="00CC73F3">
          <w:rPr>
            <w:rStyle w:val="Hyperlink"/>
            <w:noProof/>
          </w:rPr>
          <w:t>Figure 4</w:t>
        </w:r>
        <w:r w:rsidR="00070FC5" w:rsidRPr="00CC73F3">
          <w:rPr>
            <w:rStyle w:val="Hyperlink"/>
            <w:rFonts w:eastAsia="Calibri"/>
            <w:noProof/>
          </w:rPr>
          <w:t>. Distance from Expert Ratings of Meaningfulness</w:t>
        </w:r>
        <w:r w:rsidR="00070FC5" w:rsidRPr="00CC73F3">
          <w:rPr>
            <w:noProof/>
            <w:webHidden/>
          </w:rPr>
          <w:tab/>
        </w:r>
        <w:r w:rsidR="00070FC5" w:rsidRPr="00CC73F3">
          <w:rPr>
            <w:noProof/>
            <w:webHidden/>
          </w:rPr>
          <w:fldChar w:fldCharType="begin"/>
        </w:r>
        <w:r w:rsidR="00070FC5" w:rsidRPr="00CC73F3">
          <w:rPr>
            <w:noProof/>
            <w:webHidden/>
          </w:rPr>
          <w:instrText xml:space="preserve"> PAGEREF _Toc420524234 \h </w:instrText>
        </w:r>
        <w:r w:rsidR="00070FC5" w:rsidRPr="00CC73F3">
          <w:rPr>
            <w:noProof/>
            <w:webHidden/>
          </w:rPr>
        </w:r>
        <w:r w:rsidR="00070FC5" w:rsidRPr="00CC73F3">
          <w:rPr>
            <w:noProof/>
            <w:webHidden/>
          </w:rPr>
          <w:fldChar w:fldCharType="separate"/>
        </w:r>
        <w:r w:rsidR="00070FC5" w:rsidRPr="00CC73F3">
          <w:rPr>
            <w:noProof/>
            <w:webHidden/>
          </w:rPr>
          <w:t>118</w:t>
        </w:r>
        <w:r w:rsidR="00070FC5" w:rsidRPr="00CC73F3">
          <w:rPr>
            <w:noProof/>
            <w:webHidden/>
          </w:rPr>
          <w:fldChar w:fldCharType="end"/>
        </w:r>
      </w:hyperlink>
    </w:p>
    <w:p w:rsidR="00070FC5" w:rsidRPr="00CC73F3" w:rsidRDefault="007E2E0A">
      <w:pPr>
        <w:pStyle w:val="TableofFigures"/>
        <w:tabs>
          <w:tab w:val="right" w:leader="dot" w:pos="8630"/>
        </w:tabs>
        <w:rPr>
          <w:rFonts w:ascii="Calibri" w:hAnsi="Calibri"/>
          <w:noProof/>
          <w:sz w:val="22"/>
          <w:szCs w:val="22"/>
        </w:rPr>
      </w:pPr>
      <w:hyperlink w:anchor="_Toc420524235" w:history="1">
        <w:r w:rsidR="00070FC5" w:rsidRPr="00CC73F3">
          <w:rPr>
            <w:rStyle w:val="Hyperlink"/>
            <w:noProof/>
          </w:rPr>
          <w:t>Figure 5</w:t>
        </w:r>
        <w:r w:rsidR="00070FC5" w:rsidRPr="00CC73F3">
          <w:rPr>
            <w:rStyle w:val="Hyperlink"/>
            <w:rFonts w:eastAsia="Calibri"/>
            <w:noProof/>
          </w:rPr>
          <w:t>. Distance from Expert Ratings of Feasibility</w:t>
        </w:r>
        <w:r w:rsidR="00070FC5" w:rsidRPr="00CC73F3">
          <w:rPr>
            <w:noProof/>
            <w:webHidden/>
          </w:rPr>
          <w:tab/>
        </w:r>
        <w:r w:rsidR="00070FC5" w:rsidRPr="00CC73F3">
          <w:rPr>
            <w:noProof/>
            <w:webHidden/>
          </w:rPr>
          <w:fldChar w:fldCharType="begin"/>
        </w:r>
        <w:r w:rsidR="00070FC5" w:rsidRPr="00CC73F3">
          <w:rPr>
            <w:noProof/>
            <w:webHidden/>
          </w:rPr>
          <w:instrText xml:space="preserve"> PAGEREF _Toc420524235 \h </w:instrText>
        </w:r>
        <w:r w:rsidR="00070FC5" w:rsidRPr="00CC73F3">
          <w:rPr>
            <w:noProof/>
            <w:webHidden/>
          </w:rPr>
        </w:r>
        <w:r w:rsidR="00070FC5" w:rsidRPr="00CC73F3">
          <w:rPr>
            <w:noProof/>
            <w:webHidden/>
          </w:rPr>
          <w:fldChar w:fldCharType="separate"/>
        </w:r>
        <w:r w:rsidR="00070FC5" w:rsidRPr="00CC73F3">
          <w:rPr>
            <w:noProof/>
            <w:webHidden/>
          </w:rPr>
          <w:t>119</w:t>
        </w:r>
        <w:r w:rsidR="00070FC5" w:rsidRPr="00CC73F3">
          <w:rPr>
            <w:noProof/>
            <w:webHidden/>
          </w:rPr>
          <w:fldChar w:fldCharType="end"/>
        </w:r>
      </w:hyperlink>
    </w:p>
    <w:p w:rsidR="00070FC5" w:rsidRPr="00CC73F3" w:rsidRDefault="007E2E0A">
      <w:pPr>
        <w:pStyle w:val="TableofFigures"/>
        <w:tabs>
          <w:tab w:val="right" w:leader="dot" w:pos="8630"/>
        </w:tabs>
        <w:rPr>
          <w:rFonts w:ascii="Calibri" w:hAnsi="Calibri"/>
          <w:noProof/>
          <w:sz w:val="22"/>
          <w:szCs w:val="22"/>
        </w:rPr>
      </w:pPr>
      <w:hyperlink w:anchor="_Toc420524236" w:history="1">
        <w:r w:rsidR="00070FC5" w:rsidRPr="00CC73F3">
          <w:rPr>
            <w:rStyle w:val="Hyperlink"/>
            <w:noProof/>
          </w:rPr>
          <w:t>Figure 6</w:t>
        </w:r>
        <w:r w:rsidR="00070FC5" w:rsidRPr="00CC73F3">
          <w:rPr>
            <w:rStyle w:val="Hyperlink"/>
            <w:rFonts w:eastAsia="Calibri"/>
            <w:noProof/>
          </w:rPr>
          <w:t>. Interaction between Regulatory Focus and Reflexivity on Meaningfulness</w:t>
        </w:r>
        <w:r w:rsidR="00070FC5" w:rsidRPr="00CC73F3">
          <w:rPr>
            <w:noProof/>
            <w:webHidden/>
          </w:rPr>
          <w:tab/>
        </w:r>
        <w:r w:rsidR="00070FC5" w:rsidRPr="00CC73F3">
          <w:rPr>
            <w:noProof/>
            <w:webHidden/>
          </w:rPr>
          <w:fldChar w:fldCharType="begin"/>
        </w:r>
        <w:r w:rsidR="00070FC5" w:rsidRPr="00CC73F3">
          <w:rPr>
            <w:noProof/>
            <w:webHidden/>
          </w:rPr>
          <w:instrText xml:space="preserve"> PAGEREF _Toc420524236 \h </w:instrText>
        </w:r>
        <w:r w:rsidR="00070FC5" w:rsidRPr="00CC73F3">
          <w:rPr>
            <w:noProof/>
            <w:webHidden/>
          </w:rPr>
        </w:r>
        <w:r w:rsidR="00070FC5" w:rsidRPr="00CC73F3">
          <w:rPr>
            <w:noProof/>
            <w:webHidden/>
          </w:rPr>
          <w:fldChar w:fldCharType="separate"/>
        </w:r>
        <w:r w:rsidR="00070FC5" w:rsidRPr="00CC73F3">
          <w:rPr>
            <w:noProof/>
            <w:webHidden/>
          </w:rPr>
          <w:t>120</w:t>
        </w:r>
        <w:r w:rsidR="00070FC5" w:rsidRPr="00CC73F3">
          <w:rPr>
            <w:noProof/>
            <w:webHidden/>
          </w:rPr>
          <w:fldChar w:fldCharType="end"/>
        </w:r>
      </w:hyperlink>
    </w:p>
    <w:p w:rsidR="00070FC5" w:rsidRPr="00CC73F3" w:rsidRDefault="007E2E0A">
      <w:pPr>
        <w:pStyle w:val="TableofFigures"/>
        <w:tabs>
          <w:tab w:val="right" w:leader="dot" w:pos="8630"/>
        </w:tabs>
        <w:rPr>
          <w:rFonts w:ascii="Calibri" w:hAnsi="Calibri"/>
          <w:noProof/>
          <w:sz w:val="22"/>
          <w:szCs w:val="22"/>
        </w:rPr>
      </w:pPr>
      <w:hyperlink w:anchor="_Toc420524237" w:history="1">
        <w:r w:rsidR="00070FC5" w:rsidRPr="00CC73F3">
          <w:rPr>
            <w:rStyle w:val="Hyperlink"/>
            <w:noProof/>
          </w:rPr>
          <w:t>Figure 7</w:t>
        </w:r>
        <w:r w:rsidR="00070FC5" w:rsidRPr="00CC73F3">
          <w:rPr>
            <w:rStyle w:val="Hyperlink"/>
            <w:rFonts w:eastAsia="Calibri"/>
            <w:noProof/>
          </w:rPr>
          <w:t>. Interaction between Regulatory Focus and Reflexivity for Negative Hits.</w:t>
        </w:r>
        <w:r w:rsidR="00070FC5" w:rsidRPr="00CC73F3">
          <w:rPr>
            <w:noProof/>
            <w:webHidden/>
          </w:rPr>
          <w:tab/>
        </w:r>
        <w:r w:rsidR="00070FC5" w:rsidRPr="00CC73F3">
          <w:rPr>
            <w:noProof/>
            <w:webHidden/>
          </w:rPr>
          <w:fldChar w:fldCharType="begin"/>
        </w:r>
        <w:r w:rsidR="00070FC5" w:rsidRPr="00CC73F3">
          <w:rPr>
            <w:noProof/>
            <w:webHidden/>
          </w:rPr>
          <w:instrText xml:space="preserve"> PAGEREF _Toc420524237 \h </w:instrText>
        </w:r>
        <w:r w:rsidR="00070FC5" w:rsidRPr="00CC73F3">
          <w:rPr>
            <w:noProof/>
            <w:webHidden/>
          </w:rPr>
        </w:r>
        <w:r w:rsidR="00070FC5" w:rsidRPr="00CC73F3">
          <w:rPr>
            <w:noProof/>
            <w:webHidden/>
          </w:rPr>
          <w:fldChar w:fldCharType="separate"/>
        </w:r>
        <w:r w:rsidR="00070FC5" w:rsidRPr="00CC73F3">
          <w:rPr>
            <w:noProof/>
            <w:webHidden/>
          </w:rPr>
          <w:t>128</w:t>
        </w:r>
        <w:r w:rsidR="00070FC5" w:rsidRPr="00CC73F3">
          <w:rPr>
            <w:noProof/>
            <w:webHidden/>
          </w:rPr>
          <w:fldChar w:fldCharType="end"/>
        </w:r>
      </w:hyperlink>
    </w:p>
    <w:p w:rsidR="00070FC5" w:rsidRPr="00CC73F3" w:rsidRDefault="007E2E0A">
      <w:pPr>
        <w:pStyle w:val="TableofFigures"/>
        <w:tabs>
          <w:tab w:val="right" w:leader="dot" w:pos="8630"/>
        </w:tabs>
        <w:rPr>
          <w:rFonts w:ascii="Calibri" w:hAnsi="Calibri"/>
          <w:noProof/>
          <w:sz w:val="22"/>
          <w:szCs w:val="22"/>
        </w:rPr>
      </w:pPr>
      <w:hyperlink w:anchor="_Toc420524238" w:history="1">
        <w:r w:rsidR="00070FC5" w:rsidRPr="00CC73F3">
          <w:rPr>
            <w:rStyle w:val="Hyperlink"/>
            <w:noProof/>
          </w:rPr>
          <w:t>Figure 8</w:t>
        </w:r>
        <w:r w:rsidR="00070FC5" w:rsidRPr="00CC73F3">
          <w:rPr>
            <w:rStyle w:val="Hyperlink"/>
            <w:rFonts w:eastAsia="Calibri"/>
            <w:noProof/>
          </w:rPr>
          <w:t>. Interaction between Regulatory Focus and Reflexivity</w:t>
        </w:r>
        <w:r w:rsidR="00070FC5" w:rsidRPr="00CC73F3">
          <w:rPr>
            <w:noProof/>
            <w:webHidden/>
          </w:rPr>
          <w:tab/>
        </w:r>
        <w:r w:rsidR="00070FC5" w:rsidRPr="00CC73F3">
          <w:rPr>
            <w:noProof/>
            <w:webHidden/>
          </w:rPr>
          <w:fldChar w:fldCharType="begin"/>
        </w:r>
        <w:r w:rsidR="00070FC5" w:rsidRPr="00CC73F3">
          <w:rPr>
            <w:noProof/>
            <w:webHidden/>
          </w:rPr>
          <w:instrText xml:space="preserve"> PAGEREF _Toc420524238 \h </w:instrText>
        </w:r>
        <w:r w:rsidR="00070FC5" w:rsidRPr="00CC73F3">
          <w:rPr>
            <w:noProof/>
            <w:webHidden/>
          </w:rPr>
        </w:r>
        <w:r w:rsidR="00070FC5" w:rsidRPr="00CC73F3">
          <w:rPr>
            <w:noProof/>
            <w:webHidden/>
          </w:rPr>
          <w:fldChar w:fldCharType="separate"/>
        </w:r>
        <w:r w:rsidR="00070FC5" w:rsidRPr="00CC73F3">
          <w:rPr>
            <w:noProof/>
            <w:webHidden/>
          </w:rPr>
          <w:t>149</w:t>
        </w:r>
        <w:r w:rsidR="00070FC5" w:rsidRPr="00CC73F3">
          <w:rPr>
            <w:noProof/>
            <w:webHidden/>
          </w:rPr>
          <w:fldChar w:fldCharType="end"/>
        </w:r>
      </w:hyperlink>
    </w:p>
    <w:p w:rsidR="00070FC5" w:rsidRPr="00CC73F3" w:rsidRDefault="007E2E0A">
      <w:pPr>
        <w:pStyle w:val="TableofFigures"/>
        <w:tabs>
          <w:tab w:val="right" w:leader="dot" w:pos="8630"/>
        </w:tabs>
        <w:rPr>
          <w:rFonts w:ascii="Calibri" w:hAnsi="Calibri"/>
          <w:noProof/>
          <w:sz w:val="22"/>
          <w:szCs w:val="22"/>
        </w:rPr>
      </w:pPr>
      <w:hyperlink w:anchor="_Toc420524239" w:history="1">
        <w:r w:rsidR="00070FC5" w:rsidRPr="00CC73F3">
          <w:rPr>
            <w:rStyle w:val="Hyperlink"/>
            <w:noProof/>
          </w:rPr>
          <w:t>Figure 9</w:t>
        </w:r>
        <w:r w:rsidR="00070FC5" w:rsidRPr="00CC73F3">
          <w:rPr>
            <w:rStyle w:val="Hyperlink"/>
            <w:rFonts w:eastAsia="Calibri"/>
            <w:noProof/>
          </w:rPr>
          <w:t>. Regulatory Focus x Inventor Expertise Interaction for Positive Hits</w:t>
        </w:r>
        <w:r w:rsidR="00070FC5" w:rsidRPr="00CC73F3">
          <w:rPr>
            <w:noProof/>
            <w:webHidden/>
          </w:rPr>
          <w:tab/>
        </w:r>
        <w:r w:rsidR="00070FC5" w:rsidRPr="00CC73F3">
          <w:rPr>
            <w:noProof/>
            <w:webHidden/>
          </w:rPr>
          <w:fldChar w:fldCharType="begin"/>
        </w:r>
        <w:r w:rsidR="00070FC5" w:rsidRPr="00CC73F3">
          <w:rPr>
            <w:noProof/>
            <w:webHidden/>
          </w:rPr>
          <w:instrText xml:space="preserve"> PAGEREF _Toc420524239 \h </w:instrText>
        </w:r>
        <w:r w:rsidR="00070FC5" w:rsidRPr="00CC73F3">
          <w:rPr>
            <w:noProof/>
            <w:webHidden/>
          </w:rPr>
        </w:r>
        <w:r w:rsidR="00070FC5" w:rsidRPr="00CC73F3">
          <w:rPr>
            <w:noProof/>
            <w:webHidden/>
          </w:rPr>
          <w:fldChar w:fldCharType="separate"/>
        </w:r>
        <w:r w:rsidR="00070FC5" w:rsidRPr="00CC73F3">
          <w:rPr>
            <w:noProof/>
            <w:webHidden/>
          </w:rPr>
          <w:t>152</w:t>
        </w:r>
        <w:r w:rsidR="00070FC5" w:rsidRPr="00CC73F3">
          <w:rPr>
            <w:noProof/>
            <w:webHidden/>
          </w:rPr>
          <w:fldChar w:fldCharType="end"/>
        </w:r>
      </w:hyperlink>
    </w:p>
    <w:p w:rsidR="00070FC5" w:rsidRPr="00CC73F3" w:rsidRDefault="007E2E0A">
      <w:pPr>
        <w:pStyle w:val="TableofFigures"/>
        <w:tabs>
          <w:tab w:val="right" w:leader="dot" w:pos="8630"/>
        </w:tabs>
        <w:rPr>
          <w:rFonts w:ascii="Calibri" w:hAnsi="Calibri"/>
          <w:noProof/>
          <w:sz w:val="22"/>
          <w:szCs w:val="22"/>
        </w:rPr>
      </w:pPr>
      <w:hyperlink w:anchor="_Toc420524240" w:history="1">
        <w:r w:rsidR="00070FC5" w:rsidRPr="00CC73F3">
          <w:rPr>
            <w:rStyle w:val="Hyperlink"/>
            <w:noProof/>
          </w:rPr>
          <w:t>Figure 10</w:t>
        </w:r>
        <w:r w:rsidR="00070FC5" w:rsidRPr="00CC73F3">
          <w:rPr>
            <w:rStyle w:val="Hyperlink"/>
            <w:rFonts w:eastAsia="Calibri"/>
            <w:noProof/>
          </w:rPr>
          <w:t>. Conceptual Model for Studies 1, 2, and 3</w:t>
        </w:r>
        <w:r w:rsidR="00070FC5" w:rsidRPr="00CC73F3">
          <w:rPr>
            <w:noProof/>
            <w:webHidden/>
          </w:rPr>
          <w:tab/>
        </w:r>
        <w:r w:rsidR="00070FC5" w:rsidRPr="00CC73F3">
          <w:rPr>
            <w:noProof/>
            <w:webHidden/>
          </w:rPr>
          <w:fldChar w:fldCharType="begin"/>
        </w:r>
        <w:r w:rsidR="00070FC5" w:rsidRPr="00CC73F3">
          <w:rPr>
            <w:noProof/>
            <w:webHidden/>
          </w:rPr>
          <w:instrText xml:space="preserve"> PAGEREF _Toc420524240 \h </w:instrText>
        </w:r>
        <w:r w:rsidR="00070FC5" w:rsidRPr="00CC73F3">
          <w:rPr>
            <w:noProof/>
            <w:webHidden/>
          </w:rPr>
        </w:r>
        <w:r w:rsidR="00070FC5" w:rsidRPr="00CC73F3">
          <w:rPr>
            <w:noProof/>
            <w:webHidden/>
          </w:rPr>
          <w:fldChar w:fldCharType="separate"/>
        </w:r>
        <w:r w:rsidR="00070FC5" w:rsidRPr="00CC73F3">
          <w:rPr>
            <w:noProof/>
            <w:webHidden/>
          </w:rPr>
          <w:t>159</w:t>
        </w:r>
        <w:r w:rsidR="00070FC5" w:rsidRPr="00CC73F3">
          <w:rPr>
            <w:noProof/>
            <w:webHidden/>
          </w:rPr>
          <w:fldChar w:fldCharType="end"/>
        </w:r>
      </w:hyperlink>
    </w:p>
    <w:p w:rsidR="00070FC5" w:rsidRPr="00CC73F3" w:rsidRDefault="00070FC5" w:rsidP="00D639F5">
      <w:pPr>
        <w:numPr>
          <w:ilvl w:val="12"/>
          <w:numId w:val="0"/>
        </w:numPr>
        <w:sectPr w:rsidR="00070FC5" w:rsidRPr="00CC73F3" w:rsidSect="007E2E0A">
          <w:headerReference w:type="even" r:id="rId8"/>
          <w:headerReference w:type="default" r:id="rId9"/>
          <w:pgSz w:w="12240" w:h="15840"/>
          <w:pgMar w:top="1440" w:right="1440" w:bottom="1440" w:left="1440" w:header="720" w:footer="720" w:gutter="0"/>
          <w:pgNumType w:fmt="lowerRoman"/>
          <w:cols w:space="720"/>
          <w:titlePg/>
          <w:docGrid w:linePitch="360"/>
        </w:sectPr>
      </w:pPr>
      <w:r w:rsidRPr="00CC73F3">
        <w:fldChar w:fldCharType="end"/>
      </w:r>
    </w:p>
    <w:p w:rsidR="00070FC5" w:rsidRPr="00CC73F3" w:rsidRDefault="00070FC5" w:rsidP="00D639F5">
      <w:pPr>
        <w:pStyle w:val="Heading1"/>
      </w:pPr>
      <w:bookmarkStart w:id="1" w:name="_Toc420572540"/>
      <w:r w:rsidRPr="00CC73F3">
        <w:t>Chapter 1</w:t>
      </w:r>
      <w:r w:rsidRPr="00CC73F3">
        <w:br/>
        <w:t>Introduction</w:t>
      </w:r>
      <w:bookmarkEnd w:id="1"/>
    </w:p>
    <w:p w:rsidR="00070FC5" w:rsidRPr="00CC73F3" w:rsidRDefault="00070FC5" w:rsidP="00D639F5">
      <w:pPr>
        <w:numPr>
          <w:ilvl w:val="12"/>
          <w:numId w:val="0"/>
        </w:numPr>
        <w:jc w:val="center"/>
      </w:pPr>
    </w:p>
    <w:p w:rsidR="00070FC5" w:rsidRPr="00CC73F3" w:rsidRDefault="00070FC5" w:rsidP="00D639F5">
      <w:pPr>
        <w:numPr>
          <w:ilvl w:val="12"/>
          <w:numId w:val="0"/>
        </w:numPr>
        <w:jc w:val="center"/>
      </w:pPr>
    </w:p>
    <w:p w:rsidR="00070FC5" w:rsidRPr="00CC73F3" w:rsidRDefault="00070FC5" w:rsidP="00D639F5">
      <w:pPr>
        <w:spacing w:line="480" w:lineRule="auto"/>
      </w:pPr>
      <w:r w:rsidRPr="00CC73F3">
        <w:tab/>
        <w:t xml:space="preserve">For marketers, the ability to develop new products and services is a significant source of competitive advantage in the marketplace. However a large percentage of new products fail, and the rising cost of innovation, coupled with increasingly short product lifecycles, has created challenges for firms wishing to develop and launch new products. In response to this difficult innovation landscape, many firms are beginning to adopt an open innovation paradigm in which the traditional boundaries of the firm are becoming more and more permeable to external ideas </w:t>
      </w:r>
      <w:r w:rsidRPr="00CC73F3">
        <w:rPr>
          <w:noProof/>
        </w:rPr>
        <w:t>(Chesbrough, 2003)</w:t>
      </w:r>
      <w:r w:rsidRPr="00CC73F3">
        <w:t xml:space="preserve">. One manifestation of this paradigm is that firms are increasingly looking to their customers to collaborate with them in the ideation and production processes for new products.  Cocreation of new products with customers has been shown to be associated with higher new product quality, the development of products that more closely match customers’ unmet needs, and greater market success. These initiatives can take the form of crowd-sourced innovation contests </w:t>
      </w:r>
      <w:r w:rsidRPr="00CC73F3">
        <w:rPr>
          <w:noProof/>
        </w:rPr>
        <w:t>(Afuah &amp; Tucci, 2012; Boudreau &amp; Lakhani, 2013; Jeppesen &amp; Lakhani, 2010)</w:t>
      </w:r>
      <w:r w:rsidRPr="00CC73F3">
        <w:t xml:space="preserve">, the development and curation of user </w:t>
      </w:r>
      <w:r w:rsidRPr="00CC73F3">
        <w:rPr>
          <w:noProof/>
        </w:rPr>
        <w:t>(Hienerth, Lettl, &amp; Keinz, 2014; J. West &amp; Lakhani, 2008)</w:t>
      </w:r>
      <w:r w:rsidRPr="00CC73F3">
        <w:t xml:space="preserve">, or the </w:t>
      </w:r>
      <w:r w:rsidRPr="00CC73F3">
        <w:rPr>
          <w:noProof/>
        </w:rPr>
        <w:t>posing</w:t>
      </w:r>
      <w:r w:rsidRPr="00CC73F3">
        <w:t xml:space="preserve"> of innovation-related problems to groups of lead users </w:t>
      </w:r>
      <w:r w:rsidRPr="00CC73F3">
        <w:rPr>
          <w:noProof/>
        </w:rPr>
        <w:t>(Lilien, Morrison, Searls, Sonnack, &amp; Hippel, 2002; Schreier &amp; Prügl, 2008; Urban &amp; Von Hippel, 1988)</w:t>
      </w:r>
      <w:r w:rsidRPr="00CC73F3">
        <w:t xml:space="preserve">. Several streams of research have investigated cocreation from a customer perspective (e.g., what motivates customers to collaborate, how customers benefit from cocreation, firm benefits from cocreation). However, scholars still know relatively little about the process of cocreation from a managerial perspective. </w:t>
      </w:r>
    </w:p>
    <w:p w:rsidR="00070FC5" w:rsidRPr="00CC73F3" w:rsidRDefault="00070FC5" w:rsidP="00D639F5">
      <w:pPr>
        <w:spacing w:line="480" w:lineRule="auto"/>
      </w:pPr>
      <w:r w:rsidRPr="00CC73F3">
        <w:tab/>
        <w:t xml:space="preserve">Despite its considerable promise to improve the success rate of new products, only about 50% of cocreation efforts are successful </w:t>
      </w:r>
      <w:r w:rsidRPr="00CC73F3">
        <w:rPr>
          <w:noProof/>
        </w:rPr>
        <w:t>(Verhoef, Beckers, &amp; van Doorn, 2013)</w:t>
      </w:r>
      <w:r w:rsidRPr="00CC73F3">
        <w:t xml:space="preserve">. Involving customers in the cocreation of new products may be a double-edged sword for firms. On one hand, customers often have ideas that are on par with, or better than, internally-developed ideas </w:t>
      </w:r>
      <w:r w:rsidRPr="00CC73F3">
        <w:rPr>
          <w:noProof/>
        </w:rPr>
        <w:t>(Poetz &amp; Schreier, 2012)</w:t>
      </w:r>
      <w:r w:rsidRPr="00CC73F3">
        <w:t xml:space="preserve">, and cocreated ideas have been shown to dramatically outperform internally-developed ideas in both profitability and market longevity </w:t>
      </w:r>
      <w:r w:rsidRPr="00CC73F3">
        <w:rPr>
          <w:noProof/>
        </w:rPr>
        <w:t>(Nishikawa, Schreier, &amp; Ogawa, 2013)</w:t>
      </w:r>
      <w:r w:rsidRPr="00CC73F3">
        <w:t xml:space="preserve">. Managers who dismiss customer ideas as infeasible or are overly restrictive in considering customer input may do so to the detriment of the quality and market potential of their new products. </w:t>
      </w:r>
    </w:p>
    <w:p w:rsidR="00070FC5" w:rsidRPr="00CC73F3" w:rsidRDefault="00070FC5" w:rsidP="00D639F5">
      <w:pPr>
        <w:spacing w:line="480" w:lineRule="auto"/>
      </w:pPr>
      <w:r w:rsidRPr="00CC73F3">
        <w:tab/>
        <w:t xml:space="preserve">On the other hand, inviting customers into the product development process can create significant challenges. Managers who are open to a wide variety of customer ideas for new products and services may find themselves overwhelmed by the sheer volume of customer input </w:t>
      </w:r>
      <w:r w:rsidRPr="00CC73F3">
        <w:rPr>
          <w:noProof/>
        </w:rPr>
        <w:t>(Gloor &amp; Cooper, 2012)</w:t>
      </w:r>
      <w:r w:rsidRPr="00CC73F3">
        <w:t xml:space="preserve">. They may also find that a large percentage of customer ideas are redundant, not attractive to a critical mass of customers, or not feasible to implement </w:t>
      </w:r>
      <w:r w:rsidRPr="00CC73F3">
        <w:rPr>
          <w:noProof/>
        </w:rPr>
        <w:t>(Bayus, 2013; Hopkins, 2011)</w:t>
      </w:r>
      <w:r w:rsidRPr="00CC73F3">
        <w:t xml:space="preserve">. Further, customers are focused on satisfying unmet needs, but do not often consider firm capabilities or profit potential when developing new product ideas with firms </w:t>
      </w:r>
      <w:r w:rsidRPr="00CC73F3">
        <w:rPr>
          <w:noProof/>
        </w:rPr>
        <w:t>(Poetz &amp; Schreier, 2012)</w:t>
      </w:r>
      <w:r w:rsidRPr="00CC73F3">
        <w:t xml:space="preserve">. In summary, a major challenge for firms in cocreating innovation is to identify customer ideas that have the potential to fulfill unmet market needs </w:t>
      </w:r>
      <w:r w:rsidRPr="00CC73F3">
        <w:rPr>
          <w:i/>
        </w:rPr>
        <w:t>and</w:t>
      </w:r>
      <w:r w:rsidRPr="00CC73F3">
        <w:t xml:space="preserve"> can be implemented profitably.</w:t>
      </w:r>
    </w:p>
    <w:p w:rsidR="00070FC5" w:rsidRPr="00CC73F3" w:rsidRDefault="00070FC5" w:rsidP="00D639F5">
      <w:pPr>
        <w:spacing w:line="480" w:lineRule="auto"/>
      </w:pPr>
    </w:p>
    <w:p w:rsidR="00070FC5" w:rsidRPr="00CC73F3" w:rsidRDefault="00070FC5" w:rsidP="00D639F5">
      <w:pPr>
        <w:pStyle w:val="Heading2"/>
      </w:pPr>
      <w:bookmarkStart w:id="2" w:name="_Toc420572541"/>
      <w:r w:rsidRPr="00CC73F3">
        <w:t>Cocreation of Innovation in Business Practice</w:t>
      </w:r>
      <w:bookmarkEnd w:id="2"/>
    </w:p>
    <w:p w:rsidR="00070FC5" w:rsidRPr="00CC73F3" w:rsidRDefault="00070FC5" w:rsidP="00D639F5">
      <w:pPr>
        <w:spacing w:line="480" w:lineRule="auto"/>
      </w:pPr>
      <w:r w:rsidRPr="00CC73F3">
        <w:tab/>
        <w:t xml:space="preserve">Examples abound of companies that are increasingly relying on customers to help generate new market offerings. Companies like Threadless and Quirky have business models which rely completely on customer-submitted designs and product concepts that they then manufacture and sell in their online retail stores </w:t>
      </w:r>
      <w:r w:rsidRPr="00CC73F3">
        <w:rPr>
          <w:noProof/>
        </w:rPr>
        <w:t>(Fuchs, Prandelli, &amp; Schreier, 2010; Kornish &amp; Ulrich, 2014)</w:t>
      </w:r>
      <w:r w:rsidRPr="00CC73F3">
        <w:t xml:space="preserve">. Other companies have developed online communities in which customers can dialog with the company and with each other, and have the ability to submit ideas for new products and improvements to existing products to firms’ product portfolios. Lego, BMW, and Fiat have all developed online innovation portals where customers can share their designs and insights and directly contribute to the development and launch of new products </w:t>
      </w:r>
      <w:r w:rsidRPr="00CC73F3">
        <w:rPr>
          <w:noProof/>
        </w:rPr>
        <w:t>(Antorini, Muniz, &amp; Askildsen, 2012; Dell, 2015; Füller, Hutter, &amp; Fries, 2012)</w:t>
      </w:r>
      <w:r w:rsidRPr="00CC73F3">
        <w:t xml:space="preserve">. Dell’s IdeaStorm website </w:t>
      </w:r>
      <w:r w:rsidRPr="00CC73F3">
        <w:rPr>
          <w:noProof/>
        </w:rPr>
        <w:t>(Dell, 2015)</w:t>
      </w:r>
      <w:r w:rsidRPr="00CC73F3">
        <w:t xml:space="preserve"> combines elements of both to give its customers a forum in which they can propose radically new products or simply make suggestions as to how to improve existing products and services </w:t>
      </w:r>
      <w:r w:rsidRPr="00CC73F3">
        <w:rPr>
          <w:noProof/>
        </w:rPr>
        <w:t>(Bayus, 2013)</w:t>
      </w:r>
      <w:r w:rsidRPr="00CC73F3">
        <w:t xml:space="preserve">. In all of these cases, firms have begun to realize that inviting customers into the new product and service development process, as active and direct contributors, often produces superior results (e.g., market offerings that more closely match customer needs) than traditional market research efforts </w:t>
      </w:r>
      <w:r w:rsidRPr="00CC73F3">
        <w:rPr>
          <w:noProof/>
        </w:rPr>
        <w:t>(Ogawa &amp; Piller, 2006)</w:t>
      </w:r>
      <w:r w:rsidRPr="00CC73F3">
        <w:t>.</w:t>
      </w:r>
    </w:p>
    <w:p w:rsidR="00070FC5" w:rsidRPr="00CC73F3" w:rsidRDefault="00070FC5" w:rsidP="00D639F5">
      <w:pPr>
        <w:spacing w:line="480" w:lineRule="auto"/>
      </w:pPr>
    </w:p>
    <w:p w:rsidR="00070FC5" w:rsidRPr="00CC73F3" w:rsidRDefault="00070FC5" w:rsidP="00D639F5">
      <w:pPr>
        <w:pStyle w:val="Heading2"/>
      </w:pPr>
      <w:bookmarkStart w:id="3" w:name="_Toc420572542"/>
      <w:r w:rsidRPr="00CC73F3">
        <w:t>Customer Cocreation as an Extension of the Open Innovation Paradigm</w:t>
      </w:r>
      <w:bookmarkEnd w:id="3"/>
    </w:p>
    <w:p w:rsidR="00070FC5" w:rsidRPr="00CC73F3" w:rsidRDefault="00070FC5" w:rsidP="00D639F5">
      <w:pPr>
        <w:spacing w:line="480" w:lineRule="auto"/>
      </w:pPr>
      <w:r w:rsidRPr="00CC73F3">
        <w:tab/>
        <w:t xml:space="preserve">Synthesizing the definitions that have been given for cocreation in the marketing literature </w:t>
      </w:r>
      <w:r w:rsidRPr="00CC73F3">
        <w:rPr>
          <w:noProof/>
        </w:rPr>
        <w:t>(Hoyer et al., 2010; Lusch &amp; Vargo, 2006; O'Hern &amp; Rindfleisch, 2010; Prahalad &amp; Ramaswamy, 2004)</w:t>
      </w:r>
      <w:r w:rsidRPr="00CC73F3">
        <w:t xml:space="preserve"> this dissertation defines customer cocreation of innovation as </w:t>
      </w:r>
      <w:r w:rsidRPr="00CC73F3">
        <w:rPr>
          <w:i/>
        </w:rPr>
        <w:t>the collaboration between firms and their customers (or potential customers) in the product or service development process, which may include customer input into ideation, design, and production of new market offerings</w:t>
      </w:r>
      <w:r w:rsidRPr="00CC73F3">
        <w:t>.</w:t>
      </w:r>
    </w:p>
    <w:p w:rsidR="00070FC5" w:rsidRPr="00CC73F3" w:rsidRDefault="00070FC5" w:rsidP="00D639F5">
      <w:pPr>
        <w:spacing w:line="480" w:lineRule="auto"/>
      </w:pPr>
      <w:r w:rsidRPr="00CC73F3">
        <w:tab/>
        <w:t xml:space="preserve">Following the logic of the open innovation paradigm </w:t>
      </w:r>
      <w:r w:rsidRPr="00CC73F3">
        <w:rPr>
          <w:noProof/>
        </w:rPr>
        <w:t>(Chesbrough, 2003)</w:t>
      </w:r>
      <w:r w:rsidRPr="00CC73F3">
        <w:t xml:space="preserve">, customer cocreation of innovation involves managers looking outside of their firm boundaries for new product ideas and viewing customers as collaboration partners in innovation efforts. Many successful firms conduct market research to determine the latent needs of their customers when developing new products. Cocreation differs from the concept of market research because cocreation entails </w:t>
      </w:r>
      <w:r w:rsidRPr="00CC73F3">
        <w:rPr>
          <w:i/>
        </w:rPr>
        <w:t>directly involving</w:t>
      </w:r>
      <w:r w:rsidRPr="00CC73F3">
        <w:t xml:space="preserve"> customers in the new product ideation and/or production process </w:t>
      </w:r>
      <w:r w:rsidRPr="00CC73F3">
        <w:rPr>
          <w:noProof/>
        </w:rPr>
        <w:t>(Füller, 2010; Witell, Kristensson, Gustafsson, &amp; Löfgren, 2011)</w:t>
      </w:r>
      <w:r w:rsidRPr="00CC73F3">
        <w:t>, rather than simply learning about customers.</w:t>
      </w:r>
    </w:p>
    <w:p w:rsidR="00070FC5" w:rsidRPr="00CC73F3" w:rsidRDefault="00070FC5" w:rsidP="00D639F5">
      <w:pPr>
        <w:spacing w:line="480" w:lineRule="auto"/>
      </w:pPr>
      <w:r w:rsidRPr="00CC73F3">
        <w:tab/>
        <w:t xml:space="preserve">From a customer perspective, scholars know a good deal about what motivates customers to participate in cocreation activities, and the ways cocreation activities might influence customer perceptions of the value of new products and services. Customers are motivated to contribute their time and creative energy by social benefits, learning benefits, hedonic benefits and benefits related to personal gain </w:t>
      </w:r>
      <w:r w:rsidRPr="00CC73F3">
        <w:rPr>
          <w:noProof/>
        </w:rPr>
        <w:t>(Nambisan &amp; Baron, 2009)</w:t>
      </w:r>
      <w:r w:rsidRPr="00CC73F3">
        <w:t xml:space="preserve">. For example, </w:t>
      </w:r>
      <w:r w:rsidRPr="00CC73F3">
        <w:rPr>
          <w:noProof/>
        </w:rPr>
        <w:t>Tynan, McKechnie, and Chhuon (2010)</w:t>
      </w:r>
      <w:r w:rsidRPr="00CC73F3">
        <w:t xml:space="preserve">, in their study of the cocreation of luxury goods, found that cocreation allowed customers to create personalized brand experiences by co-developing products that expressed their own sense of style, aesthetics, and relational value. </w:t>
      </w:r>
      <w:r w:rsidRPr="00CC73F3">
        <w:rPr>
          <w:noProof/>
        </w:rPr>
        <w:t>Kristensson, Matthing, and Johansson (2008)</w:t>
      </w:r>
      <w:r w:rsidRPr="00CC73F3">
        <w:t xml:space="preserve"> found that that the process of customer cocreation can help customers understand their own needs more clearly by facilitating deeper thinking about various usage situations and roles they may not have encountered before in a particular product domain. In the marketing services literature, cocreation efforts have been found to improve customer satisfaction during service failure recovery </w:t>
      </w:r>
      <w:r w:rsidRPr="00CC73F3">
        <w:rPr>
          <w:noProof/>
        </w:rPr>
        <w:t>(Dong, Evans, &amp; Zou, 2008)</w:t>
      </w:r>
      <w:r w:rsidRPr="00CC73F3">
        <w:t xml:space="preserve">, and to encourage customers to adopt new services by allowing them to test drive experiences before they commit to purchasing them </w:t>
      </w:r>
      <w:r w:rsidRPr="00CC73F3">
        <w:rPr>
          <w:noProof/>
        </w:rPr>
        <w:t>(Edvardsson, Enquist, &amp; Johnston, 2005)</w:t>
      </w:r>
      <w:r w:rsidRPr="00CC73F3">
        <w:t>.</w:t>
      </w:r>
    </w:p>
    <w:p w:rsidR="00070FC5" w:rsidRPr="00CC73F3" w:rsidRDefault="00070FC5" w:rsidP="00D639F5">
      <w:pPr>
        <w:spacing w:line="480" w:lineRule="auto"/>
      </w:pPr>
      <w:r w:rsidRPr="00CC73F3">
        <w:rPr>
          <w:b/>
        </w:rPr>
        <w:tab/>
      </w:r>
      <w:r w:rsidRPr="00CC73F3">
        <w:t xml:space="preserve">From a firm perspective, scholars know that innovation strategies which involve cocreation carry the potential to bring substantial benefits to companies’ product development efforts. Specifically, co-creating innovation with customers helps firms develop new market offerings that more closely mirror customer needs, are of higher quality, and involve less development risk </w:t>
      </w:r>
      <w:r w:rsidRPr="00CC73F3">
        <w:rPr>
          <w:noProof/>
        </w:rPr>
        <w:t>(Fang, 2008; Hoyer et al., 2010)</w:t>
      </w:r>
      <w:r w:rsidRPr="00CC73F3">
        <w:t xml:space="preserve">. Customer cocreation may also be a key aspect of customer relationship management, as customers may increasingly prefer to be involved in the creative experience of developing products, services, and experiences </w:t>
      </w:r>
      <w:r w:rsidRPr="00CC73F3">
        <w:rPr>
          <w:noProof/>
        </w:rPr>
        <w:t>(Boulding, Staelin, Ehret, &amp; Johnston, 2005)</w:t>
      </w:r>
      <w:r w:rsidRPr="00CC73F3">
        <w:t xml:space="preserve">. Some research has also looked at how cocreation influences frontline employees. </w:t>
      </w:r>
      <w:r w:rsidRPr="00CC73F3">
        <w:rPr>
          <w:noProof/>
        </w:rPr>
        <w:t>Chan, Yim, and Lam (2010)</w:t>
      </w:r>
      <w:r w:rsidRPr="00CC73F3">
        <w:t xml:space="preserve"> found that cocreation creates stronger relational bonds with customers and increases the perceived value of products and services, but can increase employee job stress and decrease work satisfaction. </w:t>
      </w:r>
    </w:p>
    <w:p w:rsidR="00070FC5" w:rsidRPr="00CC73F3" w:rsidRDefault="00070FC5" w:rsidP="00D639F5">
      <w:pPr>
        <w:spacing w:line="480" w:lineRule="auto"/>
      </w:pPr>
      <w:r w:rsidRPr="00CC73F3">
        <w:tab/>
        <w:t xml:space="preserve">Taken as a whole, the cocreation literature has extensively explored outcomes of cocreation, including benefits to both customers and firms, but the decision-making process of how development teams review, select, and develop customer ideas for new products is still underexplored in cocreation research. </w:t>
      </w:r>
    </w:p>
    <w:p w:rsidR="00070FC5" w:rsidRPr="00CC73F3" w:rsidRDefault="00070FC5" w:rsidP="00D639F5">
      <w:pPr>
        <w:spacing w:line="480" w:lineRule="auto"/>
      </w:pPr>
    </w:p>
    <w:p w:rsidR="00070FC5" w:rsidRPr="00CC73F3" w:rsidRDefault="00070FC5" w:rsidP="00D639F5">
      <w:pPr>
        <w:pStyle w:val="Heading2"/>
      </w:pPr>
      <w:bookmarkStart w:id="4" w:name="_Toc420572543"/>
      <w:r w:rsidRPr="00CC73F3">
        <w:t>Managerial Challenges in Customer Cocreation of Innovation</w:t>
      </w:r>
      <w:bookmarkEnd w:id="4"/>
    </w:p>
    <w:p w:rsidR="00070FC5" w:rsidRPr="00CC73F3" w:rsidRDefault="00070FC5" w:rsidP="00D639F5">
      <w:pPr>
        <w:spacing w:line="480" w:lineRule="auto"/>
      </w:pPr>
      <w:r w:rsidRPr="00CC73F3">
        <w:rPr>
          <w:b/>
        </w:rPr>
        <w:tab/>
      </w:r>
      <w:r w:rsidRPr="00CC73F3">
        <w:t xml:space="preserve">Not all forms of customer involvement in innovation are an inexpensive panacea for generating innovative ideas. For example, Campbell’s Soup abandoned its online community designed to generate new product ideas because of lack of participation by customers </w:t>
      </w:r>
      <w:r w:rsidRPr="00CC73F3">
        <w:rPr>
          <w:noProof/>
        </w:rPr>
        <w:t>(Phillips, 2011)</w:t>
      </w:r>
      <w:r w:rsidRPr="00CC73F3">
        <w:t xml:space="preserve">. In a recent Wired Magazine article, the president of TopCoder, a crowdsourcing development firm, predicted that 2014 could be the year that crowdsourced innovation initiatives experience hypergrowth. He also predicted that a substantial number of firms will subsequently abandon the practice when it fails to engage end users in the NPD process in a way substantially improves firm innovation output </w:t>
      </w:r>
      <w:r w:rsidRPr="00CC73F3">
        <w:rPr>
          <w:noProof/>
        </w:rPr>
        <w:t>(Singh, 2014)</w:t>
      </w:r>
      <w:r w:rsidRPr="00CC73F3">
        <w:t xml:space="preserve">.  Given the anecdotal evidence from industry regarding the mixed track record of cocreation effort, several challenges in cocreation are apparent. </w:t>
      </w:r>
    </w:p>
    <w:p w:rsidR="00070FC5" w:rsidRPr="00CC73F3" w:rsidRDefault="00070FC5" w:rsidP="00D639F5">
      <w:pPr>
        <w:spacing w:line="480" w:lineRule="auto"/>
      </w:pPr>
      <w:r w:rsidRPr="00CC73F3">
        <w:tab/>
        <w:t xml:space="preserve">Extant research has identified several problematic issues which influence the adoption of open innovation in general, but also would likely impact whether firms pursue a cocreation strategy with customers.  These challenges include designing appropriate interface mechanisms for user innovation </w:t>
      </w:r>
      <w:r w:rsidRPr="00CC73F3">
        <w:rPr>
          <w:noProof/>
        </w:rPr>
        <w:t>(Terwiesch &amp; Xu, 2008)</w:t>
      </w:r>
      <w:r w:rsidRPr="00CC73F3">
        <w:t xml:space="preserve">, recruiting qualified idea contributors </w:t>
      </w:r>
      <w:r w:rsidRPr="00CC73F3">
        <w:rPr>
          <w:noProof/>
        </w:rPr>
        <w:t>(Jeppesen &amp; Lakhani, 2010)</w:t>
      </w:r>
      <w:r w:rsidRPr="00CC73F3">
        <w:t xml:space="preserve">, managing customer relationships in cocreated innovation programs </w:t>
      </w:r>
      <w:r w:rsidRPr="00CC73F3">
        <w:rPr>
          <w:noProof/>
        </w:rPr>
        <w:t>(Füller, Hutter, &amp; Faullant, 2011; Singh, 2014)</w:t>
      </w:r>
      <w:r w:rsidRPr="00CC73F3">
        <w:t xml:space="preserve">, dealing with intellectual property issues related to customers’ ideas </w:t>
      </w:r>
      <w:r w:rsidRPr="00CC73F3">
        <w:rPr>
          <w:noProof/>
        </w:rPr>
        <w:t>(Bogers, Afuah, &amp; Bastian, 2010; Jeppesen &amp; Lakhani, 2010; Nambisan, 2002)</w:t>
      </w:r>
      <w:r w:rsidRPr="00CC73F3">
        <w:t xml:space="preserve">, and developing radical (versus incremental) innovation in collaboration with customers </w:t>
      </w:r>
      <w:r w:rsidRPr="00CC73F3">
        <w:rPr>
          <w:noProof/>
        </w:rPr>
        <w:t>(Bogers et al., 2010; Hoyer et al., 2010)</w:t>
      </w:r>
      <w:r w:rsidRPr="00CC73F3">
        <w:t>.</w:t>
      </w:r>
    </w:p>
    <w:p w:rsidR="00070FC5" w:rsidRPr="00CC73F3" w:rsidRDefault="00070FC5" w:rsidP="00D639F5">
      <w:pPr>
        <w:spacing w:line="480" w:lineRule="auto"/>
      </w:pPr>
      <w:r w:rsidRPr="00CC73F3">
        <w:tab/>
        <w:t xml:space="preserve">This dissertation focuses specifically on the challenges associated with how development teams select the best ideas from customers, and which aspects of group cognition influence teams’ ability to recognize and implement innovative ideas from customers. Based on the literature on innovation, there are several key challenges which may make customer cocreation of innovation uniquely challenging. </w:t>
      </w:r>
    </w:p>
    <w:p w:rsidR="00070FC5" w:rsidRPr="00CC73F3" w:rsidRDefault="00070FC5" w:rsidP="00D639F5">
      <w:pPr>
        <w:pStyle w:val="Heading2"/>
      </w:pPr>
    </w:p>
    <w:p w:rsidR="00070FC5" w:rsidRPr="00CC73F3" w:rsidRDefault="00070FC5" w:rsidP="00D639F5">
      <w:pPr>
        <w:pStyle w:val="Heading2"/>
      </w:pPr>
      <w:bookmarkStart w:id="5" w:name="_Toc420572544"/>
      <w:r w:rsidRPr="00CC73F3">
        <w:t>Quality and Volume of Customer Ideas</w:t>
      </w:r>
      <w:bookmarkEnd w:id="5"/>
    </w:p>
    <w:p w:rsidR="00070FC5" w:rsidRPr="00CC73F3" w:rsidRDefault="00070FC5" w:rsidP="00D639F5">
      <w:pPr>
        <w:spacing w:line="480" w:lineRule="auto"/>
      </w:pPr>
      <w:r w:rsidRPr="00CC73F3">
        <w:tab/>
        <w:t xml:space="preserve">First, research in crowdsourcing and soliciting ideas from large groups has argued that not all customer ideas are worth pursuing but that the very best customer-generated ideas can be as good (or better) than those generated by firms’ own internal development teams </w:t>
      </w:r>
      <w:r w:rsidRPr="00CC73F3">
        <w:rPr>
          <w:noProof/>
        </w:rPr>
        <w:t>(Chesbrough, 2003; Magnussen, Matthing, &amp; Kristensson, 2003; Nishikawa et al., 2013; Poetz &amp; Schreier, 2012)</w:t>
      </w:r>
      <w:r w:rsidRPr="00CC73F3">
        <w:t xml:space="preserve">. When firms consider customer-generated ideas for new products, they typically look for ideas that are novel and valuable in terms of their profit-generating potential </w:t>
      </w:r>
      <w:r w:rsidRPr="00CC73F3">
        <w:rPr>
          <w:noProof/>
        </w:rPr>
        <w:t>(T. Amabile, 1996; Bayus, 2013; Burroughs, Dahl, Moreau, Chattopadhyay, &amp; Gorn, 2011)</w:t>
      </w:r>
      <w:r w:rsidRPr="00CC73F3">
        <w:t xml:space="preserve">. Researchers have argued that a large percentage of customer ideas in such initiatives are either redundant with existing firm development projects, overlapping with other customer ideas, or infeasible to implement </w:t>
      </w:r>
      <w:r w:rsidRPr="00CC73F3">
        <w:rPr>
          <w:noProof/>
        </w:rPr>
        <w:t>(Bayus, 2013; Hopkins, 2011)</w:t>
      </w:r>
      <w:r w:rsidRPr="00CC73F3">
        <w:t xml:space="preserve">. As such, the careful selection and filtering of customer ideas is essential to creating value for firms. </w:t>
      </w:r>
    </w:p>
    <w:p w:rsidR="00070FC5" w:rsidRPr="00CC73F3" w:rsidRDefault="00070FC5" w:rsidP="00D639F5">
      <w:pPr>
        <w:spacing w:line="480" w:lineRule="auto"/>
      </w:pPr>
      <w:r w:rsidRPr="00CC73F3">
        <w:tab/>
        <w:t xml:space="preserve">Second, the sheer volume of ideas can also be a factor in cocreation projects that can be challenging for firms to manage </w:t>
      </w:r>
      <w:r w:rsidRPr="00CC73F3">
        <w:rPr>
          <w:noProof/>
        </w:rPr>
        <w:t>(Gloor &amp; Cooper, 2012)</w:t>
      </w:r>
      <w:r w:rsidRPr="00CC73F3">
        <w:t xml:space="preserve">. Innovation teams that are unprepared for idea volume can quickly become overwhelmed to the point of abandoning strategies to involve users. Although online innovation communities can play a role in the filtering and selection process (e.g., firms only consider ideas that receive a certain level of votes from the community), the volume of ideas managers must evaluate is still higher than is typically encountered in internal innovation processes </w:t>
      </w:r>
      <w:r w:rsidRPr="00CC73F3">
        <w:rPr>
          <w:noProof/>
        </w:rPr>
        <w:t>(Hoyer et al., 2010)</w:t>
      </w:r>
      <w:r w:rsidRPr="00CC73F3">
        <w:t>.</w:t>
      </w:r>
    </w:p>
    <w:p w:rsidR="00070FC5" w:rsidRPr="00CC73F3" w:rsidRDefault="00070FC5" w:rsidP="00D639F5">
      <w:pPr>
        <w:spacing w:line="480" w:lineRule="auto"/>
      </w:pPr>
      <w:r w:rsidRPr="00CC73F3">
        <w:tab/>
        <w:t xml:space="preserve">Third, development teams must look for the best customer ideas that serve the needs of their customers, while also creating value for their firms. These dual goals in open innovation are what </w:t>
      </w:r>
      <w:r w:rsidRPr="00CC73F3">
        <w:rPr>
          <w:noProof/>
        </w:rPr>
        <w:t>Chesbrough (2003)</w:t>
      </w:r>
      <w:r w:rsidRPr="00CC73F3">
        <w:t xml:space="preserve"> refers to as </w:t>
      </w:r>
      <w:r w:rsidRPr="00CC73F3">
        <w:rPr>
          <w:i/>
        </w:rPr>
        <w:t>value creation</w:t>
      </w:r>
      <w:r w:rsidRPr="00CC73F3">
        <w:t xml:space="preserve"> and </w:t>
      </w:r>
      <w:r w:rsidRPr="00CC73F3">
        <w:rPr>
          <w:i/>
        </w:rPr>
        <w:t>value capture</w:t>
      </w:r>
      <w:r w:rsidRPr="00CC73F3">
        <w:t xml:space="preserve">, respectively. Balancing value creation and value capture poses a challenge for decision-makers. On one hand, customer ideas may contain novel and useful suggestions for tapping into unmet customer needs, offering the potential for deeper penetration into existing customer markets or tapping into new customer markets </w:t>
      </w:r>
      <w:r w:rsidRPr="00CC73F3">
        <w:rPr>
          <w:noProof/>
        </w:rPr>
        <w:t>(Hoyer et al., 2010)</w:t>
      </w:r>
      <w:r w:rsidRPr="00CC73F3">
        <w:t xml:space="preserve">. On the other hand, customers are unlikely to have a deep understanding of firms’ implementation capabilities </w:t>
      </w:r>
      <w:r w:rsidRPr="00CC73F3">
        <w:rPr>
          <w:noProof/>
        </w:rPr>
        <w:t>(Poetz &amp; Schreier, 2012)</w:t>
      </w:r>
      <w:r w:rsidRPr="00CC73F3">
        <w:t>. As such, customer ideas for new products and services, while addressing unmet needs, may not always be feasible to implement, or may require considerable adaption to be profitable for the firm. If decision makers err too far in either direction (i.e., too restrictive or not discerning enough in idea selection), the firm’s ability to capitalize on promising customer ideas may be compromised, or firms may develop products that do not meet unmet needs in their respective markets.</w:t>
      </w:r>
    </w:p>
    <w:p w:rsidR="00070FC5" w:rsidRPr="00CC73F3" w:rsidRDefault="00070FC5" w:rsidP="00D639F5">
      <w:pPr>
        <w:spacing w:line="480" w:lineRule="auto"/>
      </w:pPr>
    </w:p>
    <w:p w:rsidR="00070FC5" w:rsidRPr="00CC73F3" w:rsidRDefault="00070FC5" w:rsidP="00D639F5">
      <w:pPr>
        <w:pStyle w:val="Heading2"/>
      </w:pPr>
      <w:bookmarkStart w:id="6" w:name="_Toc420572545"/>
      <w:r w:rsidRPr="00CC73F3">
        <w:t>Team Cognitive Limitations</w:t>
      </w:r>
      <w:bookmarkEnd w:id="6"/>
    </w:p>
    <w:p w:rsidR="00070FC5" w:rsidRPr="00CC73F3" w:rsidRDefault="00070FC5" w:rsidP="00D639F5"/>
    <w:p w:rsidR="00070FC5" w:rsidRPr="00CC73F3" w:rsidRDefault="00070FC5" w:rsidP="00D639F5">
      <w:pPr>
        <w:spacing w:line="480" w:lineRule="auto"/>
      </w:pPr>
      <w:r w:rsidRPr="00CC73F3">
        <w:tab/>
        <w:t xml:space="preserve">Finally, firms’ new product development teams may not always recognize the most promising ideas when they see them. While the variance in the quality and quantity of customer ideas can influence selection, decision teams’ ability to interpret and make sense of customer ideas also plays a role in which ideas they select. Part of the “black box” surrounding the process of managing cocreation from a firm perspective has been an underlying assumption that product development professionals almost always recognize the best ideas when they see them. Various streams of literature related to organizational behavior and organizational psychology suggest, however, that innovation and corporate entrepreneurship teams, like individuals, are subject to biases, cognitive inertia, satisficing, and cognitive overload that influence their ability to always recognize the most promising ideas </w:t>
      </w:r>
      <w:r w:rsidRPr="00CC73F3">
        <w:rPr>
          <w:noProof/>
        </w:rPr>
        <w:t>(Baron, 2004; Smith &amp; Tushman, 2005)</w:t>
      </w:r>
      <w:r w:rsidRPr="00CC73F3">
        <w:t xml:space="preserve">. In the context of customer cocreation, firms must not only recognize good ideas, but be able to adapt good customer ideas in a way that fits their implementation capabilities </w:t>
      </w:r>
      <w:r w:rsidRPr="00CC73F3">
        <w:rPr>
          <w:noProof/>
        </w:rPr>
        <w:t>(Poetz &amp; Schreier, 2012)</w:t>
      </w:r>
      <w:r w:rsidRPr="00CC73F3">
        <w:t xml:space="preserve">. Selection and implementation of new product ideas can be a challenging process, particularly if customer ideas are radically divergent from the existing mental models development teams hold about the target market, form, and function new market offerings should have. </w:t>
      </w:r>
      <w:r w:rsidRPr="00CC73F3">
        <w:rPr>
          <w:noProof/>
        </w:rPr>
        <w:t>Afuah and Tucci (2012)</w:t>
      </w:r>
      <w:r w:rsidRPr="00CC73F3">
        <w:t xml:space="preserve"> argue that looking for innovation outside of the firm’s four walls often entails “distant” search, as opposed to “local” knowledge domains more closely related to their core business. In this case, the selection problem may not only be related to managers’ inability to deal with the sheer volume, but also related to having the requisite knowledge and cognitive frames to meaningfully interpret divergent ideas customers might generate. When development teams ignore “distant” sources of ideas, they cut themselves off from potentially valuable sources of innovation insight. </w:t>
      </w:r>
      <w:r w:rsidRPr="00CC73F3">
        <w:rPr>
          <w:noProof/>
        </w:rPr>
        <w:t>Jeppesen and Lakhani (2010)</w:t>
      </w:r>
      <w:r w:rsidRPr="00CC73F3">
        <w:t>, for example, found in the crowdsourcing of innovation that the most promising concepts came from contributors who were cognitively distant (e.g., had deep experience in other product domains, or were in the demographic minority) from the focal firm. In the case of cocreation, firms which ignore “distant” customer ideas may do themselves a greater disservice because of the unique potential of customer-generated ideas to address unmet needs in the marketplace.</w:t>
      </w:r>
    </w:p>
    <w:p w:rsidR="00070FC5" w:rsidRPr="00CC73F3" w:rsidRDefault="00070FC5" w:rsidP="00D639F5">
      <w:pPr>
        <w:spacing w:line="480" w:lineRule="auto"/>
      </w:pPr>
      <w:r w:rsidRPr="00CC73F3">
        <w:tab/>
        <w:t>Given the potential challenges associated with managing cocreation, understanding teams’ cognitive limitations may add unique insight into how firms successfully manage cocreation. These limitations might keep development teams from recognizing and pursuing ideas that have the greatest potential to be successful in the marketplace. Ideally, cocreation decision makers in firms should be cognitively flexible enough to consider new ideas without being overwhelmed by immense quantities of data, or slowed down to the point of losing the ability to be agile in the implementation of promising innovation concepts.</w:t>
      </w:r>
    </w:p>
    <w:p w:rsidR="00070FC5" w:rsidRPr="00CC73F3" w:rsidRDefault="00070FC5" w:rsidP="00D639F5">
      <w:pPr>
        <w:spacing w:line="480" w:lineRule="auto"/>
        <w:rPr>
          <w:b/>
        </w:rPr>
      </w:pPr>
    </w:p>
    <w:p w:rsidR="00070FC5" w:rsidRPr="00CC73F3" w:rsidRDefault="00070FC5" w:rsidP="00D639F5">
      <w:pPr>
        <w:pStyle w:val="Heading2"/>
      </w:pPr>
      <w:bookmarkStart w:id="7" w:name="_Toc420572546"/>
      <w:r w:rsidRPr="00CC73F3">
        <w:t>Research Questions</w:t>
      </w:r>
      <w:bookmarkEnd w:id="7"/>
    </w:p>
    <w:p w:rsidR="00070FC5" w:rsidRPr="00CC73F3" w:rsidRDefault="00070FC5" w:rsidP="00D639F5">
      <w:pPr>
        <w:spacing w:line="480" w:lineRule="auto"/>
      </w:pPr>
      <w:r w:rsidRPr="00CC73F3">
        <w:tab/>
        <w:t xml:space="preserve">This dissertation focuses on the cognitive factors that drive successful development team decisions about customer-generated ideas for new products. Given the challenging nature of interpretation, selection, and perceived ease of implementation that product development teams face in the cocreation process, examining this phenomenon from a group cognition perspective may yield insights into how successful firms manage the process of customer-cocreated innovation. </w:t>
      </w:r>
    </w:p>
    <w:p w:rsidR="00070FC5" w:rsidRPr="00CC73F3" w:rsidRDefault="00070FC5" w:rsidP="00D639F5">
      <w:pPr>
        <w:spacing w:line="480" w:lineRule="auto"/>
      </w:pPr>
    </w:p>
    <w:p w:rsidR="00070FC5" w:rsidRPr="00CC73F3" w:rsidRDefault="00070FC5" w:rsidP="00D639F5">
      <w:pPr>
        <w:spacing w:line="480" w:lineRule="auto"/>
      </w:pPr>
      <w:r w:rsidRPr="00CC73F3">
        <w:t>Specifically, this dissertation addresses the following research questions:</w:t>
      </w:r>
    </w:p>
    <w:p w:rsidR="00070FC5" w:rsidRPr="00CC73F3" w:rsidRDefault="00070FC5" w:rsidP="00D639F5">
      <w:pPr>
        <w:pStyle w:val="ListParagraph"/>
        <w:numPr>
          <w:ilvl w:val="0"/>
          <w:numId w:val="12"/>
        </w:numPr>
        <w:ind w:left="360"/>
      </w:pPr>
      <w:r w:rsidRPr="00CC73F3">
        <w:t>How do team regulatory focus and reflexivity influence the skill of NPD teams in evaluating and selecting customer-generated new product ideas?</w:t>
      </w:r>
    </w:p>
    <w:p w:rsidR="00070FC5" w:rsidRPr="00CC73F3" w:rsidRDefault="00070FC5" w:rsidP="00D639F5">
      <w:pPr>
        <w:pStyle w:val="ListParagraph"/>
        <w:numPr>
          <w:ilvl w:val="0"/>
          <w:numId w:val="12"/>
        </w:numPr>
        <w:ind w:left="360"/>
      </w:pPr>
      <w:r w:rsidRPr="00CC73F3">
        <w:t>How do the characteristics of customers who submit ideas moderate those relationships?</w:t>
      </w:r>
    </w:p>
    <w:p w:rsidR="00070FC5" w:rsidRPr="00CC73F3" w:rsidRDefault="00070FC5" w:rsidP="00D639F5">
      <w:pPr>
        <w:pStyle w:val="ListParagraph"/>
        <w:numPr>
          <w:ilvl w:val="0"/>
          <w:numId w:val="12"/>
        </w:numPr>
        <w:ind w:left="360"/>
      </w:pPr>
      <w:r w:rsidRPr="00CC73F3">
        <w:t>How do the characteristics of customer-inventors moderate those relationships?</w:t>
      </w:r>
    </w:p>
    <w:p w:rsidR="00070FC5" w:rsidRPr="00CC73F3" w:rsidRDefault="00070FC5" w:rsidP="00D639F5">
      <w:pPr>
        <w:spacing w:line="480" w:lineRule="auto"/>
        <w:rPr>
          <w:b/>
        </w:rPr>
      </w:pPr>
    </w:p>
    <w:p w:rsidR="00070FC5" w:rsidRPr="00CC73F3" w:rsidRDefault="00070FC5" w:rsidP="00D639F5">
      <w:pPr>
        <w:pStyle w:val="Heading2"/>
      </w:pPr>
      <w:bookmarkStart w:id="8" w:name="_Toc420572547"/>
      <w:r w:rsidRPr="00CC73F3">
        <w:t>Contribution to Theory</w:t>
      </w:r>
      <w:bookmarkEnd w:id="8"/>
    </w:p>
    <w:p w:rsidR="00070FC5" w:rsidRPr="00CC73F3" w:rsidRDefault="00070FC5" w:rsidP="00D639F5">
      <w:pPr>
        <w:spacing w:line="480" w:lineRule="auto"/>
      </w:pPr>
      <w:r w:rsidRPr="00CC73F3">
        <w:tab/>
        <w:t xml:space="preserve">By exploring the topic of how firms manage cocreation though an organizational behavior lens, this dissertation contributes to the theoretical understanding of how teams process and make decisions about customer cocreated ideas for new products. Previous literature has argued for the benefits of customer cocreation for firms </w:t>
      </w:r>
      <w:r w:rsidRPr="00CC73F3">
        <w:rPr>
          <w:noProof/>
        </w:rPr>
        <w:t>(Hoyer et al., 2010)</w:t>
      </w:r>
      <w:r w:rsidRPr="00CC73F3">
        <w:t xml:space="preserve">. However, little, if any, research has investigated the decision-making process of how firms review, select, and develop customer ideas for new products. Additionally, there have been several recent calls in the marketing literature to investigate marketing phenomena and innovation practices through the lens of organizational behavior and organizational psychology </w:t>
      </w:r>
      <w:r w:rsidRPr="00CC73F3">
        <w:rPr>
          <w:noProof/>
        </w:rPr>
        <w:t>(Hauser, Tellis, &amp; Griffin, 2006; Marketing Science Institute, 2014)</w:t>
      </w:r>
      <w:r w:rsidRPr="00CC73F3">
        <w:t>.</w:t>
      </w:r>
    </w:p>
    <w:p w:rsidR="00070FC5" w:rsidRPr="00CC73F3" w:rsidRDefault="00070FC5" w:rsidP="00D639F5">
      <w:pPr>
        <w:spacing w:line="480" w:lineRule="auto"/>
      </w:pPr>
    </w:p>
    <w:p w:rsidR="00070FC5" w:rsidRPr="00CC73F3" w:rsidRDefault="00070FC5" w:rsidP="00D639F5">
      <w:pPr>
        <w:spacing w:line="480" w:lineRule="auto"/>
      </w:pPr>
      <w:r w:rsidRPr="00CC73F3">
        <w:t>Specifically, this dissertation makes the following contributions:</w:t>
      </w:r>
    </w:p>
    <w:p w:rsidR="00070FC5" w:rsidRPr="00CC73F3" w:rsidRDefault="00070FC5" w:rsidP="00D639F5">
      <w:pPr>
        <w:pStyle w:val="ListParagraph"/>
        <w:numPr>
          <w:ilvl w:val="0"/>
          <w:numId w:val="10"/>
        </w:numPr>
      </w:pPr>
      <w:r w:rsidRPr="00CC73F3">
        <w:t xml:space="preserve">Past research has primarily adopted a customer-centric perspective to studying cocreation, or looked only at high-level benefits firms may accrue from cocreating new products with customers. This paper is among the first to shed light on the “black box” that exists in our understanding of the phenomenon of cocreation between involving customers in product development and new product success. </w:t>
      </w:r>
    </w:p>
    <w:p w:rsidR="00070FC5" w:rsidRPr="00CC73F3" w:rsidRDefault="00070FC5" w:rsidP="00D639F5">
      <w:pPr>
        <w:pStyle w:val="ListParagraph"/>
        <w:numPr>
          <w:ilvl w:val="0"/>
          <w:numId w:val="10"/>
        </w:numPr>
      </w:pPr>
      <w:r w:rsidRPr="00CC73F3">
        <w:t xml:space="preserve">Past research applying regulatory style in innovation has explored this topic in the context of new products and services developed in-house, but not in the more complex evaluation situation of cocreation. This research explores how regulatory </w:t>
      </w:r>
      <w:proofErr w:type="gramStart"/>
      <w:r w:rsidRPr="00CC73F3">
        <w:t>style influences evaluation and selection</w:t>
      </w:r>
      <w:proofErr w:type="gramEnd"/>
      <w:r w:rsidRPr="00CC73F3">
        <w:t xml:space="preserve"> when ideas come from outside the firm, which creates a more complex decision environment for firms. </w:t>
      </w:r>
    </w:p>
    <w:p w:rsidR="00070FC5" w:rsidRPr="00CC73F3" w:rsidRDefault="00070FC5" w:rsidP="00D639F5">
      <w:pPr>
        <w:pStyle w:val="ListParagraph"/>
        <w:numPr>
          <w:ilvl w:val="0"/>
          <w:numId w:val="10"/>
        </w:numPr>
      </w:pPr>
      <w:r w:rsidRPr="00CC73F3">
        <w:t xml:space="preserve">This research explores how reflexivity assists new product development teams in the cocreation of innovation, as well as how reflexivity interacts with a prevention or promotion regulatory style to influence how skillful teams are in selection customers’ ideas for new products. </w:t>
      </w:r>
    </w:p>
    <w:p w:rsidR="00070FC5" w:rsidRPr="00CC73F3" w:rsidRDefault="00070FC5" w:rsidP="00D639F5">
      <w:pPr>
        <w:pStyle w:val="ListParagraph"/>
        <w:numPr>
          <w:ilvl w:val="0"/>
          <w:numId w:val="10"/>
        </w:numPr>
      </w:pPr>
      <w:r w:rsidRPr="00CC73F3">
        <w:t>Pursuant to a research priority put forth by the Marketing Science Institute (2014), this research adopts theories from organizational psychology to help explain how firms adapt to changing markets through cocreation activities and the cognitive orientations firms need to successfully manage the cocreation of new products.</w:t>
      </w:r>
    </w:p>
    <w:p w:rsidR="00070FC5" w:rsidRPr="00CC73F3" w:rsidRDefault="00070FC5" w:rsidP="00D639F5">
      <w:pPr>
        <w:pStyle w:val="ListParagraph"/>
      </w:pPr>
    </w:p>
    <w:p w:rsidR="00070FC5" w:rsidRPr="00CC73F3" w:rsidRDefault="00070FC5" w:rsidP="00D639F5">
      <w:pPr>
        <w:pStyle w:val="Heading2"/>
      </w:pPr>
      <w:bookmarkStart w:id="9" w:name="_Toc420572548"/>
      <w:r w:rsidRPr="00CC73F3">
        <w:t>Contribution to Practice</w:t>
      </w:r>
      <w:bookmarkEnd w:id="9"/>
    </w:p>
    <w:p w:rsidR="00070FC5" w:rsidRPr="00CC73F3" w:rsidRDefault="00070FC5" w:rsidP="00D639F5">
      <w:pPr>
        <w:spacing w:line="480" w:lineRule="auto"/>
      </w:pPr>
      <w:r w:rsidRPr="00CC73F3">
        <w:tab/>
        <w:t>This program of research also offers several contributions to practice. In a general sense, this research offers practical guidance for implementing a cocreation of innovation strategy with customers. Given the skepticism expressed by the CEO of TopCoder (Singh, 2014), developing the capability to effectively manage and incorporate customers into the innovation process may be an increasingly important source of competitive advantage for firms. This dissertation contends that firms that can innovate with customers successfully will be those that effectively manage the process and have the flexibility to avoid using a one-size-fits-all approach to cocreation initiatives. Specifically, this dissertation offers the following insights for the practice of managing cocreation:</w:t>
      </w:r>
    </w:p>
    <w:p w:rsidR="00070FC5" w:rsidRPr="00CC73F3" w:rsidRDefault="00070FC5" w:rsidP="00D639F5">
      <w:pPr>
        <w:pStyle w:val="ListParagraph"/>
        <w:numPr>
          <w:ilvl w:val="0"/>
          <w:numId w:val="11"/>
        </w:numPr>
      </w:pPr>
      <w:r w:rsidRPr="00CC73F3">
        <w:t>This study offers insight into whether teams should be structured as prevention-oriented or promotion-oriented to optimize teams’ ability to accurately identify “winners” and “losers” in the cocreation of innovation.</w:t>
      </w:r>
    </w:p>
    <w:p w:rsidR="00070FC5" w:rsidRPr="00CC73F3" w:rsidRDefault="00070FC5" w:rsidP="00D639F5">
      <w:pPr>
        <w:pStyle w:val="ListParagraph"/>
        <w:numPr>
          <w:ilvl w:val="0"/>
          <w:numId w:val="11"/>
        </w:numPr>
      </w:pPr>
      <w:r w:rsidRPr="00CC73F3">
        <w:t>This study offers insight into the factors that moderate the relationships between a prevention or promotion orientation and NPD team skill in assessing customers’ new product concepts.</w:t>
      </w:r>
    </w:p>
    <w:p w:rsidR="00070FC5" w:rsidRPr="00CC73F3" w:rsidRDefault="00070FC5" w:rsidP="00D639F5">
      <w:pPr>
        <w:pStyle w:val="ListParagraph"/>
        <w:numPr>
          <w:ilvl w:val="0"/>
          <w:numId w:val="11"/>
        </w:numPr>
      </w:pPr>
      <w:r w:rsidRPr="00CC73F3">
        <w:t>This study offers insight into the degree to which NPD teams should adopt deliberate, reflective practices in their assessment of customer ideas, as opposed to relying on routine or standardized decision-making processes.</w:t>
      </w:r>
    </w:p>
    <w:p w:rsidR="00070FC5" w:rsidRPr="00CC73F3" w:rsidRDefault="00070FC5" w:rsidP="00D639F5">
      <w:pPr>
        <w:pStyle w:val="ListParagraph"/>
      </w:pPr>
    </w:p>
    <w:p w:rsidR="00070FC5" w:rsidRPr="00CC73F3" w:rsidRDefault="00070FC5" w:rsidP="00D639F5">
      <w:pPr>
        <w:pStyle w:val="Heading2"/>
      </w:pPr>
      <w:bookmarkStart w:id="10" w:name="_Toc420572549"/>
      <w:r w:rsidRPr="00CC73F3">
        <w:t>Theoretical Background</w:t>
      </w:r>
      <w:bookmarkEnd w:id="10"/>
    </w:p>
    <w:p w:rsidR="00070FC5" w:rsidRPr="00CC73F3" w:rsidRDefault="00070FC5" w:rsidP="00D639F5">
      <w:pPr>
        <w:pStyle w:val="Heading3"/>
      </w:pPr>
    </w:p>
    <w:p w:rsidR="00070FC5" w:rsidRPr="00CC73F3" w:rsidRDefault="00070FC5" w:rsidP="00D639F5">
      <w:pPr>
        <w:pStyle w:val="Heading3"/>
      </w:pPr>
      <w:bookmarkStart w:id="11" w:name="_Toc420572550"/>
      <w:proofErr w:type="gramStart"/>
      <w:r w:rsidRPr="00CC73F3">
        <w:t>Group Cognition and Decision-Making in Innovation Teams.</w:t>
      </w:r>
      <w:bookmarkEnd w:id="11"/>
      <w:proofErr w:type="gramEnd"/>
    </w:p>
    <w:p w:rsidR="00070FC5" w:rsidRPr="00CC73F3" w:rsidRDefault="00070FC5" w:rsidP="00D639F5">
      <w:pPr>
        <w:spacing w:line="480" w:lineRule="auto"/>
      </w:pPr>
      <w:r w:rsidRPr="00CC73F3">
        <w:tab/>
        <w:t>In the strategic management literature (e.g</w:t>
      </w:r>
      <w:r w:rsidR="00D639F5" w:rsidRPr="00CC73F3">
        <w:t xml:space="preserve">., </w:t>
      </w:r>
      <w:r w:rsidRPr="00CC73F3">
        <w:rPr>
          <w:noProof/>
        </w:rPr>
        <w:t>Barr, Stimpert, &amp; Huff, 1992; Reger &amp; Huff, 1993; Schwenk, 1988)</w:t>
      </w:r>
      <w:r w:rsidRPr="00CC73F3">
        <w:t xml:space="preserve">, social cognition has been a lens through which scholars have studied strategic decision-making. In the innovation literature, cognitive variables have been used to examine how new product development managers use evaluation criteria, consider latent customer needs, and whether or not development teams use democratic leadership styles to make decisions about potential new products </w:t>
      </w:r>
      <w:r w:rsidRPr="00CC73F3">
        <w:rPr>
          <w:noProof/>
        </w:rPr>
        <w:t>(McNally, Durmusoglu, Calantone, &amp; Harmancioglu, 2009)</w:t>
      </w:r>
      <w:r w:rsidRPr="00CC73F3">
        <w:t xml:space="preserve">, as well as the degree to which managers pursued risky development projects </w:t>
      </w:r>
      <w:r w:rsidRPr="00CC73F3">
        <w:rPr>
          <w:noProof/>
        </w:rPr>
        <w:t>(Mullins, Forlani, &amp; Walker, 1999)</w:t>
      </w:r>
      <w:r w:rsidRPr="00CC73F3">
        <w:t>. McNally et al. (2009) argue that the psychological forces within organizations and teams is a key component to understanding how managers interpret and make successful decisions about innovation strategy and new product development.</w:t>
      </w:r>
    </w:p>
    <w:p w:rsidR="00070FC5" w:rsidRPr="00CC73F3" w:rsidRDefault="00070FC5" w:rsidP="00D639F5">
      <w:pPr>
        <w:spacing w:line="480" w:lineRule="auto"/>
      </w:pPr>
      <w:r w:rsidRPr="00CC73F3">
        <w:tab/>
        <w:t xml:space="preserve">In a cocreation decision-making context, teams may face considerable cognitive complexity in making skillful evaluations about customers’ ideas. Development teams have to consider whether or not a given product idea would meet unmet market needs in parallel with considering what their firm can profitably commercialize. Customers have been shown to be adept at developing highly novel ideas that are attractive to a broader base of consumers. However, in the process of generating product concepts they tend to focus almost exclusively on meeting their unmet needs (Poetz &amp; Schreier, 2012) to the exclusion of the profit potential of their ideas.  Further, as noted by Bayus (2013) customer ideas are often vague, immature, or under-elaborated, which may require substantial effort by firms to evaluate whether or not an idea has latent potential. Firm decision-makers must often balance evaluating under-elaborated, ideas that may be difficult to implement, and ideas were not created explicitly with profit-making potential in mind. Given this complexity, cognitive flexibility, or the ability to simultaneously think across multiple knowledge domains is an important characteristic of teams that can skillfully make decisions in the cocreation of innovation. Cognitive flexibility has been shown to be related superior opportunity detection, the ability to think across multiple knowledge domains, and the ability to engage in engage in the deliberate processing of information when making decisions </w:t>
      </w:r>
      <w:r w:rsidRPr="00CC73F3">
        <w:rPr>
          <w:noProof/>
        </w:rPr>
        <w:t>(Laureiro-Martínez, Brusoni, &amp; Zollo, 2009; Louis &amp; Sutton, 1991)</w:t>
      </w:r>
      <w:r w:rsidRPr="00CC73F3">
        <w:t xml:space="preserve">. </w:t>
      </w:r>
    </w:p>
    <w:p w:rsidR="00070FC5" w:rsidRPr="00CC73F3" w:rsidRDefault="00070FC5" w:rsidP="00D639F5">
      <w:pPr>
        <w:spacing w:line="480" w:lineRule="auto"/>
      </w:pPr>
      <w:r w:rsidRPr="00CC73F3">
        <w:tab/>
        <w:t xml:space="preserve">At the group level of analysis two theories related to cognitive flexibility, regulatory style and group </w:t>
      </w:r>
      <w:proofErr w:type="gramStart"/>
      <w:r w:rsidRPr="00CC73F3">
        <w:t>reflexivity,</w:t>
      </w:r>
      <w:proofErr w:type="gramEnd"/>
      <w:r w:rsidRPr="00CC73F3">
        <w:t xml:space="preserve"> are particularly relevant to the study of evaluation and selection in a complex decision environment that exists in the cocreation of innovation.  Examining these variables offers specific insight into how development teams balance the double-edged sword of the cocreation of innovation, choosing products that both create value for customers </w:t>
      </w:r>
      <w:r w:rsidRPr="00CC73F3">
        <w:rPr>
          <w:i/>
        </w:rPr>
        <w:t>and</w:t>
      </w:r>
      <w:r w:rsidRPr="00CC73F3">
        <w:t xml:space="preserve"> capture value for firms.</w:t>
      </w:r>
    </w:p>
    <w:p w:rsidR="00070FC5" w:rsidRPr="00CC73F3" w:rsidRDefault="00070FC5" w:rsidP="00D639F5">
      <w:pPr>
        <w:spacing w:line="480" w:lineRule="auto"/>
      </w:pPr>
      <w:r w:rsidRPr="00CC73F3">
        <w:tab/>
        <w:t xml:space="preserve">Regulatory style, the pursuit of achievement versus the avoidance of negative outcomes, is associated with how broad or narrow the search efforts are, and what signals innovation organizations look for to indicate whether a product idea will be successful (Baron, 2004). It is also related to whether or not development teams look toward new product opportunities through the lens of achieving market success or avoiding market failure. Reflexivity, or the degree to which teams intentionally reflect on their knowledge and decision-making process, is associated with how flexible teams are in the process of selecting customer ideas and in the pursuit of cocreation-related goals </w:t>
      </w:r>
      <w:r w:rsidRPr="00CC73F3">
        <w:rPr>
          <w:noProof/>
        </w:rPr>
        <w:t>(Gurtner, Tschan, Semmer, &amp; Nägele, 2007; Hoegl &amp; Parboteeah, 2006)</w:t>
      </w:r>
      <w:r w:rsidRPr="00CC73F3">
        <w:t>.</w:t>
      </w:r>
    </w:p>
    <w:p w:rsidR="00070FC5" w:rsidRPr="00CC73F3" w:rsidRDefault="00070FC5" w:rsidP="00D639F5">
      <w:pPr>
        <w:spacing w:line="480" w:lineRule="auto"/>
      </w:pPr>
      <w:r w:rsidRPr="00CC73F3">
        <w:tab/>
        <w:t>Figure 1.1 shows the conceptual model for this research. In this model, a development team’s level of reflexivity (depth of information processing about decision processes and shared knowledge) and regulatory style (prevention or promotion) influences the team’s ability to successfully identify innovative ideas from customers and to filter out ideas that have little market promise. The moderators shown, discussed further in subsequent chapters of this dissertation, represent contextual factors related to cocreation inputs and firm innovation context which may influence the relationships between team regulatory style or reflexivity and group decision-making outcomes.</w:t>
      </w:r>
    </w:p>
    <w:p w:rsidR="00070FC5" w:rsidRPr="00CC73F3" w:rsidRDefault="00070FC5" w:rsidP="00D639F5">
      <w:pPr>
        <w:pStyle w:val="Heading3"/>
      </w:pPr>
      <w:bookmarkStart w:id="12" w:name="_Toc420572551"/>
      <w:proofErr w:type="gramStart"/>
      <w:r w:rsidRPr="00CC73F3">
        <w:t>Regulatory Focus in Innovation Teams.</w:t>
      </w:r>
      <w:bookmarkEnd w:id="12"/>
      <w:proofErr w:type="gramEnd"/>
    </w:p>
    <w:p w:rsidR="00070FC5" w:rsidRPr="00CC73F3" w:rsidRDefault="00070FC5" w:rsidP="00D639F5">
      <w:pPr>
        <w:spacing w:line="480" w:lineRule="auto"/>
      </w:pPr>
      <w:r w:rsidRPr="00CC73F3">
        <w:tab/>
        <w:t xml:space="preserve">Regulatory Focus Theory (RFT) is a theory of human motivation that explains decision-making and goal pursuit based on two self-regulation types – a prevention or promotion orientation </w:t>
      </w:r>
      <w:r w:rsidRPr="00CC73F3">
        <w:rPr>
          <w:noProof/>
        </w:rPr>
        <w:t>(Crowe &amp; Higgins, 1997; Higgins, 1998)</w:t>
      </w:r>
      <w:r w:rsidRPr="00CC73F3">
        <w:t>. According to this theory, people make decisions using a promotion orientation when their primary focus is on pursuing gain, advancement, and accomplishment.</w:t>
      </w:r>
    </w:p>
    <w:p w:rsidR="00070FC5" w:rsidRPr="00CC73F3" w:rsidRDefault="007E2E0A" w:rsidP="00D639F5">
      <w:pPr>
        <w:spacing w:line="480" w:lineRule="auto"/>
        <w:jc w:val="center"/>
        <w:rPr>
          <w:noProof/>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68pt;height:267pt;visibility:visible">
            <v:imagedata r:id="rId10" o:title=""/>
          </v:shape>
        </w:pict>
      </w:r>
    </w:p>
    <w:p w:rsidR="00070FC5" w:rsidRPr="00CC73F3" w:rsidRDefault="00070FC5" w:rsidP="00D639F5">
      <w:pPr>
        <w:pStyle w:val="Caption"/>
      </w:pPr>
      <w:bookmarkStart w:id="13" w:name="_Toc420524231"/>
      <w:r w:rsidRPr="00CC73F3">
        <w:t xml:space="preserve">Figure </w:t>
      </w:r>
      <w:fldSimple w:instr=" SEQ Figure \* ARABIC ">
        <w:r w:rsidRPr="00CC73F3">
          <w:rPr>
            <w:noProof/>
          </w:rPr>
          <w:t>1</w:t>
        </w:r>
      </w:fldSimple>
      <w:r w:rsidRPr="00CC73F3">
        <w:t xml:space="preserve"> Conceptual Model</w:t>
      </w:r>
      <w:bookmarkEnd w:id="13"/>
    </w:p>
    <w:p w:rsidR="00070FC5" w:rsidRPr="00CC73F3" w:rsidRDefault="00070FC5" w:rsidP="00D639F5">
      <w:pPr>
        <w:spacing w:line="480" w:lineRule="auto"/>
        <w:rPr>
          <w:b/>
        </w:rPr>
      </w:pPr>
    </w:p>
    <w:p w:rsidR="00070FC5" w:rsidRPr="00CC73F3" w:rsidRDefault="00070FC5" w:rsidP="00D639F5">
      <w:pPr>
        <w:spacing w:line="480" w:lineRule="auto"/>
      </w:pPr>
      <w:r w:rsidRPr="00CC73F3">
        <w:t xml:space="preserve">A prevention orientation occurs when people pursue goals by avoiding losses. Individuals with a chronic promotion focus are more creative in problem-solving, more sensitive to the presence or absence of rewards, more risk-tolerant, and more concerned with accomplishments and aspirations. Conversely, prevention-focused individuals are more sensitive to the absence or presence of punishments, and are more concerned with duties, safety, and obligations </w:t>
      </w:r>
      <w:r w:rsidRPr="00CC73F3">
        <w:rPr>
          <w:noProof/>
        </w:rPr>
        <w:t>(Brockner, Higgins, &amp; Low, 2004; Crowe &amp; Higgins, 1997; Friedman &amp; Förster, 2001; Kark &amp; Van Dijk, 2007)</w:t>
      </w:r>
      <w:r w:rsidRPr="00CC73F3">
        <w:t>.</w:t>
      </w:r>
    </w:p>
    <w:p w:rsidR="00070FC5" w:rsidRPr="00CC73F3" w:rsidRDefault="00070FC5" w:rsidP="00D639F5">
      <w:pPr>
        <w:spacing w:line="480" w:lineRule="auto"/>
      </w:pPr>
      <w:r w:rsidRPr="00CC73F3">
        <w:tab/>
        <w:t xml:space="preserve">Regulatory focus has been shown to be a chronic individual predisposition (i.e., some people have a natural tendency toward prevention or promotion), but can also be situationally dependent. Individuals may use both orientations at different times in the pursuit of goals </w:t>
      </w:r>
      <w:r w:rsidRPr="00CC73F3">
        <w:rPr>
          <w:noProof/>
        </w:rPr>
        <w:t>(Crowe &amp; Higgins, 1997; Higgins, 1998)</w:t>
      </w:r>
      <w:r w:rsidRPr="00CC73F3">
        <w:t xml:space="preserve">.  Support for regulatory focus can also be found by examining physiological evidence, as measured by EEG scans. Individuals with a chronic prevention focus show more right frontal lobe activity, while individuals with a chronic promotion focus show more left frontal lobe activity </w:t>
      </w:r>
      <w:r w:rsidRPr="00CC73F3">
        <w:rPr>
          <w:noProof/>
        </w:rPr>
        <w:t>(Kark &amp; Van Dijk, 2007; Shah, Higgins, &amp; Friedman, 1998)</w:t>
      </w:r>
      <w:r w:rsidRPr="00CC73F3">
        <w:t>.</w:t>
      </w:r>
    </w:p>
    <w:p w:rsidR="00070FC5" w:rsidRPr="00CC73F3" w:rsidRDefault="00070FC5" w:rsidP="00D639F5">
      <w:pPr>
        <w:spacing w:line="480" w:lineRule="auto"/>
      </w:pPr>
      <w:r w:rsidRPr="00CC73F3">
        <w:tab/>
        <w:t xml:space="preserve">Regulatory focus also has been demonstrated empirically in </w:t>
      </w:r>
      <w:r w:rsidRPr="00CC73F3">
        <w:rPr>
          <w:i/>
        </w:rPr>
        <w:t>group-level</w:t>
      </w:r>
      <w:r w:rsidRPr="00CC73F3">
        <w:t xml:space="preserve"> decision making. </w:t>
      </w:r>
      <w:r w:rsidRPr="00CC73F3">
        <w:rPr>
          <w:noProof/>
        </w:rPr>
        <w:t>Levine, Higgins, and Choi (2000)</w:t>
      </w:r>
      <w:r w:rsidRPr="00CC73F3">
        <w:t xml:space="preserve"> conducted an experiment in three-person groups and found evidence that group members’ responses converged on either a prevention or promotion orientation, even when individuals’ chronic orientations were opposite that of the group. In studies relating to RFT in a business environment, regulatory focus has been posited to influence how successful entrepreneurs, investors, and innovation-focused teams are in interpreting and responding to the business environment (Baron, 2004; Brockner et al., 2004; Florack and Hartmann, 2007). Innovation researchers have posited that RFT might explain how development teams make decisions, although the vast majority of the papers using RFT in innovation contexts have not tested their assertions empirically.</w:t>
      </w:r>
    </w:p>
    <w:p w:rsidR="00070FC5" w:rsidRPr="00CC73F3" w:rsidRDefault="00070FC5" w:rsidP="00D639F5">
      <w:pPr>
        <w:spacing w:line="480" w:lineRule="auto"/>
      </w:pPr>
      <w:r w:rsidRPr="00CC73F3">
        <w:tab/>
        <w:t>From a broad perspective, regulatory focus represents two conflicting, but necessary human motivations: a preference for change (promotion) and a preference for stability (prevention) (Kark and Van Dijk, 2007). In an organizational context, these motivations exist as motivations to create value through exploration, innovation, and creative thinking, and the motivation to capture value through exploitation, routinization, and cost reduction.</w:t>
      </w:r>
    </w:p>
    <w:p w:rsidR="00070FC5" w:rsidRPr="00CC73F3" w:rsidRDefault="00070FC5" w:rsidP="00D639F5">
      <w:pPr>
        <w:spacing w:line="480" w:lineRule="auto"/>
        <w:rPr>
          <w:b/>
        </w:rPr>
      </w:pPr>
    </w:p>
    <w:p w:rsidR="00070FC5" w:rsidRPr="00CC73F3" w:rsidRDefault="00070FC5" w:rsidP="00D639F5">
      <w:pPr>
        <w:pStyle w:val="Heading3"/>
      </w:pPr>
      <w:bookmarkStart w:id="14" w:name="_Toc420572552"/>
      <w:proofErr w:type="gramStart"/>
      <w:r w:rsidRPr="00CC73F3">
        <w:t>Reflexivity in Innovation Teams.</w:t>
      </w:r>
      <w:bookmarkEnd w:id="14"/>
      <w:proofErr w:type="gramEnd"/>
    </w:p>
    <w:p w:rsidR="00070FC5" w:rsidRPr="00CC73F3" w:rsidRDefault="00070FC5" w:rsidP="00D639F5">
      <w:pPr>
        <w:spacing w:line="480" w:lineRule="auto"/>
      </w:pPr>
      <w:r w:rsidRPr="00CC73F3">
        <w:tab/>
        <w:t>Another cognitive component which may influence how innovation teams filter and select the best ideas from customers is the concept of reflexivity. Reflexivity is defined as “the extent to which team members overtly reflect upon the group’s objectives, strategies, and processes and adapt them to current or anticipated endogenous or environmental circumstances” (West 1996, p. 559). In the context of this study, reflexivity is the degree to which development teams actively reflect on their collective knowledge as they pursue the successful launch of a new product.</w:t>
      </w:r>
    </w:p>
    <w:p w:rsidR="00070FC5" w:rsidRPr="00CC73F3" w:rsidRDefault="00070FC5" w:rsidP="00D639F5">
      <w:pPr>
        <w:spacing w:line="480" w:lineRule="auto"/>
      </w:pPr>
      <w:r w:rsidRPr="00CC73F3">
        <w:tab/>
        <w:t xml:space="preserve">In team decision-making, reflexivity has been shown to increase team learning and team performance </w:t>
      </w:r>
      <w:r w:rsidRPr="00CC73F3">
        <w:rPr>
          <w:noProof/>
        </w:rPr>
        <w:t>(DeDreu, 2002; Gurtner et al., 2007)</w:t>
      </w:r>
      <w:r w:rsidRPr="00CC73F3">
        <w:t>. By increasing communication quality and creating shared mental models among team members, reflexivity is argued to enhance performance outcomes of group decisions. This relationship is driven by the ability of groups to shift strategies mid-project, if needed, to attain desired outcomes (Gurtner et al. 2007).</w:t>
      </w:r>
    </w:p>
    <w:p w:rsidR="00070FC5" w:rsidRPr="00CC73F3" w:rsidRDefault="00070FC5" w:rsidP="00D639F5">
      <w:pPr>
        <w:spacing w:line="480" w:lineRule="auto"/>
      </w:pPr>
      <w:r w:rsidRPr="00CC73F3">
        <w:tab/>
        <w:t>For innovation teams, reflexivity may be positively associated with the quality of new products. Hoegl and Parboteeah (2006) found in a cross sectional study that innovation teams developing in-house projects that had high levels of reflexivity developed higher quality projects, but that reflexivity was not positively associated with teams finishing projects on time and within budget.</w:t>
      </w:r>
    </w:p>
    <w:p w:rsidR="00070FC5" w:rsidRPr="00CC73F3" w:rsidRDefault="00070FC5" w:rsidP="00D639F5">
      <w:pPr>
        <w:spacing w:line="480" w:lineRule="auto"/>
      </w:pPr>
      <w:r w:rsidRPr="00CC73F3">
        <w:tab/>
        <w:t>The literature on reflexivity suggests both benefits and drawbacks of team reflexivity. It may be beneficial for teams by improving their ability to consider a wide range of alternatives and engage in more creative problem-solving, aspects related to value creation. On the other hand, team reflexivity may incur additional costs or cause delays in development times, thus reducing the level of value capture attained by development teams. However, when considering the development efforts of teams managing customer cocreation, high reflexivity may be desirable. Because of its association with greater cognitive flexibility (Gurtner et al. 2007), reflexivity may be necessary for innovation teams to be able to act on ideas from customers that are highly novel and satisfy unmet customer needs, but may need adaptation or adjustment to be profitably implemented. Decision teams with high levels of reflexivity may consider developing additional capabilities for particularly promising ideas, or refining the scope of the project to accommodate ideas with high market and commercialization potential, even if they fall outside of the original project scope.</w:t>
      </w:r>
    </w:p>
    <w:p w:rsidR="00070FC5" w:rsidRPr="00CC73F3" w:rsidRDefault="00070FC5" w:rsidP="00D639F5">
      <w:pPr>
        <w:spacing w:line="480" w:lineRule="auto"/>
        <w:rPr>
          <w:b/>
        </w:rPr>
      </w:pPr>
    </w:p>
    <w:p w:rsidR="00070FC5" w:rsidRPr="00CC73F3" w:rsidRDefault="00070FC5" w:rsidP="00D639F5">
      <w:pPr>
        <w:pStyle w:val="Heading2"/>
      </w:pPr>
      <w:bookmarkStart w:id="15" w:name="_Toc420572553"/>
      <w:r w:rsidRPr="00CC73F3">
        <w:t>Dissertation Organization</w:t>
      </w:r>
      <w:bookmarkEnd w:id="15"/>
    </w:p>
    <w:p w:rsidR="00070FC5" w:rsidRPr="00CC73F3" w:rsidRDefault="00070FC5" w:rsidP="00D639F5">
      <w:pPr>
        <w:spacing w:line="480" w:lineRule="auto"/>
      </w:pPr>
      <w:r w:rsidRPr="00CC73F3">
        <w:tab/>
        <w:t>The rest of this dissertation proceeds as follows. Chapter 2 includes an in-depth review of the literature on user innovation and group cognition, and hypothesis development for studies 1, 2, and 3. Chapter 3 describes the methodology, measurement approach, and analysis used in each study. Chapter 4 describes the results of the data analysis for each study. Chapter 5 includes a discussion of the findings, including implications for theory and practice, limitations, and future research directions, as well as remarks that conclude the dissertation.</w:t>
      </w:r>
    </w:p>
    <w:p w:rsidR="00070FC5" w:rsidRPr="00CC73F3" w:rsidRDefault="00070FC5" w:rsidP="00D639F5">
      <w:pPr>
        <w:pStyle w:val="Heading3"/>
      </w:pPr>
    </w:p>
    <w:p w:rsidR="00070FC5" w:rsidRPr="00CC73F3" w:rsidRDefault="00070FC5" w:rsidP="00D639F5">
      <w:pPr>
        <w:pStyle w:val="Heading1"/>
      </w:pPr>
      <w:r w:rsidRPr="00CC73F3">
        <w:br w:type="page"/>
      </w:r>
      <w:bookmarkStart w:id="16" w:name="_Toc420572554"/>
      <w:r w:rsidRPr="00CC73F3">
        <w:t xml:space="preserve">Chapter 2 </w:t>
      </w:r>
      <w:r w:rsidRPr="00CC73F3">
        <w:br/>
        <w:t>Literature Review</w:t>
      </w:r>
      <w:bookmarkEnd w:id="16"/>
    </w:p>
    <w:p w:rsidR="00070FC5" w:rsidRPr="00CC73F3" w:rsidRDefault="00070FC5" w:rsidP="00D639F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bCs/>
          <w:i/>
          <w:iCs/>
        </w:rPr>
      </w:pPr>
    </w:p>
    <w:p w:rsidR="00070FC5" w:rsidRPr="00CC73F3" w:rsidRDefault="00070FC5" w:rsidP="00D639F5">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70FC5" w:rsidRPr="00CC73F3" w:rsidRDefault="00070FC5" w:rsidP="00D639F5">
      <w:pPr>
        <w:spacing w:line="480" w:lineRule="auto"/>
        <w:rPr>
          <w:rFonts w:eastAsia="Calibri"/>
          <w:szCs w:val="22"/>
        </w:rPr>
      </w:pPr>
      <w:r w:rsidRPr="00CC73F3">
        <w:rPr>
          <w:rFonts w:eastAsia="Calibri"/>
          <w:szCs w:val="22"/>
        </w:rPr>
        <w:tab/>
        <w:t>In this chapter, the conceptual background and a review of the relevant literature are summarized in order to develop the hypothesis to be tested in Study 1, Study 2, and Study 3. First, cocreation is defined in an innovation context, drawing from existing definitions in the marketing literature. Second, existing typologies of cocreation are integrated to create a broader taxonomy of the various forms cocreation can take in innovation efforts. Third, the relevant literature related to cocreation, regulatory style and reflexivity in innovation are reviewed. Based on the relevant literature, several hypotheses are developed which are then tested, analyzed, and discussed in subsequent chapters.</w:t>
      </w:r>
    </w:p>
    <w:p w:rsidR="00070FC5" w:rsidRPr="00CC73F3" w:rsidRDefault="00070FC5" w:rsidP="00D639F5">
      <w:pPr>
        <w:spacing w:line="480" w:lineRule="auto"/>
        <w:rPr>
          <w:rFonts w:eastAsia="Calibri"/>
          <w:b/>
          <w:szCs w:val="22"/>
          <w:u w:val="single"/>
        </w:rPr>
      </w:pPr>
    </w:p>
    <w:p w:rsidR="00070FC5" w:rsidRPr="00CC73F3" w:rsidRDefault="00070FC5" w:rsidP="00D639F5">
      <w:pPr>
        <w:pStyle w:val="Heading2"/>
      </w:pPr>
      <w:bookmarkStart w:id="17" w:name="_Toc420572555"/>
      <w:r w:rsidRPr="00CC73F3">
        <w:t>Defining Cocreation in a New Product Development Context</w:t>
      </w:r>
      <w:bookmarkEnd w:id="17"/>
    </w:p>
    <w:p w:rsidR="00070FC5" w:rsidRPr="00CC73F3" w:rsidRDefault="00070FC5" w:rsidP="00D639F5">
      <w:pPr>
        <w:spacing w:line="480" w:lineRule="auto"/>
        <w:rPr>
          <w:rFonts w:eastAsia="Calibri"/>
          <w:szCs w:val="22"/>
        </w:rPr>
      </w:pPr>
      <w:r w:rsidRPr="00CC73F3">
        <w:rPr>
          <w:rFonts w:eastAsia="Calibri"/>
          <w:szCs w:val="22"/>
        </w:rPr>
        <w:tab/>
        <w:t>The term co-creation has been used in several different ways in the marketing literature. In this section, the author presents the various definitions of this term and synthesizes them into a working definition as it pertains to innovation for this dissertation research.</w:t>
      </w:r>
    </w:p>
    <w:p w:rsidR="00070FC5" w:rsidRPr="00CC73F3" w:rsidRDefault="00070FC5" w:rsidP="00D639F5">
      <w:pPr>
        <w:spacing w:line="480" w:lineRule="auto"/>
        <w:rPr>
          <w:rFonts w:eastAsia="Calibri"/>
          <w:szCs w:val="22"/>
        </w:rPr>
      </w:pPr>
      <w:r w:rsidRPr="00CC73F3">
        <w:rPr>
          <w:rFonts w:eastAsia="Calibri"/>
          <w:szCs w:val="22"/>
        </w:rPr>
        <w:tab/>
        <w:t xml:space="preserve">Two primary research streams have emerged from the work on customer cocreation, and definitions of the term </w:t>
      </w:r>
      <w:r w:rsidRPr="00CC73F3">
        <w:rPr>
          <w:rFonts w:eastAsia="Calibri"/>
          <w:i/>
          <w:szCs w:val="22"/>
        </w:rPr>
        <w:t>cocreation</w:t>
      </w:r>
      <w:r w:rsidRPr="00CC73F3">
        <w:rPr>
          <w:rFonts w:eastAsia="Calibri"/>
          <w:szCs w:val="22"/>
        </w:rPr>
        <w:t xml:space="preserve"> from these streams is shown in Table 1. The first, which has its roots in service dominant logic, focuses on cocreated value as </w:t>
      </w:r>
      <w:r w:rsidRPr="00CC73F3">
        <w:rPr>
          <w:rFonts w:eastAsia="Calibri"/>
          <w:i/>
          <w:szCs w:val="22"/>
        </w:rPr>
        <w:t>value-in use</w:t>
      </w:r>
      <w:r w:rsidRPr="00CC73F3">
        <w:rPr>
          <w:rFonts w:eastAsia="Calibri"/>
          <w:szCs w:val="22"/>
        </w:rPr>
        <w:t xml:space="preserve">. Definitions of cocreation that fall into this paradigm come from work by Prahalad and Ramaswamy (2004), Vargo and Lusch (2006), Payne et al. (2008). In this perspective, products have value to the extent they perform a valuable service for consumers. For example, a power tool does not necessarily have inherent value for a customer; its value lies in the extent to which such a product gives customers the ability to drill a hole or cut lumber. As such, the value of such a product comes from its use by customers. Another variant in the service dominant logic view of cocreation is that customers create their own hedonic experiences. In this view, firms provide raw inputs of materials and/or knowledge, while it is the end customer who configures these operant resources to create a customized experience. </w:t>
      </w:r>
    </w:p>
    <w:p w:rsidR="00070FC5" w:rsidRPr="00CC73F3" w:rsidRDefault="00070FC5" w:rsidP="00D639F5">
      <w:pPr>
        <w:spacing w:line="480" w:lineRule="auto"/>
        <w:rPr>
          <w:rFonts w:eastAsia="Calibri"/>
          <w:szCs w:val="22"/>
        </w:rPr>
      </w:pPr>
    </w:p>
    <w:p w:rsidR="00070FC5" w:rsidRPr="00CC73F3" w:rsidRDefault="00070FC5" w:rsidP="00D639F5">
      <w:pPr>
        <w:pStyle w:val="Caption"/>
      </w:pPr>
      <w:bookmarkStart w:id="18" w:name="_Toc420570926"/>
      <w:proofErr w:type="gramStart"/>
      <w:r w:rsidRPr="00CC73F3">
        <w:t xml:space="preserve">Table </w:t>
      </w:r>
      <w:fldSimple w:instr=" SEQ Table \* ARABIC ">
        <w:r w:rsidRPr="00CC73F3">
          <w:rPr>
            <w:noProof/>
          </w:rPr>
          <w:t>1</w:t>
        </w:r>
      </w:fldSimple>
      <w:r w:rsidRPr="00CC73F3">
        <w:t>.</w:t>
      </w:r>
      <w:proofErr w:type="gramEnd"/>
      <w:r w:rsidRPr="00CC73F3">
        <w:t xml:space="preserve"> Definitions of Cocreation in the Marketing Literature</w:t>
      </w:r>
      <w:bookmarkEnd w:id="18"/>
    </w:p>
    <w:p w:rsidR="00070FC5" w:rsidRPr="00CC73F3" w:rsidRDefault="00070FC5" w:rsidP="00D639F5"/>
    <w:tbl>
      <w:tblPr>
        <w:tblW w:w="0" w:type="auto"/>
        <w:tblLook w:val="04A0" w:firstRow="1" w:lastRow="0" w:firstColumn="1" w:lastColumn="0" w:noHBand="0" w:noVBand="1"/>
      </w:tblPr>
      <w:tblGrid>
        <w:gridCol w:w="6228"/>
        <w:gridCol w:w="3348"/>
      </w:tblGrid>
      <w:tr w:rsidR="00070FC5" w:rsidRPr="00CC73F3" w:rsidTr="00D639F5">
        <w:tc>
          <w:tcPr>
            <w:tcW w:w="6228" w:type="dxa"/>
            <w:tcBorders>
              <w:top w:val="single" w:sz="18" w:space="0" w:color="auto"/>
              <w:bottom w:val="single" w:sz="18" w:space="0" w:color="auto"/>
            </w:tcBorders>
            <w:shd w:val="clear" w:color="auto" w:fill="auto"/>
          </w:tcPr>
          <w:p w:rsidR="00070FC5" w:rsidRPr="00CC73F3" w:rsidRDefault="00070FC5" w:rsidP="00D639F5">
            <w:pPr>
              <w:rPr>
                <w:rFonts w:eastAsia="Calibri"/>
                <w:b/>
              </w:rPr>
            </w:pPr>
            <w:r w:rsidRPr="00CC73F3">
              <w:rPr>
                <w:rFonts w:eastAsia="Calibri"/>
                <w:b/>
              </w:rPr>
              <w:t>Cocreation is…</w:t>
            </w:r>
          </w:p>
        </w:tc>
        <w:tc>
          <w:tcPr>
            <w:tcW w:w="3348" w:type="dxa"/>
            <w:tcBorders>
              <w:top w:val="single" w:sz="18" w:space="0" w:color="auto"/>
              <w:bottom w:val="single" w:sz="18" w:space="0" w:color="auto"/>
            </w:tcBorders>
            <w:shd w:val="clear" w:color="auto" w:fill="auto"/>
          </w:tcPr>
          <w:p w:rsidR="00070FC5" w:rsidRPr="00CC73F3" w:rsidRDefault="00070FC5" w:rsidP="00D639F5">
            <w:pPr>
              <w:rPr>
                <w:rFonts w:eastAsia="Calibri"/>
                <w:b/>
              </w:rPr>
            </w:pPr>
            <w:r w:rsidRPr="00CC73F3">
              <w:rPr>
                <w:rFonts w:eastAsia="Calibri"/>
                <w:b/>
              </w:rPr>
              <w:t>Citation</w:t>
            </w:r>
          </w:p>
        </w:tc>
      </w:tr>
      <w:tr w:rsidR="00070FC5" w:rsidRPr="00CC73F3" w:rsidTr="00D639F5">
        <w:tc>
          <w:tcPr>
            <w:tcW w:w="6228"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Shifting the process of value creation from a product- and firm-centric view to personalized consumer experiences.</w:t>
            </w:r>
          </w:p>
          <w:p w:rsidR="00070FC5" w:rsidRPr="00CC73F3" w:rsidRDefault="00070FC5" w:rsidP="00D639F5">
            <w:pPr>
              <w:rPr>
                <w:rFonts w:eastAsia="Calibri"/>
              </w:rPr>
            </w:pPr>
          </w:p>
        </w:tc>
        <w:tc>
          <w:tcPr>
            <w:tcW w:w="3348"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Prahalad and Ramaswamy (2004)</w:t>
            </w:r>
          </w:p>
        </w:tc>
      </w:tr>
      <w:tr w:rsidR="00070FC5" w:rsidRPr="00CC73F3" w:rsidTr="00D639F5">
        <w:tc>
          <w:tcPr>
            <w:tcW w:w="6228" w:type="dxa"/>
            <w:shd w:val="clear" w:color="auto" w:fill="auto"/>
          </w:tcPr>
          <w:p w:rsidR="00070FC5" w:rsidRPr="00CC73F3" w:rsidRDefault="00070FC5" w:rsidP="00D639F5">
            <w:pPr>
              <w:rPr>
                <w:rFonts w:eastAsia="Calibri"/>
              </w:rPr>
            </w:pPr>
            <w:r w:rsidRPr="00CC73F3">
              <w:rPr>
                <w:rFonts w:eastAsia="Calibri"/>
              </w:rPr>
              <w:t>Value that is created with and determined by the user in the ‘consumption’ process and through use (value-in-use).</w:t>
            </w:r>
          </w:p>
          <w:p w:rsidR="00070FC5" w:rsidRPr="00CC73F3" w:rsidRDefault="00070FC5" w:rsidP="00D639F5">
            <w:pPr>
              <w:rPr>
                <w:rFonts w:eastAsia="Calibri"/>
              </w:rPr>
            </w:pPr>
          </w:p>
        </w:tc>
        <w:tc>
          <w:tcPr>
            <w:tcW w:w="3348" w:type="dxa"/>
            <w:shd w:val="clear" w:color="auto" w:fill="auto"/>
          </w:tcPr>
          <w:p w:rsidR="00070FC5" w:rsidRPr="00CC73F3" w:rsidRDefault="00070FC5" w:rsidP="00D639F5">
            <w:pPr>
              <w:rPr>
                <w:rFonts w:eastAsia="Calibri"/>
              </w:rPr>
            </w:pPr>
            <w:r w:rsidRPr="00CC73F3">
              <w:rPr>
                <w:rFonts w:eastAsia="Calibri"/>
              </w:rPr>
              <w:t>Vargo and Lusch (2006)</w:t>
            </w:r>
          </w:p>
        </w:tc>
      </w:tr>
      <w:tr w:rsidR="00070FC5" w:rsidRPr="00CC73F3" w:rsidTr="00D639F5">
        <w:tc>
          <w:tcPr>
            <w:tcW w:w="6228" w:type="dxa"/>
            <w:shd w:val="clear" w:color="auto" w:fill="auto"/>
          </w:tcPr>
          <w:p w:rsidR="00070FC5" w:rsidRPr="00CC73F3" w:rsidRDefault="00070FC5" w:rsidP="00D639F5">
            <w:pPr>
              <w:rPr>
                <w:rFonts w:eastAsia="Calibri"/>
              </w:rPr>
            </w:pPr>
            <w:r w:rsidRPr="00CC73F3">
              <w:rPr>
                <w:rFonts w:eastAsia="Calibri"/>
              </w:rPr>
              <w:t>The notion of marketing as a facilitator and structurer of the mutual creation and enjoyment of value [with customers].</w:t>
            </w:r>
          </w:p>
          <w:p w:rsidR="00070FC5" w:rsidRPr="00CC73F3" w:rsidRDefault="00070FC5" w:rsidP="00D639F5">
            <w:pPr>
              <w:rPr>
                <w:rFonts w:eastAsia="Calibri"/>
              </w:rPr>
            </w:pPr>
          </w:p>
        </w:tc>
        <w:tc>
          <w:tcPr>
            <w:tcW w:w="3348" w:type="dxa"/>
            <w:shd w:val="clear" w:color="auto" w:fill="auto"/>
          </w:tcPr>
          <w:p w:rsidR="00070FC5" w:rsidRPr="00CC73F3" w:rsidRDefault="00070FC5" w:rsidP="00D639F5">
            <w:pPr>
              <w:rPr>
                <w:rFonts w:eastAsia="Calibri"/>
              </w:rPr>
            </w:pPr>
            <w:r w:rsidRPr="00CC73F3">
              <w:rPr>
                <w:rFonts w:eastAsia="Calibri"/>
              </w:rPr>
              <w:t>Payne, Storbacka, and Frow, 2008</w:t>
            </w:r>
          </w:p>
        </w:tc>
      </w:tr>
      <w:tr w:rsidR="00070FC5" w:rsidRPr="00CC73F3" w:rsidTr="00D639F5">
        <w:tc>
          <w:tcPr>
            <w:tcW w:w="6228" w:type="dxa"/>
            <w:shd w:val="clear" w:color="auto" w:fill="auto"/>
          </w:tcPr>
          <w:p w:rsidR="00070FC5" w:rsidRPr="00CC73F3" w:rsidRDefault="00070FC5" w:rsidP="00D639F5">
            <w:pPr>
              <w:rPr>
                <w:rFonts w:eastAsia="Calibri"/>
              </w:rPr>
            </w:pPr>
            <w:r w:rsidRPr="00CC73F3">
              <w:rPr>
                <w:rFonts w:eastAsia="Calibri"/>
              </w:rPr>
              <w:t>A collaborative new product development activity in which consumers actively contribute and/or select various elements of a new product offering.</w:t>
            </w:r>
          </w:p>
          <w:p w:rsidR="00070FC5" w:rsidRPr="00CC73F3" w:rsidRDefault="00070FC5" w:rsidP="00D639F5">
            <w:pPr>
              <w:rPr>
                <w:rFonts w:eastAsia="Calibri"/>
              </w:rPr>
            </w:pPr>
          </w:p>
        </w:tc>
        <w:tc>
          <w:tcPr>
            <w:tcW w:w="3348" w:type="dxa"/>
            <w:shd w:val="clear" w:color="auto" w:fill="auto"/>
          </w:tcPr>
          <w:p w:rsidR="00070FC5" w:rsidRPr="00CC73F3" w:rsidRDefault="00070FC5" w:rsidP="00D639F5">
            <w:pPr>
              <w:rPr>
                <w:rFonts w:eastAsia="Calibri"/>
              </w:rPr>
            </w:pPr>
            <w:r w:rsidRPr="00CC73F3">
              <w:rPr>
                <w:rFonts w:eastAsia="Calibri"/>
              </w:rPr>
              <w:t xml:space="preserve">Hoyer et al. (2010); </w:t>
            </w:r>
            <w:r w:rsidRPr="00CC73F3">
              <w:rPr>
                <w:rFonts w:eastAsia="Calibri"/>
              </w:rPr>
              <w:br/>
              <w:t>O’Hern and Rindfleisch (2010)</w:t>
            </w:r>
          </w:p>
        </w:tc>
      </w:tr>
      <w:tr w:rsidR="00070FC5" w:rsidRPr="00CC73F3" w:rsidTr="00D639F5">
        <w:tc>
          <w:tcPr>
            <w:tcW w:w="6228" w:type="dxa"/>
            <w:shd w:val="clear" w:color="auto" w:fill="auto"/>
          </w:tcPr>
          <w:p w:rsidR="00070FC5" w:rsidRPr="00CC73F3" w:rsidRDefault="00070FC5" w:rsidP="00D639F5">
            <w:pPr>
              <w:rPr>
                <w:rFonts w:eastAsia="Calibri"/>
              </w:rPr>
            </w:pPr>
            <w:r w:rsidRPr="00CC73F3">
              <w:rPr>
                <w:rFonts w:eastAsia="Calibri"/>
              </w:rPr>
              <w:t>The coproduction of knowledge by customers that is valuable for the firm’s innovation process.</w:t>
            </w:r>
          </w:p>
          <w:p w:rsidR="00070FC5" w:rsidRPr="00CC73F3" w:rsidRDefault="00070FC5" w:rsidP="00D639F5">
            <w:pPr>
              <w:rPr>
                <w:rFonts w:eastAsia="Calibri"/>
              </w:rPr>
            </w:pPr>
          </w:p>
        </w:tc>
        <w:tc>
          <w:tcPr>
            <w:tcW w:w="3348" w:type="dxa"/>
            <w:shd w:val="clear" w:color="auto" w:fill="auto"/>
          </w:tcPr>
          <w:p w:rsidR="00070FC5" w:rsidRPr="00CC73F3" w:rsidRDefault="00070FC5" w:rsidP="00D639F5">
            <w:pPr>
              <w:rPr>
                <w:rFonts w:eastAsia="Calibri"/>
              </w:rPr>
            </w:pPr>
            <w:r w:rsidRPr="00CC73F3">
              <w:rPr>
                <w:rFonts w:eastAsia="Calibri"/>
              </w:rPr>
              <w:t>Mahr, Lievens, and Blazevic (2013)</w:t>
            </w:r>
          </w:p>
        </w:tc>
      </w:tr>
      <w:tr w:rsidR="00070FC5" w:rsidRPr="00CC73F3" w:rsidTr="00D639F5">
        <w:tc>
          <w:tcPr>
            <w:tcW w:w="6228" w:type="dxa"/>
            <w:tcBorders>
              <w:bottom w:val="single" w:sz="18" w:space="0" w:color="auto"/>
            </w:tcBorders>
            <w:shd w:val="clear" w:color="auto" w:fill="auto"/>
          </w:tcPr>
          <w:p w:rsidR="00070FC5" w:rsidRPr="00CC73F3" w:rsidRDefault="00070FC5" w:rsidP="00D639F5">
            <w:pPr>
              <w:rPr>
                <w:rFonts w:eastAsia="Calibri"/>
              </w:rPr>
            </w:pPr>
            <w:r w:rsidRPr="00CC73F3">
              <w:rPr>
                <w:rFonts w:eastAsia="Calibri"/>
              </w:rPr>
              <w:t>Allowing customers to participate in value-creating activities, such as brainstorming advertising taglines or product ideas.</w:t>
            </w:r>
          </w:p>
          <w:p w:rsidR="00070FC5" w:rsidRPr="00CC73F3" w:rsidRDefault="00070FC5" w:rsidP="00D639F5">
            <w:pPr>
              <w:rPr>
                <w:rFonts w:eastAsia="Calibri"/>
              </w:rPr>
            </w:pPr>
          </w:p>
        </w:tc>
        <w:tc>
          <w:tcPr>
            <w:tcW w:w="3348" w:type="dxa"/>
            <w:tcBorders>
              <w:bottom w:val="single" w:sz="18" w:space="0" w:color="auto"/>
            </w:tcBorders>
            <w:shd w:val="clear" w:color="auto" w:fill="auto"/>
          </w:tcPr>
          <w:p w:rsidR="00070FC5" w:rsidRPr="00CC73F3" w:rsidRDefault="00070FC5" w:rsidP="00D639F5">
            <w:pPr>
              <w:rPr>
                <w:rFonts w:eastAsia="Calibri"/>
              </w:rPr>
            </w:pPr>
            <w:r w:rsidRPr="00CC73F3">
              <w:rPr>
                <w:rFonts w:eastAsia="Calibri"/>
              </w:rPr>
              <w:t>Verhoef, Beckers, and van Doorn (2013)</w:t>
            </w:r>
          </w:p>
        </w:tc>
      </w:tr>
    </w:tbl>
    <w:p w:rsidR="00070FC5" w:rsidRPr="00CC73F3" w:rsidRDefault="00070FC5" w:rsidP="00D639F5">
      <w:pPr>
        <w:rPr>
          <w:rFonts w:eastAsia="Calibri"/>
          <w:szCs w:val="22"/>
        </w:rPr>
      </w:pPr>
      <w:r w:rsidRPr="00CC73F3">
        <w:rPr>
          <w:rFonts w:eastAsia="Calibri"/>
          <w:szCs w:val="22"/>
        </w:rPr>
        <w:tab/>
      </w:r>
    </w:p>
    <w:p w:rsidR="00070FC5" w:rsidRPr="00CC73F3" w:rsidRDefault="00070FC5" w:rsidP="00D639F5">
      <w:pPr>
        <w:spacing w:before="240" w:line="480" w:lineRule="auto"/>
        <w:rPr>
          <w:rFonts w:eastAsia="Calibri"/>
          <w:szCs w:val="22"/>
        </w:rPr>
      </w:pPr>
      <w:r w:rsidRPr="00CC73F3">
        <w:rPr>
          <w:rFonts w:eastAsia="Calibri"/>
          <w:szCs w:val="22"/>
        </w:rPr>
        <w:tab/>
        <w:t xml:space="preserve">The second perspective, which is the definition used in this dissertation, is labeled here as a </w:t>
      </w:r>
      <w:r w:rsidRPr="00CC73F3">
        <w:rPr>
          <w:rFonts w:eastAsia="Calibri"/>
          <w:i/>
          <w:szCs w:val="22"/>
        </w:rPr>
        <w:t>value-in-creation</w:t>
      </w:r>
      <w:r w:rsidRPr="00CC73F3">
        <w:rPr>
          <w:rFonts w:eastAsia="Calibri"/>
          <w:szCs w:val="22"/>
        </w:rPr>
        <w:t xml:space="preserve"> perspective of cocreation. Prahalad and Ramaswamy (2004) conceptualize cocreation as occurring in one of two ways, customer-to-firm (“create value for yourself”), and customers-to-firm (“create value for yourself and others”). The value-in-use perspective relates more closely to the </w:t>
      </w:r>
      <w:r w:rsidRPr="00CC73F3">
        <w:rPr>
          <w:rFonts w:eastAsia="Calibri"/>
          <w:i/>
          <w:szCs w:val="22"/>
        </w:rPr>
        <w:t>customer-to-firm</w:t>
      </w:r>
      <w:r w:rsidRPr="00CC73F3">
        <w:rPr>
          <w:rFonts w:eastAsia="Calibri"/>
          <w:szCs w:val="22"/>
        </w:rPr>
        <w:t xml:space="preserve"> conceptualization, whereas the value-in-creation perspective is related to the </w:t>
      </w:r>
      <w:r w:rsidRPr="00CC73F3">
        <w:rPr>
          <w:rFonts w:eastAsia="Calibri"/>
          <w:i/>
          <w:szCs w:val="22"/>
        </w:rPr>
        <w:t>customers-to-firm</w:t>
      </w:r>
      <w:r w:rsidRPr="00CC73F3">
        <w:rPr>
          <w:rFonts w:eastAsia="Calibri"/>
          <w:szCs w:val="22"/>
        </w:rPr>
        <w:t xml:space="preserve"> (plural) conceptualization in which firms take ideas from customers and leverage them to serve a broader market. This conceptualization of cocreation has its roots in the new product development and innovation literature, where firms use cocreation primarily as a tool for idea generation. While there is substantial overlap with a value-in-use perspective, this view of cocreation primarily refers to the direct involvement of customers in the </w:t>
      </w:r>
      <w:r w:rsidRPr="00CC73F3">
        <w:rPr>
          <w:rFonts w:eastAsia="Calibri"/>
          <w:i/>
          <w:szCs w:val="22"/>
        </w:rPr>
        <w:t>ideation process</w:t>
      </w:r>
      <w:r w:rsidRPr="00CC73F3">
        <w:rPr>
          <w:rFonts w:eastAsia="Calibri"/>
          <w:szCs w:val="22"/>
        </w:rPr>
        <w:t xml:space="preserve"> of developing new products and services for that appeal to one or more market segments. Exemplars of this type of cocreation are companies that crowdsource product design, advertising campaigns, and product </w:t>
      </w:r>
      <w:proofErr w:type="gramStart"/>
      <w:r w:rsidRPr="00CC73F3">
        <w:rPr>
          <w:rFonts w:eastAsia="Calibri"/>
          <w:szCs w:val="22"/>
        </w:rPr>
        <w:t>features</w:t>
      </w:r>
      <w:proofErr w:type="gramEnd"/>
      <w:r w:rsidRPr="00CC73F3">
        <w:rPr>
          <w:rFonts w:eastAsia="Calibri"/>
          <w:szCs w:val="22"/>
        </w:rPr>
        <w:t xml:space="preserve">. For example, Frito-Lay hosts a competition every year for its Doritos brand in which consumers submit short, self-produced television commercials, with the winning entry to be aired during the Super Bowl (Edwards, 2014). The goal of this promotion is not to tailor the product and message to each consumer, rather it is to leverage the collective power and video production resources of customers develop highly creative ads that appeal to a broad market of consumers. </w:t>
      </w:r>
      <w:r w:rsidRPr="00CC73F3">
        <w:rPr>
          <w:rFonts w:eastAsia="Calibri"/>
          <w:szCs w:val="22"/>
        </w:rPr>
        <w:tab/>
      </w:r>
    </w:p>
    <w:p w:rsidR="00070FC5" w:rsidRPr="00CC73F3" w:rsidRDefault="00070FC5" w:rsidP="00D639F5">
      <w:pPr>
        <w:spacing w:line="480" w:lineRule="auto"/>
        <w:rPr>
          <w:rFonts w:eastAsia="Calibri"/>
          <w:szCs w:val="22"/>
        </w:rPr>
      </w:pPr>
      <w:r w:rsidRPr="00CC73F3">
        <w:rPr>
          <w:rFonts w:eastAsia="Calibri"/>
          <w:szCs w:val="22"/>
        </w:rPr>
        <w:tab/>
        <w:t>In summary, this dissertation focuses on cocreation as a value-in-creation activity whereby firms solicit ideas for new products and services from customers. More concisely stated</w:t>
      </w:r>
      <w:proofErr w:type="gramStart"/>
      <w:r w:rsidRPr="00CC73F3">
        <w:rPr>
          <w:rFonts w:eastAsia="Calibri"/>
          <w:szCs w:val="22"/>
        </w:rPr>
        <w:t>,</w:t>
      </w:r>
      <w:proofErr w:type="gramEnd"/>
      <w:r w:rsidRPr="00CC73F3">
        <w:rPr>
          <w:rFonts w:eastAsia="Calibri"/>
          <w:szCs w:val="22"/>
        </w:rPr>
        <w:t xml:space="preserve"> cocreation of innovation is defined as </w:t>
      </w:r>
      <w:r w:rsidRPr="00CC73F3">
        <w:rPr>
          <w:rFonts w:eastAsia="Calibri"/>
          <w:i/>
          <w:szCs w:val="22"/>
        </w:rPr>
        <w:t>the collaboration between firms and their customers (or potential customers) in the product or service development process, which may include customer input into ideation, design, and production of new market offerings</w:t>
      </w:r>
      <w:r w:rsidRPr="00CC73F3">
        <w:rPr>
          <w:rFonts w:eastAsia="Calibri"/>
          <w:szCs w:val="22"/>
        </w:rPr>
        <w:t>.</w:t>
      </w:r>
    </w:p>
    <w:p w:rsidR="00070FC5" w:rsidRPr="00CC73F3" w:rsidRDefault="00070FC5" w:rsidP="00D639F5">
      <w:pPr>
        <w:spacing w:line="480" w:lineRule="auto"/>
        <w:rPr>
          <w:rFonts w:eastAsia="Calibri"/>
          <w:szCs w:val="22"/>
        </w:rPr>
      </w:pPr>
    </w:p>
    <w:p w:rsidR="00070FC5" w:rsidRPr="00CC73F3" w:rsidRDefault="00070FC5" w:rsidP="00D639F5">
      <w:pPr>
        <w:pStyle w:val="Heading2"/>
      </w:pPr>
      <w:bookmarkStart w:id="19" w:name="_Toc420572556"/>
      <w:r w:rsidRPr="00CC73F3">
        <w:t>Literature Review</w:t>
      </w:r>
      <w:bookmarkEnd w:id="19"/>
    </w:p>
    <w:p w:rsidR="00070FC5" w:rsidRPr="00CC73F3" w:rsidRDefault="00070FC5" w:rsidP="00D639F5">
      <w:pPr>
        <w:spacing w:line="480" w:lineRule="auto"/>
        <w:rPr>
          <w:rFonts w:eastAsia="Calibri"/>
          <w:b/>
          <w:szCs w:val="22"/>
          <w:u w:val="single"/>
        </w:rPr>
        <w:sectPr w:rsidR="00070FC5" w:rsidRPr="00CC73F3" w:rsidSect="00D639F5">
          <w:pgSz w:w="12240" w:h="15840"/>
          <w:pgMar w:top="1440" w:right="1440" w:bottom="1440" w:left="1440" w:header="720" w:footer="720" w:gutter="0"/>
          <w:pgNumType w:start="1"/>
          <w:cols w:space="720"/>
          <w:docGrid w:linePitch="360"/>
        </w:sectPr>
      </w:pPr>
      <w:r w:rsidRPr="00CC73F3">
        <w:rPr>
          <w:rFonts w:eastAsia="Calibri"/>
          <w:szCs w:val="22"/>
        </w:rPr>
        <w:tab/>
        <w:t xml:space="preserve">In this section, the literature on the cocreation of new products and services is reviewed with emphasis on research gaps and areas where theory is more mature for the purposes of generating hypotheses.  The topics covered include customers’ ability to directly contribute to </w:t>
      </w:r>
    </w:p>
    <w:p w:rsidR="00070FC5" w:rsidRPr="00CC73F3" w:rsidRDefault="00070FC5" w:rsidP="00D639F5">
      <w:pPr>
        <w:pStyle w:val="Caption"/>
      </w:pPr>
      <w:bookmarkStart w:id="20" w:name="_Toc420570927"/>
      <w:proofErr w:type="gramStart"/>
      <w:r w:rsidRPr="00CC73F3">
        <w:t xml:space="preserve">Table </w:t>
      </w:r>
      <w:fldSimple w:instr=" SEQ Table \* ARABIC ">
        <w:r w:rsidRPr="00CC73F3">
          <w:rPr>
            <w:noProof/>
          </w:rPr>
          <w:t>2</w:t>
        </w:r>
      </w:fldSimple>
      <w:r w:rsidRPr="00CC73F3">
        <w:t>.</w:t>
      </w:r>
      <w:proofErr w:type="gramEnd"/>
      <w:r w:rsidRPr="00CC73F3">
        <w:t xml:space="preserve"> Review of the Literature on Cocreation in New Product Development</w:t>
      </w:r>
      <w:bookmarkEnd w:id="20"/>
    </w:p>
    <w:p w:rsidR="00070FC5" w:rsidRPr="00CC73F3" w:rsidRDefault="00070FC5" w:rsidP="00D639F5"/>
    <w:tbl>
      <w:tblPr>
        <w:tblW w:w="14040" w:type="dxa"/>
        <w:tblInd w:w="-432" w:type="dxa"/>
        <w:tblLook w:val="04A0" w:firstRow="1" w:lastRow="0" w:firstColumn="1" w:lastColumn="0" w:noHBand="0" w:noVBand="1"/>
      </w:tblPr>
      <w:tblGrid>
        <w:gridCol w:w="3624"/>
        <w:gridCol w:w="7266"/>
        <w:gridCol w:w="3150"/>
      </w:tblGrid>
      <w:tr w:rsidR="00070FC5" w:rsidRPr="00CC73F3" w:rsidTr="00D639F5">
        <w:tc>
          <w:tcPr>
            <w:tcW w:w="3624"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Cocreation of Innovation Topic</w:t>
            </w:r>
          </w:p>
        </w:tc>
        <w:tc>
          <w:tcPr>
            <w:tcW w:w="7266"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Supported Findings</w:t>
            </w:r>
          </w:p>
        </w:tc>
        <w:tc>
          <w:tcPr>
            <w:tcW w:w="315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Authors</w:t>
            </w:r>
          </w:p>
        </w:tc>
      </w:tr>
      <w:tr w:rsidR="00070FC5" w:rsidRPr="00CC73F3" w:rsidTr="00D639F5">
        <w:tc>
          <w:tcPr>
            <w:tcW w:w="3624" w:type="dxa"/>
            <w:tcBorders>
              <w:top w:val="single" w:sz="18"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Ability of Customers to Contribute in the Cocreation Innovation</w:t>
            </w:r>
          </w:p>
          <w:p w:rsidR="00070FC5" w:rsidRPr="00CC73F3" w:rsidRDefault="00070FC5" w:rsidP="00D639F5">
            <w:pPr>
              <w:jc w:val="center"/>
              <w:rPr>
                <w:rFonts w:eastAsia="Calibri"/>
                <w:i/>
              </w:rPr>
            </w:pPr>
          </w:p>
        </w:tc>
        <w:tc>
          <w:tcPr>
            <w:tcW w:w="7266" w:type="dxa"/>
            <w:tcBorders>
              <w:top w:val="single" w:sz="18" w:space="0" w:color="auto"/>
            </w:tcBorders>
            <w:shd w:val="clear" w:color="auto" w:fill="auto"/>
            <w:vAlign w:val="center"/>
          </w:tcPr>
          <w:p w:rsidR="00070FC5" w:rsidRPr="00CC73F3" w:rsidRDefault="00070FC5" w:rsidP="00D639F5">
            <w:pPr>
              <w:contextualSpacing/>
              <w:rPr>
                <w:rFonts w:eastAsia="Calibri"/>
              </w:rPr>
            </w:pPr>
          </w:p>
          <w:p w:rsidR="00070FC5" w:rsidRPr="00CC73F3" w:rsidRDefault="00070FC5" w:rsidP="00D639F5">
            <w:pPr>
              <w:numPr>
                <w:ilvl w:val="0"/>
                <w:numId w:val="24"/>
              </w:numPr>
              <w:contextualSpacing/>
              <w:rPr>
                <w:rFonts w:eastAsia="Calibri"/>
              </w:rPr>
            </w:pPr>
            <w:r w:rsidRPr="00CC73F3">
              <w:rPr>
                <w:rFonts w:eastAsia="Calibri"/>
              </w:rPr>
              <w:t>Cocreation creates opportunities for firms to develop new products that surprise and delight customers in ways the internally-generated product concepts typically cannot.</w:t>
            </w:r>
          </w:p>
          <w:p w:rsidR="00070FC5" w:rsidRPr="00CC73F3" w:rsidRDefault="00070FC5" w:rsidP="00D639F5">
            <w:pPr>
              <w:numPr>
                <w:ilvl w:val="0"/>
                <w:numId w:val="24"/>
              </w:numPr>
              <w:contextualSpacing/>
              <w:rPr>
                <w:rFonts w:eastAsia="Calibri"/>
              </w:rPr>
            </w:pPr>
            <w:r w:rsidRPr="00CC73F3">
              <w:rPr>
                <w:rFonts w:eastAsia="Calibri"/>
              </w:rPr>
              <w:t xml:space="preserve">Collectively, customers may be superior to development professionals at creating product concepts that are </w:t>
            </w:r>
            <w:r w:rsidRPr="00CC73F3">
              <w:rPr>
                <w:rFonts w:eastAsia="Calibri"/>
                <w:i/>
              </w:rPr>
              <w:t>novel</w:t>
            </w:r>
            <w:r w:rsidRPr="00CC73F3">
              <w:rPr>
                <w:rFonts w:eastAsia="Calibri"/>
              </w:rPr>
              <w:t xml:space="preserve"> and </w:t>
            </w:r>
            <w:r w:rsidRPr="00CC73F3">
              <w:rPr>
                <w:rFonts w:eastAsia="Calibri"/>
                <w:i/>
              </w:rPr>
              <w:t>meaningful</w:t>
            </w:r>
            <w:r w:rsidRPr="00CC73F3">
              <w:rPr>
                <w:rFonts w:eastAsia="Calibri"/>
              </w:rPr>
              <w:t>, in part because they are not subject to the cognitive biases that come from domain expertise.</w:t>
            </w:r>
          </w:p>
          <w:p w:rsidR="00070FC5" w:rsidRPr="00CC73F3" w:rsidRDefault="00070FC5" w:rsidP="00D639F5">
            <w:pPr>
              <w:numPr>
                <w:ilvl w:val="0"/>
                <w:numId w:val="24"/>
              </w:numPr>
              <w:contextualSpacing/>
              <w:rPr>
                <w:rFonts w:eastAsia="Calibri"/>
              </w:rPr>
            </w:pPr>
            <w:r w:rsidRPr="00CC73F3">
              <w:rPr>
                <w:rFonts w:eastAsia="Calibri"/>
              </w:rPr>
              <w:t xml:space="preserve">Collectively, development professionals may be superior to customers at creating product concepts that are </w:t>
            </w:r>
            <w:r w:rsidRPr="00CC73F3">
              <w:rPr>
                <w:rFonts w:eastAsia="Calibri"/>
                <w:i/>
              </w:rPr>
              <w:t>feasible</w:t>
            </w:r>
            <w:r w:rsidRPr="00CC73F3">
              <w:rPr>
                <w:rFonts w:eastAsia="Calibri"/>
              </w:rPr>
              <w:t xml:space="preserve"> to implement.</w:t>
            </w:r>
          </w:p>
          <w:p w:rsidR="00070FC5" w:rsidRPr="00CC73F3" w:rsidRDefault="00070FC5" w:rsidP="00D639F5">
            <w:pPr>
              <w:numPr>
                <w:ilvl w:val="0"/>
                <w:numId w:val="24"/>
              </w:numPr>
              <w:contextualSpacing/>
              <w:rPr>
                <w:rFonts w:eastAsia="Calibri"/>
              </w:rPr>
            </w:pPr>
            <w:r w:rsidRPr="00CC73F3">
              <w:rPr>
                <w:rFonts w:eastAsia="Calibri"/>
              </w:rPr>
              <w:t>The potential of consumer-generated ideas may have its limits because inventors may not have access to all of the relevant information needed to develop a successful product idea.</w:t>
            </w:r>
          </w:p>
          <w:p w:rsidR="00070FC5" w:rsidRPr="00CC73F3" w:rsidRDefault="00070FC5" w:rsidP="00D639F5">
            <w:pPr>
              <w:numPr>
                <w:ilvl w:val="0"/>
                <w:numId w:val="24"/>
              </w:numPr>
              <w:contextualSpacing/>
              <w:rPr>
                <w:rFonts w:eastAsia="Calibri"/>
              </w:rPr>
            </w:pPr>
            <w:r w:rsidRPr="00CC73F3">
              <w:rPr>
                <w:rFonts w:eastAsia="Calibri"/>
              </w:rPr>
              <w:t>The meaningfulness of customers’ new product concepts drives market adoption.</w:t>
            </w:r>
          </w:p>
          <w:p w:rsidR="00070FC5" w:rsidRPr="00CC73F3" w:rsidRDefault="00070FC5" w:rsidP="00D639F5">
            <w:pPr>
              <w:numPr>
                <w:ilvl w:val="0"/>
                <w:numId w:val="24"/>
              </w:numPr>
              <w:contextualSpacing/>
              <w:rPr>
                <w:rFonts w:eastAsia="Calibri"/>
              </w:rPr>
            </w:pPr>
            <w:r w:rsidRPr="00CC73F3">
              <w:rPr>
                <w:rFonts w:eastAsia="Calibri"/>
              </w:rPr>
              <w:t>Customer communities often result in highly innovative ideas because they tap into the collective creativity and product knowledge of customers.</w:t>
            </w:r>
          </w:p>
          <w:p w:rsidR="00070FC5" w:rsidRPr="00CC73F3" w:rsidRDefault="00070FC5" w:rsidP="00D639F5">
            <w:pPr>
              <w:numPr>
                <w:ilvl w:val="0"/>
                <w:numId w:val="24"/>
              </w:numPr>
              <w:contextualSpacing/>
              <w:rPr>
                <w:rFonts w:eastAsia="Calibri"/>
              </w:rPr>
            </w:pPr>
            <w:r w:rsidRPr="00CC73F3">
              <w:rPr>
                <w:rFonts w:eastAsia="Calibri"/>
              </w:rPr>
              <w:t>Customers can contribute directly to innovation not just in the ideation process, but as a first filtering and selection mechanism.</w:t>
            </w:r>
          </w:p>
          <w:p w:rsidR="00070FC5" w:rsidRPr="00CC73F3" w:rsidRDefault="00070FC5" w:rsidP="00D639F5">
            <w:pPr>
              <w:contextualSpacing/>
              <w:rPr>
                <w:rFonts w:eastAsia="Calibri"/>
              </w:rPr>
            </w:pPr>
          </w:p>
          <w:p w:rsidR="00070FC5" w:rsidRPr="00CC73F3" w:rsidRDefault="00070FC5" w:rsidP="00D639F5">
            <w:pPr>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tc>
        <w:tc>
          <w:tcPr>
            <w:tcW w:w="3150" w:type="dxa"/>
            <w:tcBorders>
              <w:top w:val="single" w:sz="18" w:space="0" w:color="auto"/>
            </w:tcBorders>
            <w:shd w:val="clear" w:color="auto" w:fill="auto"/>
            <w:vAlign w:val="center"/>
          </w:tcPr>
          <w:p w:rsidR="00070FC5" w:rsidRPr="00CC73F3" w:rsidRDefault="00070FC5" w:rsidP="00D639F5">
            <w:pPr>
              <w:jc w:val="center"/>
              <w:rPr>
                <w:rFonts w:eastAsia="Calibri"/>
              </w:rPr>
            </w:pPr>
            <w:r w:rsidRPr="00CC73F3">
              <w:rPr>
                <w:rFonts w:eastAsia="Calibri"/>
              </w:rPr>
              <w:t>Magnusson et al., 2003;</w:t>
            </w:r>
          </w:p>
          <w:p w:rsidR="00070FC5" w:rsidRPr="00CC73F3" w:rsidRDefault="00070FC5" w:rsidP="00D639F5">
            <w:pPr>
              <w:jc w:val="center"/>
              <w:rPr>
                <w:rFonts w:eastAsia="Calibri"/>
              </w:rPr>
            </w:pPr>
            <w:r w:rsidRPr="00CC73F3">
              <w:rPr>
                <w:rFonts w:eastAsia="Calibri"/>
              </w:rPr>
              <w:t>Ogawa and Piller, 2006;</w:t>
            </w:r>
          </w:p>
          <w:p w:rsidR="00070FC5" w:rsidRPr="00CC73F3" w:rsidRDefault="00070FC5" w:rsidP="00D639F5">
            <w:pPr>
              <w:jc w:val="center"/>
              <w:rPr>
                <w:rFonts w:eastAsia="Calibri"/>
              </w:rPr>
            </w:pPr>
            <w:r w:rsidRPr="00CC73F3">
              <w:rPr>
                <w:rFonts w:eastAsia="Calibri"/>
              </w:rPr>
              <w:t>Fuller et al. 2008;</w:t>
            </w:r>
          </w:p>
          <w:p w:rsidR="00070FC5" w:rsidRPr="00CC73F3" w:rsidRDefault="00070FC5" w:rsidP="00D639F5">
            <w:pPr>
              <w:jc w:val="center"/>
              <w:rPr>
                <w:rFonts w:eastAsia="Calibri"/>
              </w:rPr>
            </w:pPr>
            <w:r w:rsidRPr="00CC73F3">
              <w:rPr>
                <w:rFonts w:eastAsia="Calibri"/>
              </w:rPr>
              <w:t>Kristensson et al., 2004</w:t>
            </w:r>
          </w:p>
          <w:p w:rsidR="00070FC5" w:rsidRPr="00CC73F3" w:rsidRDefault="00070FC5" w:rsidP="00D639F5">
            <w:pPr>
              <w:jc w:val="center"/>
              <w:rPr>
                <w:rFonts w:eastAsia="Calibri"/>
              </w:rPr>
            </w:pPr>
            <w:r w:rsidRPr="00CC73F3">
              <w:rPr>
                <w:rFonts w:eastAsia="Calibri"/>
              </w:rPr>
              <w:t>Kristensson et al., 2008;</w:t>
            </w:r>
          </w:p>
          <w:p w:rsidR="00070FC5" w:rsidRPr="00CC73F3" w:rsidRDefault="00070FC5" w:rsidP="00D639F5">
            <w:pPr>
              <w:jc w:val="center"/>
              <w:rPr>
                <w:rFonts w:eastAsia="Calibri"/>
              </w:rPr>
            </w:pPr>
            <w:r w:rsidRPr="00CC73F3">
              <w:rPr>
                <w:rFonts w:eastAsia="Calibri"/>
              </w:rPr>
              <w:t>Poetz and Schreier, 2012;</w:t>
            </w:r>
          </w:p>
          <w:p w:rsidR="00070FC5" w:rsidRPr="00CC73F3" w:rsidRDefault="00070FC5" w:rsidP="00D639F5">
            <w:pPr>
              <w:jc w:val="center"/>
              <w:rPr>
                <w:rFonts w:eastAsia="Calibri"/>
              </w:rPr>
            </w:pPr>
            <w:r w:rsidRPr="00CC73F3">
              <w:rPr>
                <w:rFonts w:eastAsia="Calibri"/>
              </w:rPr>
              <w:t>Bayus, 2013;</w:t>
            </w:r>
          </w:p>
          <w:p w:rsidR="00070FC5" w:rsidRPr="00CC73F3" w:rsidRDefault="00070FC5" w:rsidP="00D639F5">
            <w:pPr>
              <w:jc w:val="center"/>
              <w:rPr>
                <w:rFonts w:eastAsia="Calibri"/>
              </w:rPr>
            </w:pPr>
            <w:r w:rsidRPr="00CC73F3">
              <w:rPr>
                <w:rFonts w:eastAsia="Calibri"/>
              </w:rPr>
              <w:t>Mahr et al., 2014;</w:t>
            </w:r>
          </w:p>
          <w:p w:rsidR="00070FC5" w:rsidRPr="00CC73F3" w:rsidRDefault="00070FC5" w:rsidP="00D639F5">
            <w:pPr>
              <w:jc w:val="center"/>
              <w:rPr>
                <w:rFonts w:eastAsia="Calibri"/>
              </w:rPr>
            </w:pPr>
            <w:r w:rsidRPr="00CC73F3">
              <w:rPr>
                <w:rFonts w:eastAsia="Calibri"/>
              </w:rPr>
              <w:t>West and Lakhani, 2008</w:t>
            </w:r>
          </w:p>
          <w:p w:rsidR="00070FC5" w:rsidRPr="00CC73F3" w:rsidRDefault="00070FC5" w:rsidP="00D639F5">
            <w:pPr>
              <w:jc w:val="center"/>
              <w:rPr>
                <w:rFonts w:eastAsia="Calibri"/>
              </w:rPr>
            </w:pPr>
          </w:p>
        </w:tc>
      </w:tr>
      <w:tr w:rsidR="00070FC5" w:rsidRPr="00CC73F3" w:rsidTr="00D639F5">
        <w:tc>
          <w:tcPr>
            <w:tcW w:w="3624" w:type="dxa"/>
            <w:shd w:val="clear" w:color="auto" w:fill="auto"/>
            <w:vAlign w:val="center"/>
          </w:tcPr>
          <w:p w:rsidR="00070FC5" w:rsidRPr="00CC73F3" w:rsidRDefault="00070FC5" w:rsidP="00D639F5">
            <w:pPr>
              <w:jc w:val="center"/>
              <w:rPr>
                <w:rFonts w:eastAsia="Calibri"/>
                <w:i/>
              </w:rPr>
            </w:pPr>
            <w:r w:rsidRPr="00CC73F3">
              <w:rPr>
                <w:rFonts w:eastAsia="Calibri"/>
                <w:i/>
              </w:rPr>
              <w:t>Motivations of Customers to Participate in the</w:t>
            </w:r>
          </w:p>
          <w:p w:rsidR="00070FC5" w:rsidRPr="00CC73F3" w:rsidRDefault="00070FC5" w:rsidP="00D639F5">
            <w:pPr>
              <w:jc w:val="center"/>
              <w:rPr>
                <w:rFonts w:eastAsia="Calibri"/>
                <w:i/>
              </w:rPr>
            </w:pPr>
            <w:r w:rsidRPr="00CC73F3">
              <w:rPr>
                <w:rFonts w:eastAsia="Calibri"/>
                <w:i/>
              </w:rPr>
              <w:t>Cocreation of Innovation</w:t>
            </w:r>
          </w:p>
        </w:tc>
        <w:tc>
          <w:tcPr>
            <w:tcW w:w="7266" w:type="dxa"/>
            <w:shd w:val="clear" w:color="auto" w:fill="auto"/>
          </w:tcPr>
          <w:p w:rsidR="00070FC5" w:rsidRPr="00CC73F3" w:rsidRDefault="00070FC5" w:rsidP="00D639F5">
            <w:pPr>
              <w:contextualSpacing/>
              <w:rPr>
                <w:rFonts w:eastAsia="Calibri"/>
              </w:rPr>
            </w:pPr>
          </w:p>
          <w:p w:rsidR="00070FC5" w:rsidRPr="00CC73F3" w:rsidRDefault="00070FC5" w:rsidP="00D639F5">
            <w:pPr>
              <w:numPr>
                <w:ilvl w:val="0"/>
                <w:numId w:val="25"/>
              </w:numPr>
              <w:contextualSpacing/>
              <w:rPr>
                <w:rFonts w:eastAsia="Calibri"/>
              </w:rPr>
            </w:pPr>
            <w:r w:rsidRPr="00CC73F3">
              <w:rPr>
                <w:rFonts w:eastAsia="Calibri"/>
              </w:rPr>
              <w:t>Individuals are motivated to cocreate innovation with firms because of perceived learning benefits</w:t>
            </w:r>
          </w:p>
          <w:p w:rsidR="00070FC5" w:rsidRPr="00CC73F3" w:rsidRDefault="00070FC5" w:rsidP="00D639F5">
            <w:pPr>
              <w:numPr>
                <w:ilvl w:val="0"/>
                <w:numId w:val="25"/>
              </w:numPr>
              <w:contextualSpacing/>
              <w:rPr>
                <w:rFonts w:eastAsia="Calibri"/>
              </w:rPr>
            </w:pPr>
            <w:r w:rsidRPr="00CC73F3">
              <w:rPr>
                <w:rFonts w:eastAsia="Calibri"/>
              </w:rPr>
              <w:t>Individuals are motivated to cocreate innovation with firms because of perceived social benefits of interacting with other consumer-innovators</w:t>
            </w:r>
          </w:p>
          <w:p w:rsidR="00070FC5" w:rsidRPr="00CC73F3" w:rsidRDefault="00070FC5" w:rsidP="00D639F5">
            <w:pPr>
              <w:numPr>
                <w:ilvl w:val="0"/>
                <w:numId w:val="25"/>
              </w:numPr>
              <w:contextualSpacing/>
              <w:rPr>
                <w:rFonts w:eastAsia="Calibri"/>
              </w:rPr>
            </w:pPr>
            <w:r w:rsidRPr="00CC73F3">
              <w:rPr>
                <w:rFonts w:eastAsia="Calibri"/>
              </w:rPr>
              <w:t>Individuals are motivated to cocreate innovation with firms because of the utilitarian benefits of designing effective solutions that address value-in-use problems they face</w:t>
            </w:r>
          </w:p>
          <w:p w:rsidR="00070FC5" w:rsidRPr="00CC73F3" w:rsidRDefault="00070FC5" w:rsidP="00D639F5">
            <w:pPr>
              <w:numPr>
                <w:ilvl w:val="0"/>
                <w:numId w:val="25"/>
              </w:numPr>
              <w:contextualSpacing/>
              <w:rPr>
                <w:rFonts w:eastAsia="Calibri"/>
              </w:rPr>
            </w:pPr>
            <w:r w:rsidRPr="00CC73F3">
              <w:rPr>
                <w:rFonts w:eastAsia="Calibri"/>
              </w:rPr>
              <w:t>Individuals are motivated to cocreate innovation with firms because of perceived hedonic benefits and the enjoyment they receive from the creative process</w:t>
            </w:r>
          </w:p>
          <w:p w:rsidR="00070FC5" w:rsidRPr="00CC73F3" w:rsidRDefault="00070FC5" w:rsidP="00D639F5">
            <w:pPr>
              <w:contextualSpacing/>
              <w:rPr>
                <w:rFonts w:eastAsia="Calibri"/>
              </w:rPr>
            </w:pPr>
          </w:p>
        </w:tc>
        <w:tc>
          <w:tcPr>
            <w:tcW w:w="3150" w:type="dxa"/>
            <w:shd w:val="clear" w:color="auto" w:fill="auto"/>
            <w:vAlign w:val="center"/>
          </w:tcPr>
          <w:p w:rsidR="00070FC5" w:rsidRPr="00CC73F3" w:rsidRDefault="00070FC5" w:rsidP="00D639F5">
            <w:pPr>
              <w:jc w:val="center"/>
              <w:rPr>
                <w:rFonts w:eastAsia="Calibri"/>
              </w:rPr>
            </w:pPr>
            <w:r w:rsidRPr="00CC73F3">
              <w:rPr>
                <w:rFonts w:eastAsia="Calibri"/>
              </w:rPr>
              <w:t>Nambisan and Baron, 2009;</w:t>
            </w:r>
          </w:p>
          <w:p w:rsidR="00070FC5" w:rsidRPr="00CC73F3" w:rsidRDefault="00070FC5" w:rsidP="00D639F5">
            <w:pPr>
              <w:jc w:val="center"/>
              <w:rPr>
                <w:rFonts w:eastAsia="Calibri"/>
              </w:rPr>
            </w:pPr>
            <w:r w:rsidRPr="00CC73F3">
              <w:rPr>
                <w:rFonts w:eastAsia="Calibri"/>
              </w:rPr>
              <w:t>Kristensson et al., 2008;</w:t>
            </w:r>
          </w:p>
          <w:p w:rsidR="00070FC5" w:rsidRPr="00CC73F3" w:rsidRDefault="00070FC5" w:rsidP="00D639F5">
            <w:pPr>
              <w:jc w:val="center"/>
              <w:rPr>
                <w:rFonts w:eastAsia="Calibri"/>
              </w:rPr>
            </w:pPr>
            <w:r w:rsidRPr="00CC73F3">
              <w:rPr>
                <w:rFonts w:eastAsia="Calibri"/>
              </w:rPr>
              <w:t>Fuller et al. 2008</w:t>
            </w:r>
          </w:p>
        </w:tc>
      </w:tr>
      <w:tr w:rsidR="00070FC5" w:rsidRPr="00CC73F3" w:rsidTr="00D639F5">
        <w:tc>
          <w:tcPr>
            <w:tcW w:w="3624" w:type="dxa"/>
            <w:shd w:val="clear" w:color="auto" w:fill="auto"/>
            <w:vAlign w:val="center"/>
          </w:tcPr>
          <w:p w:rsidR="00070FC5" w:rsidRPr="00CC73F3" w:rsidRDefault="00070FC5" w:rsidP="00D639F5">
            <w:pPr>
              <w:jc w:val="center"/>
              <w:rPr>
                <w:rFonts w:eastAsia="Calibri"/>
                <w:i/>
              </w:rPr>
            </w:pPr>
            <w:r w:rsidRPr="00CC73F3">
              <w:rPr>
                <w:rFonts w:eastAsia="Calibri"/>
                <w:i/>
              </w:rPr>
              <w:t>Cocreated Innovation Effectiveness and Efficiency</w:t>
            </w:r>
          </w:p>
          <w:p w:rsidR="00070FC5" w:rsidRPr="00CC73F3" w:rsidRDefault="00070FC5" w:rsidP="00D639F5">
            <w:pPr>
              <w:jc w:val="center"/>
              <w:rPr>
                <w:rFonts w:eastAsia="Calibri"/>
                <w:i/>
              </w:rPr>
            </w:pPr>
          </w:p>
        </w:tc>
        <w:tc>
          <w:tcPr>
            <w:tcW w:w="7266" w:type="dxa"/>
            <w:shd w:val="clear" w:color="auto" w:fill="auto"/>
          </w:tcPr>
          <w:p w:rsidR="00070FC5" w:rsidRPr="00CC73F3" w:rsidRDefault="00070FC5" w:rsidP="00D639F5">
            <w:pPr>
              <w:contextualSpacing/>
              <w:rPr>
                <w:rFonts w:eastAsia="Calibri"/>
                <w:i/>
              </w:rPr>
            </w:pPr>
            <w:r w:rsidRPr="00CC73F3">
              <w:rPr>
                <w:rFonts w:eastAsia="Calibri"/>
                <w:i/>
              </w:rPr>
              <w:t>Cocreated New Product Effectiveness</w:t>
            </w:r>
          </w:p>
          <w:p w:rsidR="00070FC5" w:rsidRPr="00CC73F3" w:rsidRDefault="00070FC5" w:rsidP="00D639F5">
            <w:pPr>
              <w:numPr>
                <w:ilvl w:val="0"/>
                <w:numId w:val="26"/>
              </w:numPr>
              <w:contextualSpacing/>
              <w:rPr>
                <w:rFonts w:eastAsia="Calibri"/>
              </w:rPr>
            </w:pPr>
            <w:r w:rsidRPr="00CC73F3">
              <w:rPr>
                <w:rFonts w:eastAsia="Calibri"/>
              </w:rPr>
              <w:t>The cocreation of new products is positively associated with product quality.</w:t>
            </w:r>
          </w:p>
          <w:p w:rsidR="00070FC5" w:rsidRPr="00CC73F3" w:rsidRDefault="00070FC5" w:rsidP="00D639F5">
            <w:pPr>
              <w:numPr>
                <w:ilvl w:val="0"/>
                <w:numId w:val="26"/>
              </w:numPr>
              <w:contextualSpacing/>
              <w:rPr>
                <w:rFonts w:eastAsia="Calibri"/>
              </w:rPr>
            </w:pPr>
            <w:r w:rsidRPr="00CC73F3">
              <w:rPr>
                <w:rFonts w:eastAsia="Calibri"/>
              </w:rPr>
              <w:t>The cocreation of new products is positively associated with new product creativity.</w:t>
            </w:r>
          </w:p>
          <w:p w:rsidR="00070FC5" w:rsidRPr="00CC73F3" w:rsidRDefault="00070FC5" w:rsidP="00D639F5">
            <w:pPr>
              <w:numPr>
                <w:ilvl w:val="0"/>
                <w:numId w:val="26"/>
              </w:numPr>
              <w:contextualSpacing/>
              <w:rPr>
                <w:rFonts w:eastAsia="Calibri"/>
              </w:rPr>
            </w:pPr>
            <w:r w:rsidRPr="00CC73F3">
              <w:rPr>
                <w:rFonts w:eastAsia="Calibri"/>
              </w:rPr>
              <w:t>The cocreation of new products is positively associated with the development of products that more closely match unmet market needs, and subsequently, lower rates of market failure than internally-developed products.</w:t>
            </w:r>
          </w:p>
          <w:p w:rsidR="00070FC5" w:rsidRPr="00CC73F3" w:rsidRDefault="00070FC5" w:rsidP="00D639F5">
            <w:pPr>
              <w:numPr>
                <w:ilvl w:val="0"/>
                <w:numId w:val="26"/>
              </w:numPr>
              <w:contextualSpacing/>
              <w:rPr>
                <w:rFonts w:eastAsia="Calibri"/>
              </w:rPr>
            </w:pPr>
            <w:r w:rsidRPr="00CC73F3">
              <w:rPr>
                <w:rFonts w:eastAsia="Calibri"/>
              </w:rPr>
              <w:t>Cocreation is positively associated with decreased new product development time.</w:t>
            </w:r>
          </w:p>
          <w:p w:rsidR="00070FC5" w:rsidRPr="00CC73F3" w:rsidRDefault="00070FC5" w:rsidP="00D639F5">
            <w:pPr>
              <w:numPr>
                <w:ilvl w:val="0"/>
                <w:numId w:val="26"/>
              </w:numPr>
              <w:contextualSpacing/>
              <w:rPr>
                <w:rFonts w:eastAsia="Calibri"/>
              </w:rPr>
            </w:pPr>
            <w:r w:rsidRPr="00CC73F3">
              <w:rPr>
                <w:rFonts w:eastAsia="Calibri"/>
              </w:rPr>
              <w:t>User-generated products outperform those designed in-house</w:t>
            </w:r>
          </w:p>
          <w:p w:rsidR="00070FC5" w:rsidRPr="00CC73F3" w:rsidRDefault="00070FC5" w:rsidP="00D639F5">
            <w:pPr>
              <w:contextualSpacing/>
              <w:rPr>
                <w:rFonts w:eastAsia="Calibri"/>
              </w:rPr>
            </w:pPr>
          </w:p>
          <w:p w:rsidR="00070FC5" w:rsidRPr="00CC73F3" w:rsidRDefault="00070FC5" w:rsidP="00D639F5">
            <w:pPr>
              <w:rPr>
                <w:rFonts w:eastAsia="Calibri"/>
                <w:i/>
              </w:rPr>
            </w:pPr>
            <w:r w:rsidRPr="00CC73F3">
              <w:rPr>
                <w:rFonts w:eastAsia="Calibri"/>
                <w:i/>
              </w:rPr>
              <w:t>Cocreated New Product Efficiency</w:t>
            </w:r>
          </w:p>
          <w:p w:rsidR="00070FC5" w:rsidRPr="00CC73F3" w:rsidRDefault="00070FC5" w:rsidP="00D639F5">
            <w:pPr>
              <w:numPr>
                <w:ilvl w:val="0"/>
                <w:numId w:val="26"/>
              </w:numPr>
              <w:contextualSpacing/>
              <w:rPr>
                <w:rFonts w:eastAsia="Calibri"/>
              </w:rPr>
            </w:pPr>
            <w:r w:rsidRPr="00CC73F3">
              <w:rPr>
                <w:rFonts w:eastAsia="Calibri"/>
              </w:rPr>
              <w:t>The cocreation of new products is positively associated with decreased development time and costs.</w:t>
            </w:r>
          </w:p>
          <w:p w:rsidR="00070FC5" w:rsidRPr="00CC73F3" w:rsidRDefault="00070FC5" w:rsidP="00D639F5">
            <w:pPr>
              <w:numPr>
                <w:ilvl w:val="0"/>
                <w:numId w:val="26"/>
              </w:numPr>
              <w:contextualSpacing/>
              <w:rPr>
                <w:rFonts w:eastAsia="Calibri"/>
              </w:rPr>
            </w:pPr>
            <w:r w:rsidRPr="00CC73F3">
              <w:rPr>
                <w:rFonts w:eastAsia="Calibri"/>
              </w:rPr>
              <w:t>The cocreation of new products is positively associated with lower marketing costs through positive word of mouth and/or customer involvement in designing promotional materials.</w:t>
            </w:r>
          </w:p>
          <w:p w:rsidR="00070FC5" w:rsidRPr="00CC73F3" w:rsidRDefault="00070FC5" w:rsidP="00D639F5">
            <w:pPr>
              <w:ind w:left="720"/>
              <w:contextualSpacing/>
              <w:rPr>
                <w:rFonts w:eastAsia="Calibri"/>
              </w:rPr>
            </w:pPr>
          </w:p>
        </w:tc>
        <w:tc>
          <w:tcPr>
            <w:tcW w:w="3150" w:type="dxa"/>
            <w:shd w:val="clear" w:color="auto" w:fill="auto"/>
            <w:vAlign w:val="center"/>
          </w:tcPr>
          <w:p w:rsidR="00070FC5" w:rsidRPr="00CC73F3" w:rsidRDefault="00070FC5" w:rsidP="00D639F5">
            <w:pPr>
              <w:jc w:val="center"/>
              <w:rPr>
                <w:rFonts w:eastAsia="Calibri"/>
              </w:rPr>
            </w:pPr>
            <w:r w:rsidRPr="00CC73F3">
              <w:rPr>
                <w:rFonts w:eastAsia="Calibri"/>
              </w:rPr>
              <w:t>Antorini et al. 2012;</w:t>
            </w:r>
          </w:p>
          <w:p w:rsidR="00070FC5" w:rsidRPr="00CC73F3" w:rsidRDefault="00070FC5" w:rsidP="00D639F5">
            <w:pPr>
              <w:jc w:val="center"/>
              <w:rPr>
                <w:rFonts w:eastAsia="Calibri"/>
              </w:rPr>
            </w:pPr>
            <w:r w:rsidRPr="00CC73F3">
              <w:rPr>
                <w:rFonts w:eastAsia="Calibri"/>
              </w:rPr>
              <w:t>Hoyer et al. 2010;</w:t>
            </w:r>
          </w:p>
          <w:p w:rsidR="00070FC5" w:rsidRPr="00CC73F3" w:rsidRDefault="00070FC5" w:rsidP="00D639F5">
            <w:pPr>
              <w:jc w:val="center"/>
              <w:rPr>
                <w:rFonts w:eastAsia="Calibri"/>
              </w:rPr>
            </w:pPr>
            <w:r w:rsidRPr="00CC73F3">
              <w:rPr>
                <w:rFonts w:eastAsia="Calibri"/>
              </w:rPr>
              <w:t>Nishikawa et al., 2013;</w:t>
            </w:r>
          </w:p>
          <w:p w:rsidR="00070FC5" w:rsidRPr="00CC73F3" w:rsidRDefault="00070FC5" w:rsidP="00D639F5">
            <w:pPr>
              <w:jc w:val="center"/>
              <w:rPr>
                <w:rFonts w:eastAsia="Calibri"/>
              </w:rPr>
            </w:pPr>
            <w:r w:rsidRPr="00CC73F3">
              <w:rPr>
                <w:rFonts w:eastAsia="Calibri"/>
              </w:rPr>
              <w:t>O’Hern and Rindfleisch 2010;</w:t>
            </w:r>
          </w:p>
          <w:p w:rsidR="00070FC5" w:rsidRPr="00CC73F3" w:rsidRDefault="00070FC5" w:rsidP="00D639F5">
            <w:pPr>
              <w:jc w:val="center"/>
              <w:rPr>
                <w:rFonts w:eastAsia="Calibri"/>
              </w:rPr>
            </w:pPr>
            <w:r w:rsidRPr="00CC73F3">
              <w:rPr>
                <w:rFonts w:eastAsia="Calibri"/>
              </w:rPr>
              <w:t>Verhoef et al, 2013</w:t>
            </w:r>
          </w:p>
          <w:p w:rsidR="00070FC5" w:rsidRPr="00CC73F3" w:rsidRDefault="00070FC5" w:rsidP="00D639F5">
            <w:pPr>
              <w:jc w:val="center"/>
              <w:rPr>
                <w:rFonts w:eastAsia="Calibri"/>
              </w:rPr>
            </w:pPr>
          </w:p>
        </w:tc>
      </w:tr>
      <w:tr w:rsidR="00070FC5" w:rsidRPr="00CC73F3" w:rsidTr="00D639F5">
        <w:tc>
          <w:tcPr>
            <w:tcW w:w="3624" w:type="dxa"/>
            <w:shd w:val="clear" w:color="auto" w:fill="auto"/>
            <w:vAlign w:val="center"/>
          </w:tcPr>
          <w:p w:rsidR="00070FC5" w:rsidRPr="00CC73F3" w:rsidRDefault="00070FC5" w:rsidP="00D639F5">
            <w:pPr>
              <w:jc w:val="center"/>
              <w:rPr>
                <w:rFonts w:eastAsia="Calibri"/>
                <w:i/>
              </w:rPr>
            </w:pPr>
            <w:r w:rsidRPr="00CC73F3">
              <w:rPr>
                <w:rFonts w:eastAsia="Calibri"/>
                <w:i/>
              </w:rPr>
              <w:t>Cocreation of Innovation and Customer Metrics</w:t>
            </w:r>
          </w:p>
        </w:tc>
        <w:tc>
          <w:tcPr>
            <w:tcW w:w="7266" w:type="dxa"/>
            <w:shd w:val="clear" w:color="auto" w:fill="auto"/>
          </w:tcPr>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numPr>
                <w:ilvl w:val="0"/>
                <w:numId w:val="27"/>
              </w:numPr>
              <w:contextualSpacing/>
              <w:rPr>
                <w:rFonts w:eastAsia="Calibri"/>
              </w:rPr>
            </w:pPr>
            <w:r w:rsidRPr="00CC73F3">
              <w:rPr>
                <w:rFonts w:eastAsia="Calibri"/>
              </w:rPr>
              <w:t>Cocreation positively influences customer satisfaction with products and services.</w:t>
            </w:r>
          </w:p>
          <w:p w:rsidR="00070FC5" w:rsidRPr="00CC73F3" w:rsidRDefault="00070FC5" w:rsidP="00D639F5">
            <w:pPr>
              <w:numPr>
                <w:ilvl w:val="0"/>
                <w:numId w:val="27"/>
              </w:numPr>
              <w:contextualSpacing/>
              <w:rPr>
                <w:rFonts w:eastAsia="Calibri"/>
              </w:rPr>
            </w:pPr>
            <w:r w:rsidRPr="00CC73F3">
              <w:rPr>
                <w:rFonts w:eastAsia="Calibri"/>
              </w:rPr>
              <w:t>Customers show greater purchase intentions and a greater willingness to pay for cocreated new products.</w:t>
            </w:r>
          </w:p>
          <w:p w:rsidR="00070FC5" w:rsidRPr="00CC73F3" w:rsidRDefault="00070FC5" w:rsidP="00D639F5">
            <w:pPr>
              <w:numPr>
                <w:ilvl w:val="0"/>
                <w:numId w:val="27"/>
              </w:numPr>
              <w:contextualSpacing/>
              <w:rPr>
                <w:rFonts w:eastAsia="Calibri"/>
              </w:rPr>
            </w:pPr>
            <w:r w:rsidRPr="00CC73F3">
              <w:rPr>
                <w:rFonts w:eastAsia="Calibri"/>
              </w:rPr>
              <w:t>Customers are more willing to recommend cocreated new products to others (positive word-of-mouth effect).</w:t>
            </w: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tc>
        <w:tc>
          <w:tcPr>
            <w:tcW w:w="3150" w:type="dxa"/>
            <w:shd w:val="clear" w:color="auto" w:fill="auto"/>
            <w:vAlign w:val="center"/>
          </w:tcPr>
          <w:p w:rsidR="00070FC5" w:rsidRPr="00CC73F3" w:rsidRDefault="00070FC5" w:rsidP="00D639F5">
            <w:pPr>
              <w:jc w:val="center"/>
              <w:rPr>
                <w:rFonts w:eastAsia="Calibri"/>
              </w:rPr>
            </w:pPr>
            <w:r w:rsidRPr="00CC73F3">
              <w:rPr>
                <w:rFonts w:eastAsia="Calibri"/>
              </w:rPr>
              <w:t>Auh et al., 2007;</w:t>
            </w:r>
          </w:p>
          <w:p w:rsidR="00070FC5" w:rsidRPr="00CC73F3" w:rsidRDefault="00070FC5" w:rsidP="00D639F5">
            <w:pPr>
              <w:jc w:val="center"/>
              <w:rPr>
                <w:rFonts w:eastAsia="Calibri"/>
              </w:rPr>
            </w:pPr>
            <w:r w:rsidRPr="00CC73F3">
              <w:rPr>
                <w:rFonts w:eastAsia="Calibri"/>
              </w:rPr>
              <w:t>Dong et al., 2008;</w:t>
            </w:r>
          </w:p>
          <w:p w:rsidR="00070FC5" w:rsidRPr="00CC73F3" w:rsidRDefault="00070FC5" w:rsidP="00D639F5">
            <w:pPr>
              <w:jc w:val="center"/>
              <w:rPr>
                <w:rFonts w:eastAsia="Calibri"/>
              </w:rPr>
            </w:pPr>
            <w:r w:rsidRPr="00CC73F3">
              <w:rPr>
                <w:rFonts w:eastAsia="Calibri"/>
              </w:rPr>
              <w:t>Schreier et al., 2012</w:t>
            </w:r>
          </w:p>
        </w:tc>
      </w:tr>
      <w:tr w:rsidR="00070FC5" w:rsidRPr="00CC73F3" w:rsidTr="00D639F5">
        <w:tc>
          <w:tcPr>
            <w:tcW w:w="3624" w:type="dxa"/>
            <w:shd w:val="clear" w:color="auto" w:fill="auto"/>
            <w:vAlign w:val="center"/>
          </w:tcPr>
          <w:p w:rsidR="00070FC5" w:rsidRPr="00CC73F3" w:rsidRDefault="00070FC5" w:rsidP="00D639F5">
            <w:pPr>
              <w:jc w:val="center"/>
              <w:rPr>
                <w:rFonts w:eastAsia="Calibri"/>
                <w:i/>
              </w:rPr>
            </w:pPr>
            <w:r w:rsidRPr="00CC73F3">
              <w:rPr>
                <w:rFonts w:eastAsia="Calibri"/>
                <w:i/>
              </w:rPr>
              <w:t>Cocreation of Innovation and Brand Management</w:t>
            </w:r>
          </w:p>
        </w:tc>
        <w:tc>
          <w:tcPr>
            <w:tcW w:w="7266" w:type="dxa"/>
            <w:shd w:val="clear" w:color="auto" w:fill="auto"/>
          </w:tcPr>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numPr>
                <w:ilvl w:val="0"/>
                <w:numId w:val="27"/>
              </w:numPr>
              <w:contextualSpacing/>
              <w:rPr>
                <w:rFonts w:eastAsia="Calibri"/>
              </w:rPr>
            </w:pPr>
            <w:r w:rsidRPr="00CC73F3">
              <w:rPr>
                <w:rFonts w:eastAsia="Calibri"/>
              </w:rPr>
              <w:t>Participation in the development of luxury brands, particularly with a firm’s head designer positively influences consumer perceptions of luxury products and the status they confer.</w:t>
            </w:r>
          </w:p>
          <w:p w:rsidR="00070FC5" w:rsidRPr="00CC73F3" w:rsidRDefault="00070FC5" w:rsidP="00D639F5">
            <w:pPr>
              <w:numPr>
                <w:ilvl w:val="0"/>
                <w:numId w:val="27"/>
              </w:numPr>
              <w:contextualSpacing/>
              <w:rPr>
                <w:rFonts w:eastAsia="Calibri"/>
              </w:rPr>
            </w:pPr>
            <w:r w:rsidRPr="00CC73F3">
              <w:rPr>
                <w:rFonts w:eastAsia="Calibri"/>
              </w:rPr>
              <w:t>Consumers view firms as more innovative when they promote products as user designed. This effect is driven by the perception that cocreated market offerings are the products of a process that includes greater diversity and better attention to customer needs than internally-developed products.</w:t>
            </w:r>
          </w:p>
          <w:p w:rsidR="00070FC5" w:rsidRPr="00CC73F3" w:rsidRDefault="00070FC5" w:rsidP="00D639F5">
            <w:pPr>
              <w:numPr>
                <w:ilvl w:val="0"/>
                <w:numId w:val="27"/>
              </w:numPr>
              <w:contextualSpacing/>
              <w:rPr>
                <w:rFonts w:eastAsia="Calibri"/>
              </w:rPr>
            </w:pPr>
            <w:r w:rsidRPr="00CC73F3">
              <w:rPr>
                <w:rFonts w:eastAsia="Calibri"/>
              </w:rPr>
              <w:t>Labeling a product as “user designed” may backfire in the context of luxury brands, causing consumers to few such products as lower quality and less valuable as status symbols</w:t>
            </w: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tc>
        <w:tc>
          <w:tcPr>
            <w:tcW w:w="3150" w:type="dxa"/>
            <w:shd w:val="clear" w:color="auto" w:fill="auto"/>
            <w:vAlign w:val="center"/>
          </w:tcPr>
          <w:p w:rsidR="00070FC5" w:rsidRPr="00CC73F3" w:rsidRDefault="00070FC5" w:rsidP="00D639F5">
            <w:pPr>
              <w:jc w:val="center"/>
              <w:rPr>
                <w:rFonts w:eastAsia="Calibri"/>
              </w:rPr>
            </w:pPr>
            <w:r w:rsidRPr="00CC73F3">
              <w:rPr>
                <w:rFonts w:eastAsia="Calibri"/>
              </w:rPr>
              <w:t>Tynan et al. 2010;</w:t>
            </w:r>
          </w:p>
          <w:p w:rsidR="00070FC5" w:rsidRPr="00CC73F3" w:rsidRDefault="00070FC5" w:rsidP="00D639F5">
            <w:pPr>
              <w:jc w:val="center"/>
              <w:rPr>
                <w:rFonts w:eastAsia="Calibri"/>
              </w:rPr>
            </w:pPr>
            <w:r w:rsidRPr="00CC73F3">
              <w:rPr>
                <w:rFonts w:eastAsia="Calibri"/>
              </w:rPr>
              <w:t>Schreier et al., 2012;</w:t>
            </w:r>
          </w:p>
          <w:p w:rsidR="00070FC5" w:rsidRPr="00CC73F3" w:rsidRDefault="00070FC5" w:rsidP="00D639F5">
            <w:pPr>
              <w:jc w:val="center"/>
              <w:rPr>
                <w:rFonts w:eastAsia="Calibri"/>
              </w:rPr>
            </w:pPr>
            <w:r w:rsidRPr="00CC73F3">
              <w:rPr>
                <w:rFonts w:eastAsia="Calibri"/>
              </w:rPr>
              <w:t>Fuchs et al., 2013</w:t>
            </w:r>
          </w:p>
        </w:tc>
      </w:tr>
      <w:tr w:rsidR="00070FC5" w:rsidRPr="00CC73F3" w:rsidTr="00D639F5">
        <w:tc>
          <w:tcPr>
            <w:tcW w:w="3624" w:type="dxa"/>
            <w:tcBorders>
              <w:bottom w:val="single" w:sz="18"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Challenges and Research Gaps in the Cocreation of Innovation</w:t>
            </w:r>
          </w:p>
        </w:tc>
        <w:tc>
          <w:tcPr>
            <w:tcW w:w="7266" w:type="dxa"/>
            <w:tcBorders>
              <w:bottom w:val="single" w:sz="18" w:space="0" w:color="auto"/>
            </w:tcBorders>
            <w:shd w:val="clear" w:color="auto" w:fill="auto"/>
          </w:tcPr>
          <w:p w:rsidR="00070FC5" w:rsidRPr="00CC73F3" w:rsidRDefault="00070FC5" w:rsidP="00D639F5">
            <w:pPr>
              <w:contextualSpacing/>
              <w:rPr>
                <w:rFonts w:eastAsia="Calibri"/>
              </w:rPr>
            </w:pPr>
          </w:p>
          <w:p w:rsidR="00070FC5" w:rsidRPr="00CC73F3" w:rsidRDefault="00070FC5" w:rsidP="00D639F5">
            <w:pPr>
              <w:numPr>
                <w:ilvl w:val="0"/>
                <w:numId w:val="28"/>
              </w:numPr>
              <w:contextualSpacing/>
              <w:rPr>
                <w:rFonts w:eastAsia="Calibri"/>
              </w:rPr>
            </w:pPr>
            <w:r w:rsidRPr="00CC73F3">
              <w:rPr>
                <w:rFonts w:eastAsia="Calibri"/>
              </w:rPr>
              <w:t>Cocreating often creates challenges for firm to develop appropriate incentives to keep customers engaged and motivated to freely give of their creative energy, efforts, and time.</w:t>
            </w:r>
          </w:p>
          <w:p w:rsidR="00070FC5" w:rsidRPr="00CC73F3" w:rsidRDefault="00070FC5" w:rsidP="00D639F5">
            <w:pPr>
              <w:numPr>
                <w:ilvl w:val="0"/>
                <w:numId w:val="28"/>
              </w:numPr>
              <w:contextualSpacing/>
              <w:rPr>
                <w:rFonts w:eastAsia="Calibri"/>
              </w:rPr>
            </w:pPr>
            <w:r w:rsidRPr="00CC73F3">
              <w:rPr>
                <w:rFonts w:eastAsia="Calibri"/>
              </w:rPr>
              <w:t>Cocreating innovations with customers may present challenges in managing customer expectations and relationships, particularly when firms override popular customer ideas.</w:t>
            </w:r>
          </w:p>
          <w:p w:rsidR="00070FC5" w:rsidRPr="00CC73F3" w:rsidRDefault="00070FC5" w:rsidP="00D639F5">
            <w:pPr>
              <w:numPr>
                <w:ilvl w:val="0"/>
                <w:numId w:val="28"/>
              </w:numPr>
              <w:contextualSpacing/>
              <w:rPr>
                <w:rFonts w:eastAsia="Calibri"/>
              </w:rPr>
            </w:pPr>
            <w:r w:rsidRPr="00CC73F3">
              <w:rPr>
                <w:rFonts w:eastAsia="Calibri"/>
              </w:rPr>
              <w:t>Cocreating with customers diminishes the amount of control firms have over strategic planning.</w:t>
            </w:r>
          </w:p>
          <w:p w:rsidR="00070FC5" w:rsidRPr="00CC73F3" w:rsidRDefault="00070FC5" w:rsidP="00D639F5">
            <w:pPr>
              <w:numPr>
                <w:ilvl w:val="0"/>
                <w:numId w:val="28"/>
              </w:numPr>
              <w:contextualSpacing/>
              <w:rPr>
                <w:rFonts w:eastAsia="Calibri"/>
              </w:rPr>
            </w:pPr>
            <w:r w:rsidRPr="00CC73F3">
              <w:rPr>
                <w:rFonts w:eastAsia="Calibri"/>
              </w:rPr>
              <w:t>Firms may find it more difficult to manage the objectives of their innovation strategy when the NPD process is opened to customers.</w:t>
            </w:r>
          </w:p>
          <w:p w:rsidR="00070FC5" w:rsidRPr="00CC73F3" w:rsidRDefault="00070FC5" w:rsidP="00D639F5">
            <w:pPr>
              <w:numPr>
                <w:ilvl w:val="0"/>
                <w:numId w:val="28"/>
              </w:numPr>
              <w:contextualSpacing/>
              <w:rPr>
                <w:rFonts w:eastAsia="Calibri"/>
              </w:rPr>
            </w:pPr>
            <w:r w:rsidRPr="00CC73F3">
              <w:rPr>
                <w:rFonts w:eastAsia="Calibri"/>
              </w:rPr>
              <w:t>Cocreating innovation increases the level of complexity in evaluating and selecting customer ideas.</w:t>
            </w:r>
          </w:p>
          <w:p w:rsidR="00070FC5" w:rsidRPr="00CC73F3" w:rsidRDefault="00070FC5" w:rsidP="00D639F5">
            <w:pPr>
              <w:numPr>
                <w:ilvl w:val="0"/>
                <w:numId w:val="28"/>
              </w:numPr>
              <w:contextualSpacing/>
              <w:rPr>
                <w:rFonts w:eastAsia="Calibri"/>
              </w:rPr>
            </w:pPr>
            <w:r w:rsidRPr="00CC73F3">
              <w:rPr>
                <w:rFonts w:eastAsia="Calibri"/>
              </w:rPr>
              <w:t>Firms’ development professionals may struggle in recognizing quality ideas from customers, especially when idea volume is high.</w:t>
            </w:r>
          </w:p>
          <w:p w:rsidR="00070FC5" w:rsidRPr="00CC73F3" w:rsidRDefault="00070FC5" w:rsidP="00D639F5">
            <w:pPr>
              <w:numPr>
                <w:ilvl w:val="0"/>
                <w:numId w:val="28"/>
              </w:numPr>
              <w:contextualSpacing/>
              <w:rPr>
                <w:rFonts w:eastAsia="Calibri"/>
              </w:rPr>
            </w:pPr>
            <w:r w:rsidRPr="00CC73F3">
              <w:rPr>
                <w:rFonts w:eastAsia="Calibri"/>
              </w:rPr>
              <w:t>Marketing research has focused on improving customers’ and employees’ ability and motivation to generate creative ideas, but no existing research investigates how firms evaluate and select customer ideas.</w:t>
            </w:r>
          </w:p>
          <w:p w:rsidR="00070FC5" w:rsidRPr="00CC73F3" w:rsidRDefault="00070FC5" w:rsidP="00D639F5">
            <w:pPr>
              <w:rPr>
                <w:rFonts w:eastAsia="Calibri"/>
              </w:rPr>
            </w:pPr>
          </w:p>
          <w:p w:rsidR="00070FC5" w:rsidRPr="00CC73F3" w:rsidRDefault="00070FC5" w:rsidP="00D639F5">
            <w:pPr>
              <w:rPr>
                <w:rFonts w:eastAsia="Calibri"/>
              </w:rPr>
            </w:pPr>
          </w:p>
          <w:p w:rsidR="00070FC5" w:rsidRPr="00CC73F3" w:rsidRDefault="00070FC5" w:rsidP="00D639F5">
            <w:pPr>
              <w:rPr>
                <w:rFonts w:eastAsia="Calibri"/>
              </w:rPr>
            </w:pPr>
          </w:p>
        </w:tc>
        <w:tc>
          <w:tcPr>
            <w:tcW w:w="3150" w:type="dxa"/>
            <w:tcBorders>
              <w:bottom w:val="single" w:sz="18" w:space="0" w:color="auto"/>
            </w:tcBorders>
            <w:shd w:val="clear" w:color="auto" w:fill="auto"/>
            <w:vAlign w:val="center"/>
          </w:tcPr>
          <w:p w:rsidR="00070FC5" w:rsidRPr="00CC73F3" w:rsidRDefault="00070FC5" w:rsidP="00D639F5">
            <w:pPr>
              <w:jc w:val="center"/>
              <w:rPr>
                <w:rFonts w:eastAsia="Calibri"/>
              </w:rPr>
            </w:pPr>
            <w:r w:rsidRPr="00CC73F3">
              <w:rPr>
                <w:rFonts w:eastAsia="Calibri"/>
              </w:rPr>
              <w:t>Gebauer et al., 2013;</w:t>
            </w:r>
          </w:p>
          <w:p w:rsidR="00070FC5" w:rsidRPr="00CC73F3" w:rsidRDefault="00070FC5" w:rsidP="00D639F5">
            <w:pPr>
              <w:jc w:val="center"/>
              <w:rPr>
                <w:rFonts w:eastAsia="Calibri"/>
              </w:rPr>
            </w:pPr>
            <w:r w:rsidRPr="00CC73F3">
              <w:rPr>
                <w:rFonts w:eastAsia="Calibri"/>
              </w:rPr>
              <w:t>Hoyer et al. 2010;</w:t>
            </w:r>
          </w:p>
          <w:p w:rsidR="00070FC5" w:rsidRPr="00CC73F3" w:rsidRDefault="00070FC5" w:rsidP="00D639F5">
            <w:pPr>
              <w:jc w:val="center"/>
              <w:rPr>
                <w:rFonts w:eastAsia="Calibri"/>
              </w:rPr>
            </w:pPr>
            <w:r w:rsidRPr="00CC73F3">
              <w:rPr>
                <w:rFonts w:eastAsia="Calibri"/>
              </w:rPr>
              <w:t>O’Hern and Rindfleisch 2010;</w:t>
            </w:r>
          </w:p>
          <w:p w:rsidR="00070FC5" w:rsidRPr="00CC73F3" w:rsidRDefault="00070FC5" w:rsidP="00D639F5">
            <w:pPr>
              <w:jc w:val="center"/>
              <w:rPr>
                <w:rFonts w:eastAsia="Calibri"/>
              </w:rPr>
            </w:pPr>
            <w:r w:rsidRPr="00CC73F3">
              <w:rPr>
                <w:rFonts w:eastAsia="Calibri"/>
              </w:rPr>
              <w:t>Bayus 2013;</w:t>
            </w:r>
          </w:p>
          <w:p w:rsidR="00070FC5" w:rsidRPr="00CC73F3" w:rsidRDefault="00070FC5" w:rsidP="00D639F5">
            <w:pPr>
              <w:jc w:val="center"/>
              <w:rPr>
                <w:rFonts w:eastAsia="Calibri"/>
              </w:rPr>
            </w:pPr>
            <w:r w:rsidRPr="00CC73F3">
              <w:rPr>
                <w:rFonts w:eastAsia="Calibri"/>
              </w:rPr>
              <w:t>Verhoef et al. 2013</w:t>
            </w:r>
          </w:p>
          <w:p w:rsidR="00070FC5" w:rsidRPr="00CC73F3" w:rsidRDefault="00070FC5" w:rsidP="00D639F5">
            <w:pPr>
              <w:jc w:val="center"/>
              <w:rPr>
                <w:rFonts w:eastAsia="Calibri"/>
              </w:rPr>
            </w:pPr>
          </w:p>
        </w:tc>
      </w:tr>
    </w:tbl>
    <w:p w:rsidR="00070FC5" w:rsidRPr="00CC73F3" w:rsidRDefault="00070FC5" w:rsidP="00D639F5">
      <w:pPr>
        <w:spacing w:line="276" w:lineRule="auto"/>
        <w:rPr>
          <w:rFonts w:eastAsia="Calibri"/>
          <w:b/>
          <w:szCs w:val="22"/>
          <w:u w:val="single"/>
        </w:rPr>
        <w:sectPr w:rsidR="00070FC5" w:rsidRPr="00CC73F3" w:rsidSect="00D639F5">
          <w:pgSz w:w="15840" w:h="12240" w:orient="landscape"/>
          <w:pgMar w:top="1440" w:right="1440" w:bottom="1440" w:left="1440" w:header="720" w:footer="720" w:gutter="0"/>
          <w:cols w:space="720"/>
          <w:docGrid w:linePitch="360"/>
        </w:sectPr>
      </w:pPr>
    </w:p>
    <w:p w:rsidR="00070FC5" w:rsidRPr="00CC73F3" w:rsidRDefault="00070FC5" w:rsidP="00D639F5">
      <w:pPr>
        <w:spacing w:line="480" w:lineRule="auto"/>
        <w:rPr>
          <w:rFonts w:eastAsia="Calibri"/>
          <w:szCs w:val="22"/>
        </w:rPr>
      </w:pPr>
      <w:r w:rsidRPr="00CC73F3">
        <w:rPr>
          <w:rFonts w:eastAsia="Calibri"/>
          <w:szCs w:val="22"/>
        </w:rPr>
        <w:t>cocreation, customer motivations to contribute to cocreation, effectiveness and efficiency outcomes of cocreation, the influence of cocreation on customers, cocreation and brand management, and the challenges and research gaps in the current literature. The summary of the topics and key findings in the cocreation of innovation literature are outlined in Table 2.</w:t>
      </w:r>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21" w:name="_Toc420572557"/>
      <w:r w:rsidRPr="00CC73F3">
        <w:t>Ability of Customers to Contribute to the Cocreation of Innovation</w:t>
      </w:r>
      <w:bookmarkEnd w:id="21"/>
    </w:p>
    <w:p w:rsidR="00070FC5" w:rsidRPr="00CC73F3" w:rsidRDefault="00070FC5" w:rsidP="00D639F5">
      <w:pPr>
        <w:spacing w:line="480" w:lineRule="auto"/>
        <w:contextualSpacing/>
        <w:rPr>
          <w:rFonts w:eastAsia="Calibri"/>
          <w:szCs w:val="22"/>
        </w:rPr>
      </w:pPr>
      <w:r w:rsidRPr="00CC73F3">
        <w:rPr>
          <w:rFonts w:eastAsia="Calibri"/>
          <w:szCs w:val="22"/>
        </w:rPr>
        <w:tab/>
        <w:t xml:space="preserve">There has been some debate in the literature as to whether customers are truly capable of making meaningful contributions to innovation beyond participating in focus groups and market research projects (e.g., Bennett and Cooper, 1981; Ogawa and Piller, 2006; Poetz and Schreier, 2012; Ulrich and Eppinger, 2008). The argument against customers’ ability to directly contribute to innovation hinges on the notion that customers may not always be able to articulate their own needs, and may have experience with only a few of the product usage situations the broader market of customers is likely to encounter. More recent empirical studies, however, lend strong support to the argument that customer-generated new product concepts equal or outperform concepts generated by firms’ own development professionals. </w:t>
      </w:r>
    </w:p>
    <w:p w:rsidR="00070FC5" w:rsidRPr="00CC73F3" w:rsidRDefault="00070FC5" w:rsidP="00D639F5">
      <w:pPr>
        <w:spacing w:line="480" w:lineRule="auto"/>
        <w:rPr>
          <w:rFonts w:eastAsia="Calibri"/>
          <w:szCs w:val="22"/>
        </w:rPr>
      </w:pPr>
      <w:r w:rsidRPr="00CC73F3">
        <w:rPr>
          <w:rFonts w:eastAsia="Calibri"/>
          <w:szCs w:val="22"/>
        </w:rPr>
        <w:tab/>
        <w:t>Magnusson et al. (2003) conducted an experiment to compare the innovativeness of ideas for new mobile telephone services created by end-users, professionals, and users who consulted with professionals. Their outcome measure was based on three dimensions – originality, user value, and producibility. Their findings indicated that users who did not consult with professionals had ideas that scored the highest on originality, scored lower than professionals and users who consulted with professionals on producibility, and were on par with professional and consulting users for user value. When looking at only the highest quartile of submitted ideas, they found similar results with the exception that the best-performing ordinary users produced ideas that were on par with professionals in terms of feasibility. The authors conclude that the quality of internally-generated ideas may suffer because of the cognitive inertia that develops when product development rely too heavily on past successes or current implementation capabilities in the idea generation process.</w:t>
      </w:r>
    </w:p>
    <w:p w:rsidR="00070FC5" w:rsidRPr="00CC73F3" w:rsidRDefault="00070FC5" w:rsidP="00D639F5">
      <w:pPr>
        <w:spacing w:line="480" w:lineRule="auto"/>
        <w:rPr>
          <w:rFonts w:eastAsia="Calibri"/>
          <w:szCs w:val="22"/>
        </w:rPr>
      </w:pPr>
      <w:r w:rsidRPr="00CC73F3">
        <w:rPr>
          <w:rFonts w:eastAsia="Calibri"/>
          <w:szCs w:val="22"/>
        </w:rPr>
        <w:tab/>
        <w:t>Kristensson et al. (2004) also conducted an experiment to directly test the premise that customers are better-able to develop innovative new product ideas than firms’ development teams. They compared ideas created by customers, ideas created by advanced customers who had deep product knowledge, and ideas created by professional developers on their levels of relevance, novelty, and realizability. They found that novice customers created ideas that were superior to both professionals and expert customers on novelty and relevance, while professionals and expert customers scored highest on realizability. Their conclusion was that customers are better at divergent thinking because they are unconstrained by existing designs, capabilities, and past successes that hinder more experienced customers and firm professionals.</w:t>
      </w:r>
    </w:p>
    <w:p w:rsidR="00070FC5" w:rsidRPr="00CC73F3" w:rsidRDefault="00070FC5" w:rsidP="00D639F5">
      <w:pPr>
        <w:spacing w:line="480" w:lineRule="auto"/>
        <w:rPr>
          <w:rFonts w:eastAsia="Calibri"/>
          <w:szCs w:val="22"/>
        </w:rPr>
      </w:pPr>
      <w:r w:rsidRPr="00CC73F3">
        <w:rPr>
          <w:rFonts w:eastAsia="Calibri"/>
          <w:szCs w:val="22"/>
        </w:rPr>
        <w:tab/>
        <w:t xml:space="preserve">Ogawa and Piller (2006) directly confront the assertion that customers cannot develop innovative product ideas, instead arguing that consumers that cocreate innovation are uniquely positioned to develop novel ideas that will surprise and delight a firm’s customers. Products developed internally often fail because they draw on limited or faulty insight and end up developing products for “ideal” customers that don’t actually exist. Further, they argue that traditional market research (e.g., focus groups and forecasting) have failed because they offer little realism, are subject to group interaction biases, and cannot do well in forecasting demand for radically new products and services. In their view, consumers are best-suited to make direct contributions to innovations when firms want to develop really innovative products for which there is no market data from which to draw insight, and when developing products for narrow market segments. Despite their general favorable opinion toward the practice of cocreating innovation, they caution that firms must maintain the “final word” on product concepts rather than adopting an entirely democratic process, as firms </w:t>
      </w:r>
      <w:proofErr w:type="gramStart"/>
      <w:r w:rsidRPr="00CC73F3">
        <w:rPr>
          <w:rFonts w:eastAsia="Calibri"/>
          <w:szCs w:val="22"/>
        </w:rPr>
        <w:t>are</w:t>
      </w:r>
      <w:proofErr w:type="gramEnd"/>
      <w:r w:rsidRPr="00CC73F3">
        <w:rPr>
          <w:rFonts w:eastAsia="Calibri"/>
          <w:szCs w:val="22"/>
        </w:rPr>
        <w:t xml:space="preserve"> likely to have internal knowledge not available to the average cocreation collaborator.</w:t>
      </w:r>
    </w:p>
    <w:p w:rsidR="00070FC5" w:rsidRPr="00CC73F3" w:rsidRDefault="00070FC5" w:rsidP="00D639F5">
      <w:pPr>
        <w:spacing w:line="480" w:lineRule="auto"/>
        <w:rPr>
          <w:rFonts w:eastAsia="Calibri"/>
          <w:szCs w:val="22"/>
        </w:rPr>
      </w:pPr>
      <w:r w:rsidRPr="00CC73F3">
        <w:rPr>
          <w:rFonts w:eastAsia="Calibri"/>
          <w:szCs w:val="22"/>
        </w:rPr>
        <w:tab/>
        <w:t>Similar to the argument presented by Magnusson et al. (2003), and Kristensson et al. (2004), Kristensson, Matthing, and Johansson (2008) argue that customer ideas can sometimes be inherently more valuable because product development experts often develop predictable thinking that inhibits their creativity. In their view customer ideas do not suffer the experience bias that a company’s own employees might have, thus customers are better able to develop novel ways with dealing with problems. They also argue that, as a collective, customer ideas for innovation may offer firms a great deal of insight because they present a cross-section of usage types and roles.</w:t>
      </w:r>
    </w:p>
    <w:p w:rsidR="00070FC5" w:rsidRPr="00CC73F3" w:rsidRDefault="00070FC5" w:rsidP="00D639F5">
      <w:pPr>
        <w:spacing w:line="480" w:lineRule="auto"/>
        <w:rPr>
          <w:rFonts w:eastAsia="Calibri"/>
          <w:szCs w:val="22"/>
        </w:rPr>
      </w:pPr>
      <w:r w:rsidRPr="00CC73F3">
        <w:rPr>
          <w:rFonts w:eastAsia="Calibri"/>
          <w:szCs w:val="22"/>
        </w:rPr>
        <w:tab/>
        <w:t>Poetz and Schreier (2012) conducted an experimental study experiment to determine whether or not users could outperform professionals on innovativeness rather than just acting as a source of intelligence regarding customer needs. In their study, a separate group of users and professionals generated ideas, which were then judged by company managers blind to the source of each idea on the dimensions of novelty, customer benefit, and feasibility. Their study was driven by the assumption that users can be a good source for discovering unmet needs in a particular product category, but are less useful for developing concepts for how those needs should be met (e.g. what particular technologies and product design should be applied to meet customer needs). Their findings showed that user-generated ideas were more novel and better addressed customer needs, but were more difficult to implement compared to ideas generated by professionals. However, like Magnusson et al. (2003), they also analyzed a subset of only the best ideas (those with scores above the mid-point on all three dimensions) and found that user ideas were highly comparable with professional ideas in feasibility.</w:t>
      </w:r>
    </w:p>
    <w:p w:rsidR="00070FC5" w:rsidRPr="00CC73F3" w:rsidRDefault="00070FC5" w:rsidP="00D639F5">
      <w:pPr>
        <w:spacing w:line="480" w:lineRule="auto"/>
        <w:rPr>
          <w:rFonts w:eastAsia="Calibri"/>
          <w:szCs w:val="22"/>
        </w:rPr>
      </w:pPr>
      <w:r w:rsidRPr="00CC73F3">
        <w:rPr>
          <w:rFonts w:eastAsia="Calibri"/>
          <w:szCs w:val="22"/>
        </w:rPr>
        <w:tab/>
        <w:t>Bayus (2013) presents a similar view of customers’ ability to contribute directly to a firm’s innovation efforts. He conducted a study of contributors to Dell’s online IdeaStorm project in which customers can submit ideas for new products and services, and analyzed the characteristics of customer whose ideas were ultimately adopted by Dell. He argues that, while consumers do often develop innovative ideas, their potential may have its limits because inventors rarely have access to all of the available, pertinent information needed to develop a successful innovation concept. On the other hand, customers, especially first-time submitters, do often have ideas that are highly promising, which may be because they are less-restricted by the cognitive inertia which can be caused by previous “wins." His findings suggest that while the novelty and meaningfulness of consumer-submitted ideas may be high, feasibility is contingent on access to additional information, which these individuals are typically lacking. He also finds that serial ideators can overcome these barriers by the level to which they interact in a user community and are exposed to other customers’ ideas.</w:t>
      </w:r>
    </w:p>
    <w:p w:rsidR="00070FC5" w:rsidRPr="00CC73F3" w:rsidRDefault="00070FC5" w:rsidP="00D639F5">
      <w:pPr>
        <w:spacing w:line="480" w:lineRule="auto"/>
        <w:rPr>
          <w:rFonts w:eastAsia="Calibri"/>
          <w:szCs w:val="22"/>
        </w:rPr>
      </w:pPr>
      <w:r w:rsidRPr="00CC73F3">
        <w:rPr>
          <w:rFonts w:eastAsia="Calibri"/>
          <w:szCs w:val="22"/>
        </w:rPr>
        <w:tab/>
        <w:t xml:space="preserve">Nishikawa et al. (2013) conducted an empirical examination of user-generated products and designer-generated products. They followed the products over a course of three years. Their findings showed that user-generated products dramatically outperformed those designed in-house at one consumer goods firm. After three years the sales revenues of user-generated products were five times higher and the average margins were six times higher </w:t>
      </w:r>
      <w:proofErr w:type="spellStart"/>
      <w:r w:rsidRPr="00CC73F3">
        <w:rPr>
          <w:rFonts w:eastAsia="Calibri"/>
          <w:szCs w:val="22"/>
        </w:rPr>
        <w:t>that</w:t>
      </w:r>
      <w:proofErr w:type="spellEnd"/>
      <w:r w:rsidRPr="00CC73F3">
        <w:rPr>
          <w:rFonts w:eastAsia="Calibri"/>
          <w:szCs w:val="22"/>
        </w:rPr>
        <w:t xml:space="preserve"> those of products designed in-house. Further the user-generated products were more likely to still be on the market three years after introduction than the in-house products.</w:t>
      </w:r>
    </w:p>
    <w:p w:rsidR="00070FC5" w:rsidRPr="00CC73F3" w:rsidRDefault="00070FC5" w:rsidP="00D639F5">
      <w:pPr>
        <w:spacing w:line="480" w:lineRule="auto"/>
        <w:rPr>
          <w:rFonts w:eastAsia="Calibri"/>
          <w:szCs w:val="22"/>
        </w:rPr>
      </w:pPr>
      <w:r w:rsidRPr="00CC73F3">
        <w:rPr>
          <w:rFonts w:eastAsia="Calibri"/>
          <w:szCs w:val="22"/>
        </w:rPr>
        <w:tab/>
        <w:t>Mahr et al. (2014) argue that customers may be best-suited for creating concepts that are highly relevant, but moderately novel, as highly novel products have lower market adoption rates. In their view optimal customer contributions some from customer with whom a firm has rich and deep communication, such as lead users. Their study included a survey conducted among managers who worked with customers in developing new products. They found that customers can indeed develop highly novel and highly relevant new product concepts, but that relevance may matter more than novelty to successful market adoption of cocreated new products. Additionally, they found that customers with whom the firm had rich and deep communication (e.g. lead users) were better-suited to developing innovative ideas for new products.</w:t>
      </w:r>
    </w:p>
    <w:p w:rsidR="00070FC5" w:rsidRPr="00CC73F3" w:rsidRDefault="00070FC5" w:rsidP="00D639F5">
      <w:pPr>
        <w:spacing w:line="480" w:lineRule="auto"/>
        <w:rPr>
          <w:rFonts w:eastAsia="Calibri"/>
          <w:szCs w:val="22"/>
        </w:rPr>
      </w:pPr>
      <w:r w:rsidRPr="00CC73F3">
        <w:rPr>
          <w:rFonts w:eastAsia="Calibri"/>
          <w:szCs w:val="22"/>
        </w:rPr>
        <w:tab/>
        <w:t>In exploring the potential of customers to make meaningful, direct contributions to firms’ innovation efforts, many researchers have investigated the influence of user communities in cocreation. The notion of user communities in innovation draws largely from recent thinking in the crowdsourcing of innovation (Howe, 2006), whereby firms can tap into the collective creative and intellectual resources of large groups of people. Although there have been some scholars who have investigated innovative user communities unaffiliated with a firm (e.g., an investigation of a kite surfing enthusiasts group by Franke et al. (2006), the emphasis in this research is on communities that are firm-led as a mechanism for new product idea generation, brand management and customer relationship management. Firm-led user communities often play an important role in consumers’ direct contribution to firm innovation. First they often serve as an important motivator for individual contributors to participate, as they provide a means for social interaction and for consumers to accrue status among other like-minded individuals (Nambisan and Baron, 2009).  Second, they often act as a first filter for ideas submitted to the online community (Bayus, 2013; Bonabeau, 2009; Fuller, 2010). Using communities as a first filter can have both positive and negative consequences for firms. On the positive side, using a community to screen ideas can drastically reduce the number of ideas internal developers have to review and evaluate (Bonabeau, 2009; Filieri, 2013; Fuller 2010). On the other hand, filtering new products ideas through large crowds may cause average idea quality and potential to regress towards the mean (Bonabeau 2009), limiting the attention paid to highly novel new product ideas.</w:t>
      </w:r>
    </w:p>
    <w:p w:rsidR="00070FC5" w:rsidRPr="00CC73F3" w:rsidRDefault="00070FC5" w:rsidP="00D639F5">
      <w:pPr>
        <w:spacing w:line="480" w:lineRule="auto"/>
        <w:rPr>
          <w:rFonts w:eastAsia="Calibri"/>
          <w:szCs w:val="22"/>
        </w:rPr>
      </w:pPr>
      <w:r w:rsidRPr="00CC73F3">
        <w:rPr>
          <w:rFonts w:eastAsia="Calibri"/>
          <w:szCs w:val="22"/>
        </w:rPr>
        <w:tab/>
        <w:t xml:space="preserve">West and Lakhani (2008, p. 224) define user communities as “a voluntary association of actors, typically lacking in a priori common organizational affiliation (i.e., not working for the same firm) but united by a shared instrumental goal – in this case, creating, adapting, adopting, or disseminating innovations.” They also make an important distinction between communities and value chains (e.g., suppliers, employees, industry networks), with the latter including actors or groups linked through formal market mechanisms. In a cocreation context, user communities are voluntary association of customer with whom firms interact to develop and/or market ideas for products and services. </w:t>
      </w:r>
      <w:r w:rsidRPr="00CC73F3">
        <w:rPr>
          <w:rFonts w:eastAsia="Calibri"/>
          <w:i/>
          <w:szCs w:val="22"/>
        </w:rPr>
        <w:t>Voluntary association</w:t>
      </w:r>
      <w:r w:rsidRPr="00CC73F3">
        <w:rPr>
          <w:rFonts w:eastAsia="Calibri"/>
          <w:szCs w:val="22"/>
        </w:rPr>
        <w:t xml:space="preserve"> is an important distinction, because, as will be discussed in this chapter, the loose affiliation and lack of control firms have over customers can sometimes prove to be problematic (e.g., Verhoef et al., 2013).</w:t>
      </w:r>
    </w:p>
    <w:p w:rsidR="00070FC5" w:rsidRPr="00CC73F3" w:rsidRDefault="00070FC5" w:rsidP="00D639F5">
      <w:pPr>
        <w:spacing w:line="480" w:lineRule="auto"/>
        <w:rPr>
          <w:rFonts w:eastAsia="Calibri"/>
          <w:szCs w:val="22"/>
        </w:rPr>
      </w:pPr>
      <w:r w:rsidRPr="00CC73F3">
        <w:rPr>
          <w:rFonts w:eastAsia="Calibri"/>
          <w:szCs w:val="22"/>
        </w:rPr>
        <w:tab/>
        <w:t>In their investigation of user communities, Fuller et al. (2008) argue that brand communities are an important source of innovation in cocreation because they consist of members who are both passionate about the brand and familiar with its products. Although the primary focus of their article is to investigate the motivations of consumers to participate in such communities (an in-depth review of customer motivations appears in the following section), they conduct their research under the main assumption that communities are a powerful tool firms often use to generate insight and concepts for new products and services.</w:t>
      </w:r>
    </w:p>
    <w:p w:rsidR="00070FC5" w:rsidRPr="00CC73F3" w:rsidRDefault="00070FC5" w:rsidP="00D639F5">
      <w:pPr>
        <w:spacing w:line="480" w:lineRule="auto"/>
        <w:rPr>
          <w:rFonts w:eastAsia="Calibri"/>
          <w:szCs w:val="22"/>
        </w:rPr>
      </w:pPr>
      <w:r w:rsidRPr="00CC73F3">
        <w:rPr>
          <w:rFonts w:eastAsia="Calibri"/>
          <w:szCs w:val="22"/>
        </w:rPr>
        <w:tab/>
        <w:t>Taken together these studies point toward several conclusions regarding the ability of existing and potential customers to generate quality ideas for new products and services. On the one hand, these individuals, especially first-time submitters, should be expected to develop ideas that are highly novel and meaningful in the degree to which they address unmet market needs. On the other hand, customers simply may not have access to enough pertinent information about development costs, market conditions and firm implementation capabilities to compete with firms’ development professionals on the dimension of implementation feasibility. Customer communities not only provide the social interaction needed to motivate some consumers to contribute their creative energies, but they also help ensure that firms draw insights from a wide cross-section of customers who are an adequate representation of the broader market for the products and services being developed.</w:t>
      </w:r>
    </w:p>
    <w:p w:rsidR="00070FC5" w:rsidRPr="00CC73F3" w:rsidRDefault="00070FC5" w:rsidP="00D639F5">
      <w:pPr>
        <w:pStyle w:val="Heading3"/>
      </w:pPr>
    </w:p>
    <w:p w:rsidR="00070FC5" w:rsidRPr="00CC73F3" w:rsidRDefault="00070FC5" w:rsidP="00D639F5">
      <w:pPr>
        <w:pStyle w:val="Heading3"/>
      </w:pPr>
      <w:bookmarkStart w:id="22" w:name="_Toc420572558"/>
      <w:r w:rsidRPr="00CC73F3">
        <w:t>Customer Motivations for Participating in the Cocreation of Innovation</w:t>
      </w:r>
      <w:bookmarkEnd w:id="22"/>
    </w:p>
    <w:p w:rsidR="00070FC5" w:rsidRPr="00CC73F3" w:rsidRDefault="00070FC5" w:rsidP="00D639F5">
      <w:pPr>
        <w:spacing w:line="480" w:lineRule="auto"/>
        <w:rPr>
          <w:rFonts w:eastAsia="Calibri"/>
          <w:szCs w:val="22"/>
        </w:rPr>
      </w:pPr>
      <w:r w:rsidRPr="00CC73F3">
        <w:rPr>
          <w:rFonts w:eastAsia="Calibri"/>
          <w:szCs w:val="22"/>
        </w:rPr>
        <w:tab/>
        <w:t>Customers may be highly capable of generating ideas that are novel and meaningful, but that does not necessarily mean that they are always motivated to do so. In addition to studying customers’ ability to develop promising new product concepts, some scholars in marketing have investigated the factors that motivate customers to contribute to cocreation efforts. Often, contributing ideas to a firm does not result in substantial monetary rewards. Consumer-inventors often do so for free, or for only the uncertain possibility of compensation (if their idea is selected), while firms reap the rewards of customers’ collective intellectual capital.  As such, an important subset of the cocreation literature has looked at the factors that motivate customers to give freely of their time, creative energy, and, in some cases, finances, to engage in firms’ cocreation efforts, while allowing firms to profit from their ideas.</w:t>
      </w:r>
    </w:p>
    <w:p w:rsidR="00070FC5" w:rsidRPr="00CC73F3" w:rsidRDefault="00070FC5" w:rsidP="00D639F5">
      <w:pPr>
        <w:spacing w:line="480" w:lineRule="auto"/>
        <w:rPr>
          <w:rFonts w:eastAsia="Calibri"/>
          <w:szCs w:val="22"/>
        </w:rPr>
      </w:pPr>
      <w:r w:rsidRPr="00CC73F3">
        <w:rPr>
          <w:rFonts w:eastAsia="Calibri"/>
          <w:szCs w:val="22"/>
        </w:rPr>
        <w:tab/>
        <w:t>Kristensson, Matthing, and Johansson (2008), in their qualitative investigation of the cocreation of new technology-based services, found that customers were motivated to participate in cocreation by several intrinsic factors. Among these motivations was the perceived opportunity to learn about new usage situations for products and services other similar customers encountered. They were also motivated by the perceived opportunity to learn about completely new customer roles, such as how technology services might benefit them in their personal lives when their previous experience with similar services had only occurred in the workplace. They were motivated by the perceived opportunity to learn about future technology trends and staying abreast of the latest technology. Finally, and perhaps most importantly, many of these customers participated because they were frustrated with the inadequacies of existing servicers and felt cocreation might be a way to be proactive in generating better solutions.</w:t>
      </w:r>
    </w:p>
    <w:p w:rsidR="00070FC5" w:rsidRPr="00CC73F3" w:rsidRDefault="00070FC5" w:rsidP="00D639F5">
      <w:pPr>
        <w:spacing w:line="480" w:lineRule="auto"/>
        <w:rPr>
          <w:rFonts w:eastAsia="Calibri"/>
          <w:szCs w:val="22"/>
        </w:rPr>
      </w:pPr>
      <w:r w:rsidRPr="00CC73F3">
        <w:rPr>
          <w:rFonts w:eastAsia="Calibri"/>
          <w:szCs w:val="22"/>
        </w:rPr>
        <w:tab/>
        <w:t>Fuller et al. (2008) identify several factors that motivate consumers to participate in cocreation. Like other authors (e.g., Kristensson et al., 2008; Nambisan and Baron, 2009), they identify the opportunity to learn about a product domain and the opportunity to participate in a creative act as significant drivers of participation.  Additionally, their findings support that two characteristics of consumers – existing brand trust and domain expertise – motivate customers to participate with companies. Customer who trust and feel comfortable with a brand are more likely to cocreate new products with that brand, and customers who already possess expertise in a product domain are more likely to participate in cocreation.</w:t>
      </w:r>
    </w:p>
    <w:p w:rsidR="00070FC5" w:rsidRPr="00CC73F3" w:rsidRDefault="00070FC5" w:rsidP="00D639F5">
      <w:pPr>
        <w:spacing w:line="480" w:lineRule="auto"/>
        <w:rPr>
          <w:rFonts w:eastAsia="Calibri"/>
          <w:szCs w:val="22"/>
        </w:rPr>
      </w:pPr>
      <w:r w:rsidRPr="00CC73F3">
        <w:rPr>
          <w:rFonts w:eastAsia="Calibri"/>
          <w:szCs w:val="22"/>
        </w:rPr>
        <w:tab/>
        <w:t>Nambisan and Baron (2009)</w:t>
      </w:r>
      <w:r w:rsidRPr="00CC73F3">
        <w:rPr>
          <w:rFonts w:eastAsia="Calibri"/>
          <w:b/>
          <w:szCs w:val="22"/>
        </w:rPr>
        <w:t xml:space="preserve"> </w:t>
      </w:r>
      <w:r w:rsidRPr="00CC73F3">
        <w:rPr>
          <w:rFonts w:eastAsia="Calibri"/>
          <w:szCs w:val="22"/>
        </w:rPr>
        <w:t>found that customers have a variety of potential motivations to participate in collaborate efforts with firms. Customers may be motivated by the opportunity to learn new skills or gain expertise in a particular product domain. They may be motivated by the social benefits of participating in user communities and developing ties to others. Similarly, they may be motivated by the opportunity to gain prestige, status, and a sense of self-efficacy by displaying their creativity and their ideas for others, especially in a user community. Finally, many customers receive hedonic benefits from the pleasure and mental stimulation they receive through the act of creating something novel. From a resource allocation perspective, the authors argue that firms should be willing to make appropriate investments in building programs that offer these benefits (e.g. building and maintaining online user communities), rather than simply assuming that customers will participate without being sufficiently motivated.</w:t>
      </w:r>
    </w:p>
    <w:p w:rsidR="00070FC5" w:rsidRPr="00CC73F3" w:rsidRDefault="00070FC5" w:rsidP="00D639F5">
      <w:pPr>
        <w:spacing w:line="480" w:lineRule="auto"/>
        <w:rPr>
          <w:rFonts w:eastAsia="Calibri"/>
          <w:szCs w:val="22"/>
        </w:rPr>
      </w:pPr>
      <w:r w:rsidRPr="00CC73F3">
        <w:rPr>
          <w:rFonts w:eastAsia="Calibri"/>
          <w:szCs w:val="22"/>
        </w:rPr>
        <w:tab/>
        <w:t xml:space="preserve">Several observations help integrate these articles together. From a learning perspective, customers are motivated to participate in the cocreation of innovation by the opportunity to learn about new trends, usage situations, and roles related to a particular product domain. From a social perspective, customers are motivated by opportunities to form social connections with other individuals, and build status and reputation through their interaction with other consumers. Consumers who are already experts may be particularly inclined to participate for this reason, as they can showcase their abilities and build a reputation for themselves. From a utilitarian perspective, customers are motivated to participate in cocreation projects because it affords them the potential opportunity to enact solutions to problems they face in their day-to-day consumption (e.g., when value-in-use is low for existing market offerings). From a hedonic perspective, many customers participate in the cocreation of innovation simply because they enjoy the act of creating something that is novel. Finally, customers may be more likely to participate in cocreation when they feel a high degree of trust in the brand. </w:t>
      </w:r>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23" w:name="_Toc420572559"/>
      <w:r w:rsidRPr="00CC73F3">
        <w:t>Cocreated New Product Effectiveness and Efficiency</w:t>
      </w:r>
      <w:bookmarkEnd w:id="23"/>
    </w:p>
    <w:p w:rsidR="00070FC5" w:rsidRPr="00CC73F3" w:rsidRDefault="00070FC5" w:rsidP="00D639F5">
      <w:pPr>
        <w:spacing w:line="480" w:lineRule="auto"/>
        <w:rPr>
          <w:rFonts w:eastAsia="Calibri"/>
          <w:szCs w:val="22"/>
        </w:rPr>
      </w:pPr>
      <w:r w:rsidRPr="00CC73F3">
        <w:rPr>
          <w:rFonts w:eastAsia="Calibri"/>
          <w:szCs w:val="22"/>
        </w:rPr>
        <w:tab/>
        <w:t xml:space="preserve">Customers may be capable and motivated to participate as collaborators in developing innovative ideas, but if doing so does not offer significant perceived advantages, firms are not likely to engage in cocreating innovation. Before the concept of cocreation was formally introduced into the marketing literature, several authors argued that involving customers in the NPD process was beneficial (e.g., Business Wire, 2001; Gruner and Homburg, 2000). The cocreation literature pertaining to new product development, however, has examined how customers’ </w:t>
      </w:r>
      <w:r w:rsidRPr="00CC73F3">
        <w:rPr>
          <w:rFonts w:eastAsia="Calibri"/>
          <w:i/>
          <w:szCs w:val="22"/>
        </w:rPr>
        <w:t xml:space="preserve">direct </w:t>
      </w:r>
      <w:r w:rsidRPr="00CC73F3">
        <w:rPr>
          <w:rFonts w:eastAsia="Calibri"/>
          <w:szCs w:val="22"/>
        </w:rPr>
        <w:t>involvement as designers and creative idea generators influences the effectiveness and efficiency of cocreated innovations relative to traditional, internally-developed new products and services.</w:t>
      </w:r>
    </w:p>
    <w:p w:rsidR="00070FC5" w:rsidRPr="00CC73F3" w:rsidRDefault="00070FC5" w:rsidP="00D639F5">
      <w:pPr>
        <w:spacing w:line="480" w:lineRule="auto"/>
        <w:contextualSpacing/>
        <w:rPr>
          <w:rFonts w:eastAsia="Calibri"/>
          <w:szCs w:val="22"/>
        </w:rPr>
      </w:pPr>
      <w:r w:rsidRPr="00CC73F3">
        <w:rPr>
          <w:rFonts w:eastAsia="Calibri"/>
          <w:szCs w:val="22"/>
        </w:rPr>
        <w:tab/>
        <w:t>Hoyer et al. (2010) outline several phases of the new product development process in which cocreation is effective. In the ideation stage, they argue that cocreation can create efficiencies by obtaining low-cost input from customers, which at the same time may result in a pool of ideas with the potential to more closely match unmet market needs than ideas generated internally. They also contend that, in the commercialization and post-launch stage, cocreation can be both more efficient and effective by reducing marketing costs of advertising and education, and by receiving early warning that a product may not attractive to consumers, reducing the risk that a product destined for failure with be taken to market.</w:t>
      </w:r>
    </w:p>
    <w:p w:rsidR="00070FC5" w:rsidRPr="00CC73F3" w:rsidRDefault="00070FC5" w:rsidP="00D639F5">
      <w:pPr>
        <w:spacing w:line="480" w:lineRule="auto"/>
        <w:contextualSpacing/>
        <w:rPr>
          <w:rFonts w:eastAsia="Calibri"/>
          <w:szCs w:val="22"/>
        </w:rPr>
      </w:pPr>
      <w:r w:rsidRPr="00CC73F3">
        <w:rPr>
          <w:rFonts w:eastAsia="Calibri"/>
          <w:szCs w:val="22"/>
        </w:rPr>
        <w:tab/>
        <w:t>Drawing from insights gleaned from previous work done in open source communities (e.g. Grewal et al., 2006; Shah, 2006; von Hippel, 2005), O’Hern and Rindfleisch (2010) argue that cocreation between firms and their customers results in increased new product creativity, mirroring findings by scholars who have challenges the traditional assumption that customers cannot directly contribute to the development of new products and services. They also draw on this literature to conclude that cocreation is often associated with lower development costs and greater speed to market.</w:t>
      </w:r>
    </w:p>
    <w:p w:rsidR="00070FC5" w:rsidRPr="00CC73F3" w:rsidRDefault="00070FC5" w:rsidP="00D639F5">
      <w:pPr>
        <w:spacing w:line="480" w:lineRule="auto"/>
        <w:contextualSpacing/>
        <w:rPr>
          <w:rFonts w:eastAsia="Calibri"/>
          <w:szCs w:val="22"/>
        </w:rPr>
      </w:pPr>
      <w:r w:rsidRPr="00CC73F3">
        <w:rPr>
          <w:rFonts w:eastAsia="Calibri"/>
          <w:szCs w:val="22"/>
        </w:rPr>
        <w:tab/>
        <w:t>Antorini et al. (2012) conducted an investigation of Lego’s user community. In their analysis of how this community evolved over time, they conclude that Lego has used cocreation to increase the number of products they offer without significantly raising long-term fixed costs. By allowing customers to collaborate in the design of new offerings and reduce development costs, Lego can tailor offerings to market niches that would be too small to justify pursuing, from a cost perspective.</w:t>
      </w:r>
    </w:p>
    <w:p w:rsidR="00070FC5" w:rsidRPr="00CC73F3" w:rsidRDefault="00070FC5" w:rsidP="00D639F5">
      <w:pPr>
        <w:spacing w:line="480" w:lineRule="auto"/>
        <w:contextualSpacing/>
        <w:rPr>
          <w:rFonts w:eastAsia="Calibri"/>
          <w:szCs w:val="22"/>
        </w:rPr>
      </w:pPr>
      <w:r w:rsidRPr="00CC73F3">
        <w:rPr>
          <w:rFonts w:eastAsia="Calibri"/>
          <w:szCs w:val="22"/>
        </w:rPr>
        <w:tab/>
        <w:t>To summarize these findings, cocreating innovation with customers may provide several effectiveness and efficiency advantages for firms, relative to internal development projects. From an effectiveness standpoint, cocreated new products may be of a higher quality, be more creative, and match unmet market needs better than internally-generated ideas. Firms may also leverage customers to decrease the time to market of new products. From an efficiency perspective, cocreated new products are likely to have lower overall development costs by transferring time and resource investment from firm to customer. Due to word-of-mouth effects, cocreated new products may also carry lower marketing communication costs than projects developed internally.</w:t>
      </w:r>
    </w:p>
    <w:p w:rsidR="00070FC5" w:rsidRPr="00CC73F3" w:rsidRDefault="00070FC5" w:rsidP="00D639F5">
      <w:pPr>
        <w:spacing w:line="480" w:lineRule="auto"/>
        <w:contextualSpacing/>
        <w:rPr>
          <w:rFonts w:eastAsia="Calibri"/>
          <w:b/>
          <w:szCs w:val="22"/>
          <w:u w:val="single"/>
        </w:rPr>
      </w:pPr>
    </w:p>
    <w:p w:rsidR="00070FC5" w:rsidRPr="00CC73F3" w:rsidRDefault="00070FC5" w:rsidP="00D639F5">
      <w:pPr>
        <w:pStyle w:val="Heading3"/>
      </w:pPr>
      <w:bookmarkStart w:id="24" w:name="_Toc420572560"/>
      <w:r w:rsidRPr="00CC73F3">
        <w:t>Cocreation of Innovation and Customer Metrics</w:t>
      </w:r>
      <w:bookmarkEnd w:id="24"/>
    </w:p>
    <w:p w:rsidR="00070FC5" w:rsidRPr="00CC73F3" w:rsidRDefault="00070FC5" w:rsidP="00D639F5">
      <w:pPr>
        <w:spacing w:line="480" w:lineRule="auto"/>
        <w:rPr>
          <w:rFonts w:eastAsia="Calibri"/>
          <w:szCs w:val="22"/>
        </w:rPr>
      </w:pPr>
      <w:r w:rsidRPr="00CC73F3">
        <w:rPr>
          <w:rFonts w:eastAsia="Calibri"/>
          <w:szCs w:val="22"/>
        </w:rPr>
        <w:tab/>
        <w:t xml:space="preserve">There may also be important implications for the effectiveness of cocreation in driving customer outcomes. In both goods-based and service-based marketing there is empirical support that participating in cocreation and consuming cocreated products creates greater customer loyalty, satisfaction with the focal firms’ products and services, positive future purchase intentions, and positive word-of-mouth benefits to marketers. </w:t>
      </w:r>
    </w:p>
    <w:p w:rsidR="00070FC5" w:rsidRPr="00CC73F3" w:rsidRDefault="00070FC5" w:rsidP="00D639F5">
      <w:pPr>
        <w:spacing w:line="480" w:lineRule="auto"/>
        <w:rPr>
          <w:rFonts w:eastAsia="Calibri"/>
          <w:szCs w:val="22"/>
        </w:rPr>
      </w:pPr>
      <w:r w:rsidRPr="00CC73F3">
        <w:rPr>
          <w:rFonts w:eastAsia="Calibri"/>
          <w:szCs w:val="22"/>
        </w:rPr>
        <w:tab/>
        <w:t>Auh et al. (2007) explore the effects of customer cocreation in the financial services industry. They found that participation with a firm in the creation of a service not only increased customer satisfaction, but also increased customers’ attitudinal loyalty toward the focal firm.  They also found that the perception of procedural justice (i.e., being treated fairly), customers’ level of service domain expertise, and the quality of customers’ existing relationships with the firm positively moderated this effect.</w:t>
      </w:r>
    </w:p>
    <w:p w:rsidR="00070FC5" w:rsidRPr="00CC73F3" w:rsidRDefault="00070FC5" w:rsidP="00D639F5">
      <w:pPr>
        <w:spacing w:line="480" w:lineRule="auto"/>
        <w:rPr>
          <w:rFonts w:eastAsia="Calibri"/>
          <w:szCs w:val="22"/>
        </w:rPr>
      </w:pPr>
      <w:r w:rsidRPr="00CC73F3">
        <w:rPr>
          <w:rFonts w:eastAsia="Calibri"/>
          <w:b/>
          <w:szCs w:val="22"/>
        </w:rPr>
        <w:tab/>
      </w:r>
      <w:r w:rsidRPr="00CC73F3">
        <w:rPr>
          <w:rFonts w:eastAsia="Calibri"/>
          <w:szCs w:val="22"/>
        </w:rPr>
        <w:t>Chan et al. (2010) conducted an investigation into the customer-related outcomes of cocreating solutions with customers and frontline service employees. Innovation in this context took the form of improvisational creation of new solutions for customers. They found that when customers were involved in the generation of solutions, they had greater levels of customer satisfaction, and a greater sense of perceived value from the services they consumed. They also find a downside. Although these cocreation encounters were a source of relationship-building with customers they decreased employee job satisfaction because they created role stress for workers dealing with uncertain service provision environments.</w:t>
      </w:r>
    </w:p>
    <w:p w:rsidR="00070FC5" w:rsidRPr="00CC73F3" w:rsidRDefault="00070FC5" w:rsidP="00D639F5">
      <w:pPr>
        <w:spacing w:line="480" w:lineRule="auto"/>
        <w:rPr>
          <w:rFonts w:eastAsia="Calibri"/>
          <w:szCs w:val="22"/>
        </w:rPr>
      </w:pPr>
      <w:r w:rsidRPr="00CC73F3">
        <w:rPr>
          <w:rFonts w:eastAsia="Calibri"/>
          <w:szCs w:val="22"/>
        </w:rPr>
        <w:tab/>
        <w:t xml:space="preserve">In the context of cocreated goods-based market offerings, Schreier, Fuchs, and Dahl (2012) argue that customers do not have to be active participants in cocreating new products for cocreation to drive customer metrics. They found, across a variety of product categories, that when products were promoted as “user designed” customers showed a higher willingness to pay, had greater purchase intentions, and were more likely to make positive recommendations to others about these products. </w:t>
      </w:r>
    </w:p>
    <w:p w:rsidR="00070FC5" w:rsidRPr="00CC73F3" w:rsidRDefault="00070FC5" w:rsidP="00D639F5">
      <w:pPr>
        <w:spacing w:line="480" w:lineRule="auto"/>
        <w:rPr>
          <w:rFonts w:eastAsia="Calibri"/>
          <w:szCs w:val="22"/>
        </w:rPr>
      </w:pPr>
      <w:r w:rsidRPr="00CC73F3">
        <w:rPr>
          <w:rFonts w:eastAsia="Calibri"/>
          <w:szCs w:val="22"/>
        </w:rPr>
        <w:tab/>
        <w:t>Taken together these studies support the assertion that cocreating innovation with customers can positively influence customer satisfaction, purchase intentions and word-of-mouth behaviors. Not only does this seem to apply to customers who participate in cocreation, but customers who consume cocreated products they were not personally involved in designing.</w:t>
      </w:r>
    </w:p>
    <w:p w:rsidR="00070FC5" w:rsidRPr="00CC73F3" w:rsidRDefault="00070FC5" w:rsidP="00D639F5">
      <w:pPr>
        <w:spacing w:line="480" w:lineRule="auto"/>
        <w:rPr>
          <w:rFonts w:eastAsia="Calibri"/>
          <w:b/>
          <w:szCs w:val="22"/>
          <w:u w:val="single"/>
        </w:rPr>
      </w:pPr>
    </w:p>
    <w:p w:rsidR="00070FC5" w:rsidRPr="00CC73F3" w:rsidRDefault="00070FC5" w:rsidP="00D639F5">
      <w:pPr>
        <w:pStyle w:val="Heading3"/>
      </w:pPr>
      <w:bookmarkStart w:id="25" w:name="_Toc420572561"/>
      <w:r w:rsidRPr="00CC73F3">
        <w:t>Cocreation and Brand Management</w:t>
      </w:r>
      <w:bookmarkEnd w:id="25"/>
    </w:p>
    <w:p w:rsidR="00070FC5" w:rsidRPr="00CC73F3" w:rsidRDefault="00070FC5" w:rsidP="00D639F5">
      <w:pPr>
        <w:spacing w:line="480" w:lineRule="auto"/>
        <w:rPr>
          <w:rFonts w:eastAsia="Calibri"/>
          <w:szCs w:val="22"/>
        </w:rPr>
      </w:pPr>
      <w:r w:rsidRPr="00CC73F3">
        <w:rPr>
          <w:rFonts w:eastAsia="Calibri"/>
          <w:szCs w:val="22"/>
        </w:rPr>
        <w:tab/>
        <w:t>Cocreation has also been found to play a role in branding and brand management. As was discussed in a previous section related to customers’ ability to contribute to innovation, Fuller et al. (2008) conceptualize brand communities as an important source of innovation in cocreation because they create a social forum for a rich exchange of ideas about product modifications and new products. In addition to influencing the social aspect of brands (i.e., brand communities), several authors have investigated how cocreation influences brand positioning with customers. The work in branding a cocreation deals with two main issues. First, the degree to which personal participation in cocreation influences consumers’ brand perceptions. Second, the degree to which knowing that a particular product was the result of cocreation with other customers influences consumers’ brand perceptions</w:t>
      </w:r>
    </w:p>
    <w:p w:rsidR="00070FC5" w:rsidRPr="00CC73F3" w:rsidRDefault="00070FC5" w:rsidP="00D639F5">
      <w:pPr>
        <w:spacing w:line="480" w:lineRule="auto"/>
        <w:rPr>
          <w:rFonts w:eastAsia="Calibri"/>
          <w:szCs w:val="22"/>
        </w:rPr>
      </w:pPr>
      <w:r w:rsidRPr="00CC73F3">
        <w:rPr>
          <w:rFonts w:eastAsia="Calibri"/>
          <w:szCs w:val="22"/>
        </w:rPr>
        <w:tab/>
        <w:t>Illustrating the first perspective of the effects of participation on brand management, Tynan et al. 2010 develop a model of cocreation for luxury brands based on qualitative interviews. They find that participating in the cocreation of luxury brands can bolster the perceived status of the resulting products for customers of luxury goods. This is especially apparent when customers interact directly with luxury brands’ head designers. In this setting, customers’ perceptions of luxury did not come just from product status and product quality, but also from the experience itself of interacting with designers and creating a high-end good.</w:t>
      </w:r>
    </w:p>
    <w:p w:rsidR="00070FC5" w:rsidRPr="00CC73F3" w:rsidRDefault="00070FC5" w:rsidP="00D639F5">
      <w:pPr>
        <w:spacing w:line="480" w:lineRule="auto"/>
        <w:rPr>
          <w:rFonts w:eastAsia="Calibri"/>
          <w:szCs w:val="22"/>
        </w:rPr>
      </w:pPr>
      <w:r w:rsidRPr="00CC73F3">
        <w:rPr>
          <w:rFonts w:eastAsia="Calibri"/>
          <w:b/>
          <w:szCs w:val="22"/>
        </w:rPr>
        <w:tab/>
      </w:r>
      <w:r w:rsidRPr="00CC73F3">
        <w:rPr>
          <w:rFonts w:eastAsia="Calibri"/>
          <w:szCs w:val="22"/>
        </w:rPr>
        <w:t>In addition to their findings discussed previously about customer purchase intentions, willingness to pay, and willingness to recommend to others,</w:t>
      </w:r>
      <w:r w:rsidRPr="00CC73F3">
        <w:rPr>
          <w:rFonts w:eastAsia="Calibri"/>
          <w:b/>
          <w:szCs w:val="22"/>
        </w:rPr>
        <w:t xml:space="preserve"> </w:t>
      </w:r>
      <w:r w:rsidRPr="00CC73F3">
        <w:rPr>
          <w:rFonts w:eastAsia="Calibri"/>
          <w:szCs w:val="22"/>
        </w:rPr>
        <w:t>Schreier, Fuchs, and Dahl (2012) find labeling products as “user designed” can have positive implications for a firm’s branding strategy. In a series of experiments they found that that customers view firms that cocreate new products with their customers as more innovative than firms that do not engage in this practice, what they label the “innovation effect of user design.” Despite the fact that that customers tend to attribute less expertise to individual ordinary users than they do to firm design employees, consumers see firms that cocreate with their customers as more innovative for four primary reasons. First is what the authors call the numbers argument, which simply means that people are likely to perceive a greater innovation capacity distributed among large numbers of people, rather than residing only with a few experts. The second argument, closely related to the first, they call the diversity argument. In this view, customers may view firms with a cocreation strategy as more innovative because they not only draw on more individual innovators, but more diversity of thought and insight about consumer needs goes into cocreated new products. The third reason firms that cocreate are seen as more innovative is based on the user applicability argument. This mirrors a previous discussion in this literature review about how customer-generated ideas outperform those developed internally by firms. Finally, they argue that customers view firms that cocreate as more innovative because they perceive consumer-designers as having fewer constraints than firm designers have (e.g., profit margin consideration, manufacturing capabilities, etc.), freeing them to focus on optimizing value to customers in their creative solutions rather than profit margins.</w:t>
      </w:r>
    </w:p>
    <w:p w:rsidR="00070FC5" w:rsidRPr="00CC73F3" w:rsidRDefault="00070FC5" w:rsidP="00D639F5">
      <w:pPr>
        <w:spacing w:line="480" w:lineRule="auto"/>
        <w:rPr>
          <w:rFonts w:eastAsia="Calibri"/>
          <w:szCs w:val="22"/>
        </w:rPr>
      </w:pPr>
      <w:r w:rsidRPr="00CC73F3">
        <w:rPr>
          <w:rFonts w:eastAsia="Calibri"/>
          <w:szCs w:val="22"/>
        </w:rPr>
        <w:tab/>
        <w:t>Fuchs et al. (2013) find that, in the context of luxury brands, cocreation is not unequivocally effective in generating favorable brand impressions among consumers. Their study supports the argument that labeling a brand as “designed by users” may backfire for luxury or status goods, like end-end fashion goods, causing consumers to view them as having inferior design features, lower quality, and lower value as status symbols. The exception to these findings is when firms market user-designed products as having been developed in cooperation with the firm’s product designer, or when the product was the result of a celebrity’s creative efforts, as these factors are likely to retain associations with status and luxury in the minds of customers. They also found this backfiring effect was not as evident when the cocreated good was not viewed as a status symbol, for example designer t-shirts versus dress shirts, etc.</w:t>
      </w:r>
    </w:p>
    <w:p w:rsidR="00070FC5" w:rsidRPr="00CC73F3" w:rsidRDefault="00070FC5" w:rsidP="00D639F5">
      <w:pPr>
        <w:spacing w:line="480" w:lineRule="auto"/>
        <w:rPr>
          <w:rFonts w:eastAsia="Calibri"/>
          <w:szCs w:val="22"/>
        </w:rPr>
      </w:pPr>
      <w:r w:rsidRPr="00CC73F3">
        <w:rPr>
          <w:rFonts w:eastAsia="Calibri"/>
          <w:szCs w:val="22"/>
        </w:rPr>
        <w:tab/>
        <w:t>In summary, cocreation has been found to be positively associated with customers’ favorable brand perceptions of resulting new products. These effects stem both from customer participation in the cocreation process and from consuming products known to be “user designed.” For luxury brands, however, consumers may view products designed by other customers as being of lower quality and having a lower value as status symbols.</w:t>
      </w:r>
    </w:p>
    <w:p w:rsidR="00070FC5" w:rsidRPr="00CC73F3" w:rsidRDefault="00070FC5" w:rsidP="00D639F5">
      <w:pPr>
        <w:spacing w:line="480" w:lineRule="auto"/>
        <w:rPr>
          <w:rFonts w:eastAsia="Calibri"/>
          <w:b/>
          <w:szCs w:val="22"/>
          <w:u w:val="single"/>
        </w:rPr>
      </w:pPr>
    </w:p>
    <w:p w:rsidR="00070FC5" w:rsidRPr="00CC73F3" w:rsidRDefault="00070FC5" w:rsidP="00D639F5">
      <w:pPr>
        <w:pStyle w:val="Heading3"/>
      </w:pPr>
      <w:bookmarkStart w:id="26" w:name="_Toc420572562"/>
      <w:r w:rsidRPr="00CC73F3">
        <w:t>Practical Challenges Associated with Cocreation</w:t>
      </w:r>
      <w:bookmarkEnd w:id="26"/>
    </w:p>
    <w:p w:rsidR="00070FC5" w:rsidRPr="00CC73F3" w:rsidRDefault="00070FC5" w:rsidP="00D639F5">
      <w:pPr>
        <w:spacing w:line="480" w:lineRule="auto"/>
        <w:rPr>
          <w:rFonts w:eastAsia="Calibri"/>
          <w:szCs w:val="22"/>
        </w:rPr>
      </w:pPr>
      <w:r w:rsidRPr="00CC73F3">
        <w:rPr>
          <w:rFonts w:eastAsia="Calibri"/>
          <w:szCs w:val="22"/>
        </w:rPr>
        <w:tab/>
        <w:t>Despite the existing body of knowledge reviewed in this chapter pertaining to cocreation in new product development, there remain several significant issues and challenges that present opportunities for research, as evidenced in the issues discussed across the cocreation topics in this literature review. As Verhoef, Beckers, and Van Dorn (2013) note, cocreation campaigns, despite their promise, still fail at a rate of approximately 50%. In addition to highlighting the apparent benefits of cocreating innovation with customers, each of the topics discussed in earlier sections of this literature review also present potentially challenging issues.</w:t>
      </w:r>
    </w:p>
    <w:p w:rsidR="00070FC5" w:rsidRPr="00CC73F3" w:rsidRDefault="00070FC5" w:rsidP="00D639F5">
      <w:pPr>
        <w:spacing w:line="480" w:lineRule="auto"/>
        <w:rPr>
          <w:rFonts w:eastAsia="Calibri"/>
          <w:szCs w:val="22"/>
        </w:rPr>
      </w:pPr>
      <w:r w:rsidRPr="00CC73F3">
        <w:rPr>
          <w:rFonts w:eastAsia="Calibri"/>
          <w:szCs w:val="22"/>
        </w:rPr>
        <w:tab/>
        <w:t xml:space="preserve">First, despite the significant advances in the scholarly understanding of what motivates consumers to participate in the cocreation of innovation, firms often struggle with designing appropriate mechanisms to effectively provide one or more of those motivations. Nambisan and Baron (2009) and Fuller (2010) conclude that firms must be willing to make the required investments in infrastructure (i.e., online communities) that facilitates the rich interaction between developers and customers and also the interaction between customers needed to create and maintain motivated customer-contributors. </w:t>
      </w:r>
    </w:p>
    <w:p w:rsidR="00070FC5" w:rsidRPr="00CC73F3" w:rsidRDefault="00070FC5" w:rsidP="00D639F5">
      <w:pPr>
        <w:spacing w:line="480" w:lineRule="auto"/>
        <w:rPr>
          <w:rFonts w:eastAsia="Calibri"/>
          <w:szCs w:val="22"/>
        </w:rPr>
      </w:pPr>
      <w:r w:rsidRPr="00CC73F3">
        <w:rPr>
          <w:rFonts w:eastAsia="Calibri"/>
          <w:szCs w:val="22"/>
        </w:rPr>
        <w:tab/>
        <w:t>Second, related to customer outcomes, there are also substantial challenges in managing customers in the cocreation of innovation. Gebauer, Fuller, and Pezzei (2013) investigate the dark side of cocreation from a customer perspective. They studied customer contests and found that such efforts can inadvertently create ill-will with customers. Online communities in innovation contests often develop very specific preferences for which ideas should be adopted by the company hosting the contest. When firms chose ideas that are not fan favorites, or when fans disagree with the outcomes of these contests, it often results in anger and resentment among loyal customers, who are more the most likely group to participate in these cocreation initiatives. They argue that, while cocreation can indeed create positive customer outcomes, firms should understand the risks involved, and that inviting customer participation is not a panacea for cultivating positive customer relationships.</w:t>
      </w:r>
    </w:p>
    <w:p w:rsidR="00070FC5" w:rsidRPr="00CC73F3" w:rsidRDefault="00070FC5" w:rsidP="00D639F5">
      <w:pPr>
        <w:spacing w:line="480" w:lineRule="auto"/>
        <w:rPr>
          <w:rFonts w:eastAsia="Calibri"/>
          <w:szCs w:val="22"/>
        </w:rPr>
      </w:pPr>
      <w:r w:rsidRPr="00CC73F3">
        <w:rPr>
          <w:rFonts w:eastAsia="Calibri"/>
          <w:szCs w:val="22"/>
        </w:rPr>
        <w:tab/>
        <w:t xml:space="preserve">Finally, cocreation creates unique forms of complexity firms must be prepared to manage. Although in many ways cocreating innovation is less complex than internal product development processes (e.g., lower development costs and fewer knowledge resources required of firms), the literature suggests that it does present unique complexities not evident in internal innovation activities (Hoyer et al., 2010). This unique complexity typically is manifest in partial loss of control over planning and strategy.  </w:t>
      </w:r>
    </w:p>
    <w:p w:rsidR="00070FC5" w:rsidRPr="00CC73F3" w:rsidRDefault="00070FC5" w:rsidP="00D639F5">
      <w:pPr>
        <w:spacing w:line="480" w:lineRule="auto"/>
        <w:rPr>
          <w:rFonts w:eastAsia="Calibri"/>
          <w:szCs w:val="22"/>
        </w:rPr>
      </w:pPr>
      <w:r w:rsidRPr="00CC73F3">
        <w:rPr>
          <w:rFonts w:eastAsia="Calibri"/>
          <w:szCs w:val="22"/>
        </w:rPr>
        <w:tab/>
        <w:t>First, firms must often deal with the questions of ownership and intellectual property that are raised when customers are invited into the development process. Successful collaboration with firm often requires that firms give up control over their NPD decisions and loosen their policies related to intellectual property (Bonabeau, 2009; Hoyer et al., 2010; O’Hern and Rindfleisch, 2010). Doing so creates the risk that customers will take innovative ideas to competitors or will themselves seek to commercialize innovative ideas for products and services.</w:t>
      </w:r>
    </w:p>
    <w:p w:rsidR="00070FC5" w:rsidRPr="00CC73F3" w:rsidRDefault="00070FC5" w:rsidP="00D639F5">
      <w:pPr>
        <w:spacing w:line="480" w:lineRule="auto"/>
        <w:rPr>
          <w:rFonts w:eastAsia="Calibri"/>
          <w:szCs w:val="22"/>
        </w:rPr>
      </w:pPr>
      <w:r w:rsidRPr="00CC73F3">
        <w:rPr>
          <w:rFonts w:eastAsia="Calibri"/>
          <w:szCs w:val="22"/>
        </w:rPr>
        <w:tab/>
        <w:t>Ceding come portion of control to customers can also create challenges in brand management. For example, Verhoef et al. (2013) use General Motors to illustrate this point. The company allowed customers to create their own ads, but instead of creating helpful, user designed promotional tools, some customers used the platform to develop unflattering and derogatory ads about the quality of the company’s automobiles.</w:t>
      </w:r>
    </w:p>
    <w:p w:rsidR="00070FC5" w:rsidRPr="00CC73F3" w:rsidRDefault="00070FC5" w:rsidP="00D639F5">
      <w:pPr>
        <w:spacing w:line="480" w:lineRule="auto"/>
        <w:rPr>
          <w:rFonts w:eastAsia="Calibri"/>
          <w:szCs w:val="22"/>
        </w:rPr>
      </w:pPr>
      <w:r w:rsidRPr="00CC73F3">
        <w:rPr>
          <w:rFonts w:eastAsia="Calibri"/>
          <w:szCs w:val="22"/>
        </w:rPr>
        <w:tab/>
        <w:t>Finally, a significant challenge in the cocreation of innovation is related to the ability of firms to evaluate and select the best ideas, particularly when they must filter through hundreds, or even thousands of customer-submitted ideas (Bayus, 2013; Hoyer et al., 2010). This issue is two-fold. First, as has been previously discussed, managers simply may not have the cognitive capacity to meaningfully process hundreds or thousands of submitted new products concepts (Hoyer et al., 2010).  Second, the same cognitive inertia that causes internal developers to have difficulty thinking past existing solutions and past successes (Kristensson et al. 2008; Magnusson et al., 2003) may also influence their ability to recognize cocreated new product novelty and customer meaningfulness when they encounter it. As such, teams that can develop the ability to be cognitively flexible, balancing both the needs of customers and the needs for profitability (Chesbrough, 2003), should gain an advantage in managing customer cocreated innovation programs.</w:t>
      </w:r>
    </w:p>
    <w:p w:rsidR="00070FC5" w:rsidRPr="00CC73F3" w:rsidRDefault="00070FC5" w:rsidP="00D639F5">
      <w:pPr>
        <w:spacing w:line="480" w:lineRule="auto"/>
        <w:rPr>
          <w:rFonts w:eastAsia="Calibri"/>
          <w:szCs w:val="22"/>
        </w:rPr>
      </w:pPr>
      <w:r w:rsidRPr="00CC73F3">
        <w:rPr>
          <w:rFonts w:eastAsia="Calibri"/>
          <w:szCs w:val="22"/>
        </w:rPr>
        <w:tab/>
        <w:t xml:space="preserve">Evaluation and selection is an issue that many researchers have noted needs more investigation, but for which no empirical research currently exists. As one researcher recently noted, “The marketing literature has a long-standing interest in methods for improving idea generation, but is generally silent on the ‘best’ approaches for idea selection…next to nothing is known about idea selection in crowdsourcing applications where ideas are publically submitted and rated by consumers over time” (Bayus, 2013, p. 241). This challenge in the cocreation of innovation – the difficulties inherent in evaluation and selection – is the focus of this dissertation research. </w:t>
      </w:r>
    </w:p>
    <w:p w:rsidR="00070FC5" w:rsidRPr="00CC73F3" w:rsidRDefault="00070FC5" w:rsidP="00D639F5">
      <w:pPr>
        <w:rPr>
          <w:rFonts w:eastAsia="Calibri"/>
          <w:szCs w:val="22"/>
        </w:rPr>
      </w:pPr>
    </w:p>
    <w:p w:rsidR="00070FC5" w:rsidRPr="00CC73F3" w:rsidRDefault="00070FC5" w:rsidP="00D639F5">
      <w:pPr>
        <w:rPr>
          <w:rFonts w:eastAsia="Calibri"/>
          <w:szCs w:val="22"/>
        </w:rPr>
      </w:pPr>
    </w:p>
    <w:p w:rsidR="00070FC5" w:rsidRPr="00CC73F3" w:rsidRDefault="00070FC5" w:rsidP="00D639F5">
      <w:pPr>
        <w:pStyle w:val="Heading2"/>
      </w:pPr>
      <w:bookmarkStart w:id="27" w:name="_Toc420572563"/>
      <w:r w:rsidRPr="00CC73F3">
        <w:t>Cognitive Theories in Innovation and New Product Development</w:t>
      </w:r>
      <w:bookmarkEnd w:id="27"/>
    </w:p>
    <w:p w:rsidR="00070FC5" w:rsidRPr="00CC73F3" w:rsidRDefault="00070FC5" w:rsidP="00D639F5">
      <w:pPr>
        <w:spacing w:line="480" w:lineRule="auto"/>
        <w:rPr>
          <w:rFonts w:eastAsia="Calibri"/>
          <w:szCs w:val="22"/>
        </w:rPr>
      </w:pPr>
      <w:r w:rsidRPr="00CC73F3">
        <w:rPr>
          <w:rFonts w:eastAsia="Calibri"/>
          <w:szCs w:val="22"/>
        </w:rPr>
        <w:tab/>
        <w:t xml:space="preserve">As has been previously discussed here, several authors have found that cognitive inertia may hinder innovation teams from thinking past their previous success and established methods of decision-making. This cognitive inertia may explain why customer-generated new product concepts are often superior to those generated by development professionals (Magnusson et al., 2003; Poetz and Schreier, 2012) on the dimensions of novelty and meaningfulness (i.e., the degree to which they satisfy customer needs). Exploring the issue of evaluation and selection through the lens of team cognition offers the opportunity to uncover valuable insights related to the how firms manage the unique complexities of cocreation. A cognitive approach to exploring the issues of selection and evaluation in cocreation rests on the premise that human decision-makers behave with bounded rationality (Simon 1991) rather than being rational in an entirely objective sense. Baron (2004) argues that adopting a cognitive perspective may help explain why some individuals and organizations are better-able to recognize and exploit innovation opportunities in the environment, even when presented with the same objective information. </w:t>
      </w:r>
    </w:p>
    <w:p w:rsidR="00070FC5" w:rsidRPr="00CC73F3" w:rsidRDefault="00070FC5" w:rsidP="00D639F5">
      <w:pPr>
        <w:spacing w:line="480" w:lineRule="auto"/>
        <w:rPr>
          <w:rFonts w:eastAsia="Calibri"/>
          <w:szCs w:val="22"/>
        </w:rPr>
      </w:pPr>
      <w:r w:rsidRPr="00CC73F3">
        <w:rPr>
          <w:rFonts w:eastAsia="Calibri"/>
          <w:szCs w:val="22"/>
        </w:rPr>
        <w:tab/>
        <w:t xml:space="preserve">Several researchers in innovation and new product development have explored factors related to new product developers’ cognitive habits and styles to explain innovation outcomes. </w:t>
      </w:r>
      <w:r w:rsidRPr="00CC73F3">
        <w:rPr>
          <w:rFonts w:eastAsia="Calibri"/>
          <w:noProof/>
          <w:szCs w:val="22"/>
        </w:rPr>
        <w:t>(Laureiro-Martínez et al., 2009)</w:t>
      </w:r>
      <w:r w:rsidRPr="00CC73F3">
        <w:rPr>
          <w:rFonts w:eastAsia="Calibri"/>
          <w:szCs w:val="22"/>
        </w:rPr>
        <w:t xml:space="preserve"> argue that cognitive flexibility, or the ability to think broadly across domains, is associated with discovery and innovation in organizations. </w:t>
      </w:r>
      <w:r w:rsidRPr="00CC73F3">
        <w:rPr>
          <w:rFonts w:eastAsia="Calibri"/>
          <w:noProof/>
          <w:szCs w:val="22"/>
        </w:rPr>
        <w:t>(Dahl &amp; Moreau, 2002)</w:t>
      </w:r>
      <w:r w:rsidRPr="00CC73F3">
        <w:rPr>
          <w:rFonts w:eastAsia="Calibri"/>
          <w:szCs w:val="22"/>
        </w:rPr>
        <w:t xml:space="preserve"> find that teams that use analogical thinking have greater success in new product development. Likewise, </w:t>
      </w:r>
      <w:r w:rsidRPr="00CC73F3">
        <w:rPr>
          <w:rFonts w:eastAsia="Calibri"/>
          <w:noProof/>
          <w:szCs w:val="22"/>
        </w:rPr>
        <w:t>McNally et al. (2009)</w:t>
      </w:r>
      <w:r w:rsidRPr="00CC73F3">
        <w:rPr>
          <w:rFonts w:eastAsia="Calibri"/>
          <w:szCs w:val="22"/>
        </w:rPr>
        <w:t xml:space="preserve"> find that the cognitive styles and dispositional traits of managers are related to successful innovation portfolio management. </w:t>
      </w:r>
    </w:p>
    <w:p w:rsidR="00070FC5" w:rsidRPr="00CC73F3" w:rsidRDefault="00070FC5" w:rsidP="00D639F5">
      <w:pPr>
        <w:spacing w:line="480" w:lineRule="auto"/>
        <w:rPr>
          <w:rFonts w:eastAsia="Calibri"/>
          <w:szCs w:val="22"/>
        </w:rPr>
      </w:pPr>
      <w:r w:rsidRPr="00CC73F3">
        <w:rPr>
          <w:rFonts w:eastAsia="Calibri"/>
          <w:szCs w:val="22"/>
        </w:rPr>
        <w:tab/>
        <w:t>Theories from organizational psychology may be particularly helpful in understanding the cognitive underpinning of team decision making about customer ideas for new products and services. Here the focus is on two specific theory bases; regulatory focus theory and the literature on team reflexivity. Regulatory focus refers to how firms approach risk, rewards, and achievement, from a prevention- or promotion orientation, while reflexivity refers to the degree to which teams overtly reflect on their knowledge and decision-making practices. Both of these theories offer insight into the underlying causes of cognitive inertia, ways of thinking about opportunities, and practices that can help teams reduce the negative effects of cognitive inertia. They may also explain how accurate a development team is in assessing whether or not a customer’s new product idea is worth pursuing.</w:t>
      </w:r>
    </w:p>
    <w:p w:rsidR="00070FC5" w:rsidRPr="00CC73F3" w:rsidRDefault="00070FC5" w:rsidP="00D639F5">
      <w:pPr>
        <w:spacing w:line="480" w:lineRule="auto"/>
        <w:rPr>
          <w:rFonts w:eastAsia="Calibri"/>
          <w:b/>
          <w:szCs w:val="22"/>
          <w:u w:val="single"/>
        </w:rPr>
      </w:pPr>
    </w:p>
    <w:p w:rsidR="00070FC5" w:rsidRPr="00CC73F3" w:rsidRDefault="00070FC5" w:rsidP="00D639F5">
      <w:pPr>
        <w:pStyle w:val="Heading2"/>
      </w:pPr>
      <w:bookmarkStart w:id="28" w:name="_Toc420572564"/>
      <w:r w:rsidRPr="00CC73F3">
        <w:t>Regulatory Focus Theory</w:t>
      </w:r>
      <w:bookmarkEnd w:id="28"/>
    </w:p>
    <w:p w:rsidR="00070FC5" w:rsidRPr="00CC73F3" w:rsidRDefault="00070FC5" w:rsidP="00D639F5">
      <w:pPr>
        <w:spacing w:line="480" w:lineRule="auto"/>
        <w:rPr>
          <w:rFonts w:eastAsia="Calibri"/>
          <w:szCs w:val="22"/>
        </w:rPr>
      </w:pPr>
      <w:r w:rsidRPr="00CC73F3">
        <w:rPr>
          <w:rFonts w:eastAsia="Calibri"/>
          <w:szCs w:val="22"/>
        </w:rPr>
        <w:tab/>
        <w:t xml:space="preserve">Regulatory focus theory </w:t>
      </w:r>
      <w:r w:rsidRPr="00CC73F3">
        <w:rPr>
          <w:rFonts w:eastAsia="Calibri"/>
          <w:noProof/>
          <w:szCs w:val="22"/>
        </w:rPr>
        <w:t>(Crowe &amp; Higgins, 1997; Higgins, 1998)</w:t>
      </w:r>
      <w:r w:rsidRPr="00CC73F3">
        <w:rPr>
          <w:rFonts w:eastAsia="Calibri"/>
          <w:szCs w:val="22"/>
        </w:rPr>
        <w:t xml:space="preserve"> posits that individuals self-regulate and make decisions using either a prevention orientation or a promotion orientation. When people make decisions motivated by achievement, risk-taking, and pursuing positive outcomes, they can be said to have a promotion orientation. Individuals with a promotion orientation typically have a strong motivation to enact change, are creative problem solvers, are more risk tolerant, and more sensitive to the presence or absence of rewards. Conversely, a prevention orientation occurs when individuals or groups are motivated by avoiding negative outcomes and losses. Individuals with a prevention orientation typically have a strong motivation to follow rules, are concerned with the absence or presence of punishment, with duties and obligations, and are considered more risk averse than people with a promotion orientation.</w:t>
      </w:r>
    </w:p>
    <w:p w:rsidR="00070FC5" w:rsidRPr="00CC73F3" w:rsidRDefault="00070FC5" w:rsidP="00D639F5">
      <w:pPr>
        <w:spacing w:line="480" w:lineRule="auto"/>
        <w:rPr>
          <w:rFonts w:eastAsia="Calibri"/>
          <w:szCs w:val="22"/>
        </w:rPr>
      </w:pPr>
      <w:r w:rsidRPr="00CC73F3">
        <w:rPr>
          <w:rFonts w:eastAsia="Calibri"/>
          <w:szCs w:val="22"/>
        </w:rPr>
        <w:tab/>
        <w:t xml:space="preserve">Prevention and promotion orientations have also been empirically shown to be manifest at the group level of analysis. For example, </w:t>
      </w:r>
      <w:r w:rsidRPr="00CC73F3">
        <w:rPr>
          <w:rFonts w:eastAsia="Calibri"/>
          <w:noProof/>
          <w:szCs w:val="22"/>
        </w:rPr>
        <w:t>Levine et al. (2000)</w:t>
      </w:r>
      <w:r w:rsidRPr="00CC73F3">
        <w:rPr>
          <w:rFonts w:eastAsia="Calibri"/>
          <w:szCs w:val="22"/>
        </w:rPr>
        <w:t xml:space="preserve"> conducted an experiment to determine how situational factors might change regulatory style. They found that in a group decision-making context, groups tended to converge on either a prevention or promotion style, even when individual team members had opposite chronic traits. </w:t>
      </w:r>
      <w:r w:rsidRPr="00CC73F3">
        <w:rPr>
          <w:rFonts w:eastAsia="Calibri"/>
          <w:noProof/>
          <w:szCs w:val="22"/>
        </w:rPr>
        <w:t>Faddegon, Scheepers, and Ellemers (2008)</w:t>
      </w:r>
      <w:r w:rsidRPr="00CC73F3">
        <w:rPr>
          <w:rFonts w:eastAsia="Calibri"/>
          <w:szCs w:val="22"/>
        </w:rPr>
        <w:t xml:space="preserve"> report a similar convergence on a group regulatory style and found that even the emotions of individual group members shifted to align with the prevention or promotion orientation of the group.</w:t>
      </w:r>
    </w:p>
    <w:p w:rsidR="00070FC5" w:rsidRPr="00CC73F3" w:rsidRDefault="00070FC5" w:rsidP="00D639F5">
      <w:pPr>
        <w:spacing w:line="480" w:lineRule="auto"/>
        <w:rPr>
          <w:rFonts w:eastAsia="Calibri"/>
          <w:szCs w:val="22"/>
        </w:rPr>
      </w:pPr>
      <w:r w:rsidRPr="00CC73F3">
        <w:rPr>
          <w:rFonts w:eastAsia="Calibri"/>
          <w:szCs w:val="22"/>
        </w:rPr>
        <w:tab/>
        <w:t xml:space="preserve">Regulatory focus is considered to be both a trait and a state in that individuals typically have a stable preference, but different situations can elicit different regulatory styles </w:t>
      </w:r>
      <w:r w:rsidRPr="00CC73F3">
        <w:rPr>
          <w:rFonts w:eastAsia="Calibri"/>
          <w:noProof/>
          <w:szCs w:val="22"/>
        </w:rPr>
        <w:t>(Kark &amp; Van Dijk, 2007)</w:t>
      </w:r>
      <w:r w:rsidRPr="00CC73F3">
        <w:rPr>
          <w:rFonts w:eastAsia="Calibri"/>
          <w:szCs w:val="22"/>
        </w:rPr>
        <w:t xml:space="preserve">. Among the situational factors that have empirically shown to influence group regulatory style are punishment/reward structures </w:t>
      </w:r>
      <w:r w:rsidRPr="00CC73F3">
        <w:rPr>
          <w:rFonts w:eastAsia="Calibri"/>
          <w:noProof/>
          <w:szCs w:val="22"/>
        </w:rPr>
        <w:t>(Crowe &amp; Higgins, 1997; Florack &amp; Hartmann, 2007)</w:t>
      </w:r>
      <w:r w:rsidRPr="00CC73F3">
        <w:rPr>
          <w:rFonts w:eastAsia="Calibri"/>
          <w:szCs w:val="22"/>
        </w:rPr>
        <w:t xml:space="preserve">, time pressure </w:t>
      </w:r>
      <w:r w:rsidRPr="00CC73F3">
        <w:rPr>
          <w:rFonts w:eastAsia="Calibri"/>
          <w:noProof/>
          <w:szCs w:val="22"/>
        </w:rPr>
        <w:t>(Florack &amp; Hartmann, 2007)</w:t>
      </w:r>
      <w:r w:rsidRPr="00CC73F3">
        <w:rPr>
          <w:rFonts w:eastAsia="Calibri"/>
          <w:szCs w:val="22"/>
        </w:rPr>
        <w:t xml:space="preserve">, the regulatory style of team leaders </w:t>
      </w:r>
      <w:r w:rsidRPr="00CC73F3">
        <w:rPr>
          <w:rFonts w:eastAsia="Calibri"/>
          <w:noProof/>
          <w:szCs w:val="22"/>
        </w:rPr>
        <w:t>(Wu, McMullen, Neubert, &amp; Yi, 2008)</w:t>
      </w:r>
      <w:r w:rsidRPr="00CC73F3">
        <w:rPr>
          <w:rFonts w:eastAsia="Calibri"/>
          <w:szCs w:val="22"/>
        </w:rPr>
        <w:t xml:space="preserve">, and explicitly receiving instructions to adopt a decision-making style of “eagerness” or “vigilance” </w:t>
      </w:r>
      <w:r w:rsidRPr="00CC73F3">
        <w:rPr>
          <w:rFonts w:eastAsia="Calibri"/>
          <w:noProof/>
          <w:szCs w:val="22"/>
        </w:rPr>
        <w:t>(Spanjol, Tam, Qualls, &amp; Bohlmann, 2011)</w:t>
      </w:r>
      <w:r w:rsidRPr="00CC73F3">
        <w:rPr>
          <w:rFonts w:eastAsia="Calibri"/>
          <w:szCs w:val="22"/>
        </w:rPr>
        <w:t xml:space="preserve">. </w:t>
      </w:r>
    </w:p>
    <w:p w:rsidR="00070FC5" w:rsidRPr="00CC73F3" w:rsidRDefault="00070FC5" w:rsidP="00D639F5">
      <w:pPr>
        <w:jc w:val="center"/>
        <w:rPr>
          <w:rFonts w:eastAsia="Calibri"/>
          <w:b/>
          <w:szCs w:val="22"/>
        </w:rPr>
        <w:sectPr w:rsidR="00070FC5" w:rsidRPr="00CC73F3">
          <w:pgSz w:w="12240" w:h="15840"/>
          <w:pgMar w:top="1440" w:right="1440" w:bottom="1440" w:left="1440" w:header="720" w:footer="720" w:gutter="0"/>
          <w:cols w:space="720"/>
          <w:docGrid w:linePitch="360"/>
        </w:sectPr>
      </w:pPr>
    </w:p>
    <w:p w:rsidR="00070FC5" w:rsidRPr="00CC73F3" w:rsidRDefault="00070FC5" w:rsidP="00D639F5">
      <w:pPr>
        <w:pStyle w:val="Caption"/>
      </w:pPr>
      <w:bookmarkStart w:id="29" w:name="_Toc420570928"/>
      <w:proofErr w:type="gramStart"/>
      <w:r w:rsidRPr="00CC73F3">
        <w:t xml:space="preserve">Table </w:t>
      </w:r>
      <w:fldSimple w:instr=" SEQ Table \* ARABIC ">
        <w:r w:rsidRPr="00CC73F3">
          <w:rPr>
            <w:noProof/>
          </w:rPr>
          <w:t>3</w:t>
        </w:r>
      </w:fldSimple>
      <w:r w:rsidRPr="00CC73F3">
        <w:t>.</w:t>
      </w:r>
      <w:proofErr w:type="gramEnd"/>
      <w:r w:rsidRPr="00CC73F3">
        <w:t xml:space="preserve"> </w:t>
      </w:r>
      <w:r w:rsidR="00117A2D">
        <w:rPr>
          <w:rFonts w:eastAsia="Calibri"/>
        </w:rPr>
        <w:t>Group</w:t>
      </w:r>
      <w:r w:rsidRPr="00CC73F3">
        <w:rPr>
          <w:rFonts w:eastAsia="Calibri"/>
        </w:rPr>
        <w:t xml:space="preserve"> Regulatory Focus Theory </w:t>
      </w:r>
      <w:r w:rsidR="00117A2D">
        <w:rPr>
          <w:rFonts w:eastAsia="Calibri"/>
        </w:rPr>
        <w:t>in</w:t>
      </w:r>
      <w:r w:rsidRPr="00CC73F3">
        <w:rPr>
          <w:rFonts w:eastAsia="Calibri"/>
        </w:rPr>
        <w:t xml:space="preserve"> Entrepreneurship/Innovation</w:t>
      </w:r>
      <w:bookmarkEnd w:id="29"/>
    </w:p>
    <w:tbl>
      <w:tblPr>
        <w:tblW w:w="14760" w:type="dxa"/>
        <w:tblInd w:w="-702" w:type="dxa"/>
        <w:tblLayout w:type="fixed"/>
        <w:tblLook w:val="04A0" w:firstRow="1" w:lastRow="0" w:firstColumn="1" w:lastColumn="0" w:noHBand="0" w:noVBand="1"/>
      </w:tblPr>
      <w:tblGrid>
        <w:gridCol w:w="1530"/>
        <w:gridCol w:w="10890"/>
        <w:gridCol w:w="2340"/>
      </w:tblGrid>
      <w:tr w:rsidR="00070FC5" w:rsidRPr="00CC73F3" w:rsidTr="00D639F5">
        <w:tc>
          <w:tcPr>
            <w:tcW w:w="1530" w:type="dxa"/>
            <w:tcBorders>
              <w:top w:val="single" w:sz="18" w:space="0" w:color="auto"/>
              <w:bottom w:val="single" w:sz="18" w:space="0" w:color="auto"/>
            </w:tcBorders>
            <w:shd w:val="clear" w:color="auto" w:fill="auto"/>
          </w:tcPr>
          <w:p w:rsidR="00070FC5" w:rsidRPr="00CC73F3" w:rsidRDefault="00070FC5" w:rsidP="00D639F5">
            <w:pPr>
              <w:rPr>
                <w:rFonts w:eastAsia="Calibri"/>
                <w:b/>
                <w:szCs w:val="22"/>
              </w:rPr>
            </w:pPr>
            <w:r w:rsidRPr="00CC73F3">
              <w:rPr>
                <w:rFonts w:eastAsia="Calibri"/>
                <w:b/>
                <w:szCs w:val="22"/>
              </w:rPr>
              <w:t>Author(s)</w:t>
            </w:r>
          </w:p>
        </w:tc>
        <w:tc>
          <w:tcPr>
            <w:tcW w:w="10890" w:type="dxa"/>
            <w:tcBorders>
              <w:top w:val="single" w:sz="18" w:space="0" w:color="auto"/>
              <w:bottom w:val="single" w:sz="18" w:space="0" w:color="auto"/>
            </w:tcBorders>
            <w:shd w:val="clear" w:color="auto" w:fill="auto"/>
          </w:tcPr>
          <w:p w:rsidR="00070FC5" w:rsidRPr="00CC73F3" w:rsidRDefault="00070FC5" w:rsidP="00D639F5">
            <w:pPr>
              <w:rPr>
                <w:rFonts w:eastAsia="Calibri"/>
                <w:b/>
                <w:szCs w:val="22"/>
              </w:rPr>
            </w:pPr>
            <w:r w:rsidRPr="00CC73F3">
              <w:rPr>
                <w:rFonts w:eastAsia="Calibri"/>
                <w:b/>
                <w:szCs w:val="22"/>
              </w:rPr>
              <w:t>Key Findings</w:t>
            </w:r>
          </w:p>
        </w:tc>
        <w:tc>
          <w:tcPr>
            <w:tcW w:w="2340" w:type="dxa"/>
            <w:tcBorders>
              <w:top w:val="single" w:sz="18" w:space="0" w:color="auto"/>
              <w:bottom w:val="single" w:sz="18" w:space="0" w:color="auto"/>
            </w:tcBorders>
            <w:shd w:val="clear" w:color="auto" w:fill="auto"/>
            <w:vAlign w:val="center"/>
          </w:tcPr>
          <w:p w:rsidR="00070FC5" w:rsidRPr="00CC73F3" w:rsidRDefault="00070FC5" w:rsidP="00D639F5">
            <w:pPr>
              <w:rPr>
                <w:rFonts w:eastAsia="Calibri"/>
                <w:b/>
                <w:szCs w:val="22"/>
              </w:rPr>
            </w:pPr>
            <w:r w:rsidRPr="00CC73F3">
              <w:rPr>
                <w:rFonts w:eastAsia="Calibri"/>
                <w:b/>
                <w:szCs w:val="22"/>
              </w:rPr>
              <w:t>Method and Sample</w:t>
            </w:r>
          </w:p>
        </w:tc>
      </w:tr>
      <w:tr w:rsidR="00070FC5" w:rsidRPr="00CC73F3" w:rsidTr="00D639F5">
        <w:tc>
          <w:tcPr>
            <w:tcW w:w="1530" w:type="dxa"/>
            <w:tcBorders>
              <w:top w:val="single" w:sz="18" w:space="0" w:color="auto"/>
            </w:tcBorders>
            <w:shd w:val="clear" w:color="auto" w:fill="auto"/>
          </w:tcPr>
          <w:p w:rsidR="00070FC5" w:rsidRPr="00CC73F3" w:rsidRDefault="00070FC5" w:rsidP="00D639F5">
            <w:pPr>
              <w:rPr>
                <w:rFonts w:eastAsia="Calibri"/>
                <w:szCs w:val="22"/>
              </w:rPr>
            </w:pPr>
            <w:r w:rsidRPr="00CC73F3">
              <w:rPr>
                <w:rFonts w:eastAsia="Calibri"/>
                <w:szCs w:val="22"/>
              </w:rPr>
              <w:t>Baron (2004)</w:t>
            </w:r>
          </w:p>
        </w:tc>
        <w:tc>
          <w:tcPr>
            <w:tcW w:w="10890" w:type="dxa"/>
            <w:tcBorders>
              <w:top w:val="single" w:sz="18" w:space="0" w:color="auto"/>
            </w:tcBorders>
            <w:shd w:val="clear" w:color="auto" w:fill="auto"/>
          </w:tcPr>
          <w:p w:rsidR="00070FC5" w:rsidRPr="00CC73F3" w:rsidRDefault="00070FC5" w:rsidP="00D639F5">
            <w:pPr>
              <w:numPr>
                <w:ilvl w:val="0"/>
                <w:numId w:val="19"/>
              </w:numPr>
              <w:ind w:left="342" w:hanging="342"/>
              <w:contextualSpacing/>
              <w:rPr>
                <w:rFonts w:eastAsia="Calibri"/>
                <w:szCs w:val="22"/>
              </w:rPr>
            </w:pPr>
            <w:r w:rsidRPr="00CC73F3">
              <w:rPr>
                <w:rFonts w:eastAsia="Calibri"/>
                <w:szCs w:val="22"/>
              </w:rPr>
              <w:t>A promotion focus is associated with situational alertness and the ability to consider a broad range of idea and knowledge domains in innovation and entrepreneurship.</w:t>
            </w:r>
          </w:p>
          <w:p w:rsidR="00070FC5" w:rsidRPr="00CC73F3" w:rsidRDefault="00070FC5" w:rsidP="00D639F5">
            <w:pPr>
              <w:numPr>
                <w:ilvl w:val="0"/>
                <w:numId w:val="19"/>
              </w:numPr>
              <w:ind w:left="342" w:hanging="342"/>
              <w:contextualSpacing/>
              <w:rPr>
                <w:rFonts w:eastAsia="Calibri"/>
                <w:szCs w:val="22"/>
              </w:rPr>
            </w:pPr>
            <w:r w:rsidRPr="00CC73F3">
              <w:rPr>
                <w:rFonts w:eastAsia="Calibri"/>
                <w:szCs w:val="22"/>
              </w:rPr>
              <w:t>A promotion focus may be more effective in idea generation, while a prevention focus may be more effective in idea screening in innovation and entrepreneurship.</w:t>
            </w:r>
          </w:p>
          <w:p w:rsidR="00070FC5" w:rsidRPr="00CC73F3" w:rsidRDefault="00070FC5" w:rsidP="00D639F5">
            <w:pPr>
              <w:rPr>
                <w:rFonts w:eastAsia="Calibri"/>
                <w:szCs w:val="22"/>
              </w:rPr>
            </w:pPr>
            <w:r w:rsidRPr="00CC73F3">
              <w:rPr>
                <w:rFonts w:eastAsia="Calibri"/>
                <w:szCs w:val="22"/>
              </w:rPr>
              <w:t xml:space="preserve"> </w:t>
            </w:r>
          </w:p>
        </w:tc>
        <w:tc>
          <w:tcPr>
            <w:tcW w:w="2340" w:type="dxa"/>
            <w:tcBorders>
              <w:top w:val="single" w:sz="18" w:space="0" w:color="auto"/>
            </w:tcBorders>
            <w:shd w:val="clear" w:color="auto" w:fill="auto"/>
            <w:vAlign w:val="center"/>
          </w:tcPr>
          <w:p w:rsidR="00070FC5" w:rsidRPr="00CC73F3" w:rsidRDefault="00070FC5" w:rsidP="00D639F5">
            <w:pPr>
              <w:rPr>
                <w:rFonts w:eastAsia="Calibri"/>
                <w:szCs w:val="22"/>
              </w:rPr>
            </w:pPr>
            <w:r w:rsidRPr="00CC73F3">
              <w:rPr>
                <w:rFonts w:eastAsia="Calibri"/>
                <w:szCs w:val="22"/>
              </w:rPr>
              <w:t>Conceptual article</w:t>
            </w:r>
          </w:p>
        </w:tc>
      </w:tr>
      <w:tr w:rsidR="00070FC5" w:rsidRPr="00CC73F3" w:rsidTr="00D639F5">
        <w:tc>
          <w:tcPr>
            <w:tcW w:w="1530" w:type="dxa"/>
            <w:shd w:val="clear" w:color="auto" w:fill="auto"/>
          </w:tcPr>
          <w:p w:rsidR="00070FC5" w:rsidRPr="00CC73F3" w:rsidRDefault="00070FC5" w:rsidP="00D639F5">
            <w:pPr>
              <w:rPr>
                <w:rFonts w:eastAsia="Calibri"/>
                <w:szCs w:val="22"/>
              </w:rPr>
            </w:pPr>
            <w:r w:rsidRPr="00CC73F3">
              <w:rPr>
                <w:rFonts w:eastAsia="Calibri"/>
                <w:szCs w:val="22"/>
              </w:rPr>
              <w:t>Brockner, Higgins, and Low (2004)</w:t>
            </w:r>
          </w:p>
        </w:tc>
        <w:tc>
          <w:tcPr>
            <w:tcW w:w="10890" w:type="dxa"/>
            <w:shd w:val="clear" w:color="auto" w:fill="auto"/>
          </w:tcPr>
          <w:p w:rsidR="00070FC5" w:rsidRPr="00CC73F3" w:rsidRDefault="00070FC5" w:rsidP="00D639F5">
            <w:pPr>
              <w:numPr>
                <w:ilvl w:val="0"/>
                <w:numId w:val="20"/>
              </w:numPr>
              <w:ind w:left="342" w:hanging="342"/>
              <w:contextualSpacing/>
              <w:rPr>
                <w:rFonts w:eastAsia="Calibri"/>
                <w:szCs w:val="22"/>
              </w:rPr>
            </w:pPr>
            <w:r w:rsidRPr="00CC73F3">
              <w:rPr>
                <w:rFonts w:eastAsia="Calibri"/>
                <w:szCs w:val="22"/>
              </w:rPr>
              <w:t>Prevention-minded decision makers may overestimate the problems and challenges of a new entrepreneurial opportunity, while promotion-minded decision makers tend to underestimate the problems and challenges of a new entrepreneurial opportunity.</w:t>
            </w:r>
          </w:p>
          <w:p w:rsidR="00070FC5" w:rsidRPr="00CC73F3" w:rsidRDefault="00070FC5" w:rsidP="00D639F5">
            <w:pPr>
              <w:numPr>
                <w:ilvl w:val="0"/>
                <w:numId w:val="20"/>
              </w:numPr>
              <w:ind w:left="342" w:hanging="342"/>
              <w:contextualSpacing/>
              <w:rPr>
                <w:rFonts w:eastAsia="Calibri"/>
                <w:szCs w:val="22"/>
              </w:rPr>
            </w:pPr>
            <w:r w:rsidRPr="00CC73F3">
              <w:rPr>
                <w:rFonts w:eastAsia="Calibri"/>
                <w:szCs w:val="22"/>
              </w:rPr>
              <w:t>Regulatory style may aid in signal detection about entrepreneurial/innovation opportunities; a promotion orientation is associated with more positive hits, but more false positives, while a prevention orientation should be associated with identifying more “dead ends”, but also more false negatives.</w:t>
            </w:r>
          </w:p>
          <w:p w:rsidR="00070FC5" w:rsidRPr="00CC73F3" w:rsidRDefault="00070FC5" w:rsidP="00D639F5">
            <w:pPr>
              <w:numPr>
                <w:ilvl w:val="0"/>
                <w:numId w:val="20"/>
              </w:numPr>
              <w:ind w:left="342" w:hanging="342"/>
              <w:contextualSpacing/>
              <w:rPr>
                <w:rFonts w:eastAsia="Calibri"/>
                <w:szCs w:val="22"/>
              </w:rPr>
            </w:pPr>
            <w:r w:rsidRPr="00CC73F3">
              <w:rPr>
                <w:rFonts w:eastAsia="Calibri"/>
                <w:szCs w:val="22"/>
              </w:rPr>
              <w:t>Prevention oriented teams should have lower overall levels of innovation activities (successful or unsuccessful) relative to promotion-oriented teams.</w:t>
            </w:r>
          </w:p>
          <w:p w:rsidR="00070FC5" w:rsidRPr="00CC73F3" w:rsidRDefault="00070FC5" w:rsidP="00D639F5">
            <w:pPr>
              <w:contextualSpacing/>
              <w:rPr>
                <w:rFonts w:eastAsia="Calibri"/>
                <w:szCs w:val="22"/>
              </w:rPr>
            </w:pPr>
          </w:p>
        </w:tc>
        <w:tc>
          <w:tcPr>
            <w:tcW w:w="2340" w:type="dxa"/>
            <w:shd w:val="clear" w:color="auto" w:fill="auto"/>
            <w:vAlign w:val="center"/>
          </w:tcPr>
          <w:p w:rsidR="00070FC5" w:rsidRPr="00CC73F3" w:rsidRDefault="00070FC5" w:rsidP="00D639F5">
            <w:pPr>
              <w:rPr>
                <w:rFonts w:eastAsia="Calibri"/>
                <w:szCs w:val="22"/>
              </w:rPr>
            </w:pPr>
            <w:r w:rsidRPr="00CC73F3">
              <w:rPr>
                <w:rFonts w:eastAsia="Calibri"/>
                <w:szCs w:val="22"/>
              </w:rPr>
              <w:t>Conceptual article</w:t>
            </w:r>
          </w:p>
        </w:tc>
      </w:tr>
      <w:tr w:rsidR="00070FC5" w:rsidRPr="00CC73F3" w:rsidTr="00D639F5">
        <w:tc>
          <w:tcPr>
            <w:tcW w:w="1530" w:type="dxa"/>
            <w:shd w:val="clear" w:color="auto" w:fill="auto"/>
          </w:tcPr>
          <w:p w:rsidR="00070FC5" w:rsidRPr="00CC73F3" w:rsidRDefault="00070FC5" w:rsidP="00D639F5">
            <w:pPr>
              <w:rPr>
                <w:rFonts w:eastAsia="Calibri"/>
                <w:szCs w:val="22"/>
              </w:rPr>
            </w:pPr>
            <w:r w:rsidRPr="00CC73F3">
              <w:rPr>
                <w:rFonts w:eastAsia="Calibri"/>
                <w:szCs w:val="22"/>
              </w:rPr>
              <w:t>Florack and Hartmann (2007)</w:t>
            </w:r>
          </w:p>
        </w:tc>
        <w:tc>
          <w:tcPr>
            <w:tcW w:w="10890" w:type="dxa"/>
            <w:shd w:val="clear" w:color="auto" w:fill="auto"/>
          </w:tcPr>
          <w:p w:rsidR="00070FC5" w:rsidRPr="00CC73F3" w:rsidRDefault="00070FC5" w:rsidP="00D639F5">
            <w:pPr>
              <w:numPr>
                <w:ilvl w:val="0"/>
                <w:numId w:val="22"/>
              </w:numPr>
              <w:ind w:left="342" w:hanging="342"/>
              <w:contextualSpacing/>
              <w:rPr>
                <w:rFonts w:eastAsia="Calibri"/>
                <w:szCs w:val="22"/>
              </w:rPr>
            </w:pPr>
            <w:r w:rsidRPr="00CC73F3">
              <w:rPr>
                <w:rFonts w:eastAsia="Calibri"/>
                <w:szCs w:val="22"/>
              </w:rPr>
              <w:t>In the absence of time pressure, prevention-oriented groups showed significantly more risk aversion than promotion-oriented groups.</w:t>
            </w:r>
          </w:p>
          <w:p w:rsidR="00070FC5" w:rsidRPr="00CC73F3" w:rsidRDefault="00070FC5" w:rsidP="00D639F5">
            <w:pPr>
              <w:numPr>
                <w:ilvl w:val="0"/>
                <w:numId w:val="22"/>
              </w:numPr>
              <w:ind w:left="342" w:hanging="342"/>
              <w:contextualSpacing/>
              <w:rPr>
                <w:rFonts w:eastAsia="Calibri"/>
                <w:szCs w:val="22"/>
              </w:rPr>
            </w:pPr>
            <w:r w:rsidRPr="00CC73F3">
              <w:rPr>
                <w:rFonts w:eastAsia="Calibri"/>
                <w:szCs w:val="22"/>
              </w:rPr>
              <w:t>Under conditions of extreme time pressure, prevention- and promotion-oriented groups displayed similar levels of risk aversion.</w:t>
            </w:r>
          </w:p>
          <w:p w:rsidR="00070FC5" w:rsidRPr="00CC73F3" w:rsidRDefault="00070FC5" w:rsidP="00D639F5">
            <w:pPr>
              <w:contextualSpacing/>
              <w:rPr>
                <w:rFonts w:eastAsia="Calibri"/>
                <w:szCs w:val="22"/>
              </w:rPr>
            </w:pPr>
          </w:p>
        </w:tc>
        <w:tc>
          <w:tcPr>
            <w:tcW w:w="2340" w:type="dxa"/>
            <w:shd w:val="clear" w:color="auto" w:fill="auto"/>
            <w:vAlign w:val="center"/>
          </w:tcPr>
          <w:p w:rsidR="00070FC5" w:rsidRPr="00CC73F3" w:rsidRDefault="00070FC5" w:rsidP="00D639F5">
            <w:pPr>
              <w:rPr>
                <w:rFonts w:eastAsia="Calibri"/>
                <w:szCs w:val="22"/>
              </w:rPr>
            </w:pPr>
            <w:r w:rsidRPr="00CC73F3">
              <w:rPr>
                <w:rFonts w:eastAsia="Calibri"/>
                <w:szCs w:val="22"/>
              </w:rPr>
              <w:t>Experimental design with high school student teams as subjects</w:t>
            </w:r>
          </w:p>
        </w:tc>
      </w:tr>
      <w:tr w:rsidR="00070FC5" w:rsidRPr="00CC73F3" w:rsidTr="00D639F5">
        <w:tc>
          <w:tcPr>
            <w:tcW w:w="1530" w:type="dxa"/>
            <w:shd w:val="clear" w:color="auto" w:fill="auto"/>
          </w:tcPr>
          <w:p w:rsidR="00070FC5" w:rsidRPr="00CC73F3" w:rsidRDefault="00070FC5" w:rsidP="00D639F5">
            <w:pPr>
              <w:rPr>
                <w:rFonts w:eastAsia="Calibri"/>
                <w:szCs w:val="22"/>
              </w:rPr>
            </w:pPr>
            <w:r w:rsidRPr="00CC73F3">
              <w:rPr>
                <w:rFonts w:eastAsia="Calibri"/>
                <w:szCs w:val="22"/>
              </w:rPr>
              <w:t>Spanjol et al. (2011)</w:t>
            </w:r>
          </w:p>
        </w:tc>
        <w:tc>
          <w:tcPr>
            <w:tcW w:w="10890" w:type="dxa"/>
            <w:shd w:val="clear" w:color="auto" w:fill="auto"/>
          </w:tcPr>
          <w:p w:rsidR="00070FC5" w:rsidRPr="00CC73F3" w:rsidRDefault="00070FC5" w:rsidP="00D639F5">
            <w:pPr>
              <w:numPr>
                <w:ilvl w:val="0"/>
                <w:numId w:val="23"/>
              </w:numPr>
              <w:ind w:left="342" w:hanging="342"/>
              <w:contextualSpacing/>
              <w:rPr>
                <w:rFonts w:eastAsia="Calibri"/>
                <w:szCs w:val="22"/>
              </w:rPr>
            </w:pPr>
            <w:r w:rsidRPr="00CC73F3">
              <w:rPr>
                <w:rFonts w:eastAsia="Calibri"/>
                <w:szCs w:val="22"/>
              </w:rPr>
              <w:t>When team members were matched on a promotion focus, the team introduced new products more quickly, had a greater quantity of new products launched, and introduced more novel new products.</w:t>
            </w:r>
          </w:p>
          <w:p w:rsidR="00070FC5" w:rsidRPr="00CC73F3" w:rsidRDefault="00070FC5" w:rsidP="00D639F5">
            <w:pPr>
              <w:numPr>
                <w:ilvl w:val="0"/>
                <w:numId w:val="23"/>
              </w:numPr>
              <w:ind w:left="342" w:hanging="342"/>
              <w:contextualSpacing/>
              <w:rPr>
                <w:rFonts w:eastAsia="Calibri"/>
                <w:szCs w:val="22"/>
              </w:rPr>
            </w:pPr>
            <w:r w:rsidRPr="00CC73F3">
              <w:rPr>
                <w:rFonts w:eastAsia="Calibri"/>
                <w:szCs w:val="22"/>
              </w:rPr>
              <w:t>When team members were mismatched on regulatory focus, those that were assigned an eager goal pursuit strategy (versus vigilant) introduced new products more quickly, had a greater quantity of new products launched, and introduced more novel new products.</w:t>
            </w:r>
          </w:p>
          <w:p w:rsidR="00070FC5" w:rsidRPr="00CC73F3" w:rsidRDefault="00070FC5" w:rsidP="00D639F5">
            <w:pPr>
              <w:contextualSpacing/>
              <w:rPr>
                <w:rFonts w:eastAsia="Calibri"/>
                <w:szCs w:val="22"/>
              </w:rPr>
            </w:pPr>
          </w:p>
        </w:tc>
        <w:tc>
          <w:tcPr>
            <w:tcW w:w="2340" w:type="dxa"/>
            <w:shd w:val="clear" w:color="auto" w:fill="auto"/>
            <w:vAlign w:val="center"/>
          </w:tcPr>
          <w:p w:rsidR="00070FC5" w:rsidRPr="00CC73F3" w:rsidRDefault="00070FC5" w:rsidP="00D639F5">
            <w:pPr>
              <w:rPr>
                <w:rFonts w:eastAsia="Calibri"/>
                <w:szCs w:val="22"/>
              </w:rPr>
            </w:pPr>
            <w:r w:rsidRPr="00CC73F3">
              <w:rPr>
                <w:rFonts w:eastAsia="Calibri"/>
                <w:szCs w:val="22"/>
              </w:rPr>
              <w:t>Undergraduate business students in a new product development simulation</w:t>
            </w:r>
          </w:p>
        </w:tc>
      </w:tr>
      <w:tr w:rsidR="00070FC5" w:rsidRPr="00CC73F3" w:rsidTr="00D639F5">
        <w:tc>
          <w:tcPr>
            <w:tcW w:w="1530" w:type="dxa"/>
            <w:tcBorders>
              <w:bottom w:val="single" w:sz="18" w:space="0" w:color="auto"/>
            </w:tcBorders>
            <w:shd w:val="clear" w:color="auto" w:fill="auto"/>
          </w:tcPr>
          <w:p w:rsidR="00070FC5" w:rsidRPr="00CC73F3" w:rsidRDefault="00070FC5" w:rsidP="00D639F5">
            <w:pPr>
              <w:rPr>
                <w:rFonts w:eastAsia="Calibri"/>
                <w:szCs w:val="22"/>
              </w:rPr>
            </w:pPr>
            <w:r w:rsidRPr="00CC73F3">
              <w:rPr>
                <w:rFonts w:eastAsia="Calibri"/>
                <w:szCs w:val="22"/>
              </w:rPr>
              <w:t>Rietzschel (2011)</w:t>
            </w:r>
          </w:p>
        </w:tc>
        <w:tc>
          <w:tcPr>
            <w:tcW w:w="10890" w:type="dxa"/>
            <w:tcBorders>
              <w:bottom w:val="single" w:sz="18" w:space="0" w:color="auto"/>
            </w:tcBorders>
            <w:shd w:val="clear" w:color="auto" w:fill="auto"/>
          </w:tcPr>
          <w:p w:rsidR="00070FC5" w:rsidRPr="00CC73F3" w:rsidRDefault="00070FC5" w:rsidP="00D639F5">
            <w:pPr>
              <w:numPr>
                <w:ilvl w:val="0"/>
                <w:numId w:val="21"/>
              </w:numPr>
              <w:ind w:left="342"/>
              <w:contextualSpacing/>
              <w:rPr>
                <w:rFonts w:eastAsia="Calibri"/>
                <w:szCs w:val="22"/>
              </w:rPr>
            </w:pPr>
            <w:r w:rsidRPr="00CC73F3">
              <w:rPr>
                <w:rFonts w:eastAsia="Calibri"/>
                <w:szCs w:val="22"/>
              </w:rPr>
              <w:t>A team promotion focus was positively associated with teams’ level of idea generation and idea promotion (e.g. internal selling and resource allocation).</w:t>
            </w:r>
          </w:p>
          <w:p w:rsidR="00070FC5" w:rsidRPr="00CC73F3" w:rsidRDefault="00070FC5" w:rsidP="00D639F5">
            <w:pPr>
              <w:numPr>
                <w:ilvl w:val="0"/>
                <w:numId w:val="21"/>
              </w:numPr>
              <w:ind w:left="342"/>
              <w:contextualSpacing/>
              <w:rPr>
                <w:rFonts w:eastAsia="Calibri"/>
                <w:szCs w:val="22"/>
              </w:rPr>
            </w:pPr>
            <w:r w:rsidRPr="00CC73F3">
              <w:rPr>
                <w:rFonts w:eastAsia="Calibri"/>
                <w:szCs w:val="22"/>
              </w:rPr>
              <w:t xml:space="preserve">Neither </w:t>
            </w:r>
            <w:proofErr w:type="gramStart"/>
            <w:r w:rsidRPr="00CC73F3">
              <w:rPr>
                <w:rFonts w:eastAsia="Calibri"/>
                <w:szCs w:val="22"/>
              </w:rPr>
              <w:t>a prevention</w:t>
            </w:r>
            <w:proofErr w:type="gramEnd"/>
            <w:r w:rsidRPr="00CC73F3">
              <w:rPr>
                <w:rFonts w:eastAsia="Calibri"/>
                <w:szCs w:val="22"/>
              </w:rPr>
              <w:t xml:space="preserve"> nor a promotion focus was significantly related to teams’ level of innovation idea realization.</w:t>
            </w:r>
          </w:p>
        </w:tc>
        <w:tc>
          <w:tcPr>
            <w:tcW w:w="2340" w:type="dxa"/>
            <w:tcBorders>
              <w:bottom w:val="single" w:sz="18" w:space="0" w:color="auto"/>
            </w:tcBorders>
            <w:shd w:val="clear" w:color="auto" w:fill="auto"/>
            <w:vAlign w:val="center"/>
          </w:tcPr>
          <w:p w:rsidR="00070FC5" w:rsidRPr="00CC73F3" w:rsidRDefault="00070FC5" w:rsidP="00D639F5">
            <w:pPr>
              <w:rPr>
                <w:rFonts w:eastAsia="Calibri"/>
                <w:szCs w:val="22"/>
              </w:rPr>
            </w:pPr>
            <w:r w:rsidRPr="00CC73F3">
              <w:rPr>
                <w:rFonts w:eastAsia="Calibri"/>
                <w:szCs w:val="22"/>
              </w:rPr>
              <w:t>Survey of innovation team members and team leaders in Dutch firms</w:t>
            </w:r>
          </w:p>
        </w:tc>
      </w:tr>
    </w:tbl>
    <w:p w:rsidR="00070FC5" w:rsidRPr="00CC73F3" w:rsidRDefault="00070FC5" w:rsidP="00D639F5">
      <w:pPr>
        <w:rPr>
          <w:rFonts w:eastAsia="Calibri"/>
          <w:szCs w:val="22"/>
        </w:rPr>
        <w:sectPr w:rsidR="00070FC5" w:rsidRPr="00CC73F3" w:rsidSect="00D639F5">
          <w:pgSz w:w="15840" w:h="12240" w:orient="landscape"/>
          <w:pgMar w:top="1440" w:right="1440" w:bottom="1440" w:left="1440" w:header="720" w:footer="720" w:gutter="0"/>
          <w:cols w:space="720"/>
          <w:docGrid w:linePitch="360"/>
        </w:sectPr>
      </w:pPr>
    </w:p>
    <w:p w:rsidR="00070FC5" w:rsidRPr="00CC73F3" w:rsidRDefault="00070FC5" w:rsidP="00D639F5">
      <w:pPr>
        <w:pStyle w:val="Heading2"/>
      </w:pPr>
      <w:bookmarkStart w:id="30" w:name="_Toc420572565"/>
      <w:r w:rsidRPr="00CC73F3">
        <w:t>Regulatory Focus in Innovation</w:t>
      </w:r>
      <w:bookmarkEnd w:id="30"/>
    </w:p>
    <w:p w:rsidR="00070FC5" w:rsidRPr="00CC73F3" w:rsidRDefault="00070FC5" w:rsidP="00D639F5">
      <w:pPr>
        <w:spacing w:line="480" w:lineRule="auto"/>
        <w:rPr>
          <w:rFonts w:eastAsia="Calibri"/>
          <w:szCs w:val="22"/>
        </w:rPr>
      </w:pPr>
      <w:r w:rsidRPr="00CC73F3">
        <w:rPr>
          <w:rFonts w:eastAsia="Calibri"/>
          <w:szCs w:val="22"/>
        </w:rPr>
        <w:tab/>
        <w:t xml:space="preserve">In innovation, regulatory focus may present an interesting tradeoff for firms wishing to launch new products. On the one hand conventional wisdom in innovation supports the idea that firms must be willing to accept a certain level of risk in the exploration of new knowledge, processes, and technologies </w:t>
      </w:r>
      <w:r w:rsidRPr="00CC73F3">
        <w:rPr>
          <w:rFonts w:eastAsia="Calibri"/>
          <w:noProof/>
          <w:szCs w:val="22"/>
        </w:rPr>
        <w:t>(March, 1991)</w:t>
      </w:r>
      <w:r w:rsidRPr="00CC73F3">
        <w:rPr>
          <w:rFonts w:eastAsia="Calibri"/>
          <w:szCs w:val="22"/>
        </w:rPr>
        <w:t xml:space="preserve">, which is consistent with a promotion orientation. On the other hand, given that there is no guarantee that exploration will yield returns (e.g., the high rate of new product failure), too much exploration could have serious negative consequences for a firm or business unit. In innovation, a promotion style represents a motivation to </w:t>
      </w:r>
      <w:r w:rsidRPr="00CC73F3">
        <w:rPr>
          <w:rFonts w:eastAsia="Calibri"/>
          <w:i/>
          <w:szCs w:val="22"/>
        </w:rPr>
        <w:t>create</w:t>
      </w:r>
      <w:r w:rsidRPr="00CC73F3">
        <w:rPr>
          <w:rFonts w:eastAsia="Calibri"/>
          <w:szCs w:val="22"/>
        </w:rPr>
        <w:t xml:space="preserve"> value through exploration, innovation, and creative thinking, while a prevention style represents the motivation to </w:t>
      </w:r>
      <w:r w:rsidRPr="00CC73F3">
        <w:rPr>
          <w:rFonts w:eastAsia="Calibri"/>
          <w:i/>
          <w:szCs w:val="22"/>
        </w:rPr>
        <w:t>capture</w:t>
      </w:r>
      <w:r w:rsidRPr="00CC73F3">
        <w:rPr>
          <w:rFonts w:eastAsia="Calibri"/>
          <w:szCs w:val="22"/>
        </w:rPr>
        <w:t xml:space="preserve"> value through exploitation, routinization, and cost reduction (Chesbrough, 2003).</w:t>
      </w:r>
    </w:p>
    <w:p w:rsidR="00070FC5" w:rsidRPr="00CC73F3" w:rsidRDefault="00070FC5" w:rsidP="00D639F5">
      <w:pPr>
        <w:spacing w:line="480" w:lineRule="auto"/>
        <w:rPr>
          <w:rFonts w:eastAsia="Calibri"/>
          <w:szCs w:val="22"/>
        </w:rPr>
      </w:pPr>
      <w:r w:rsidRPr="00CC73F3">
        <w:rPr>
          <w:rFonts w:eastAsia="Calibri"/>
          <w:szCs w:val="22"/>
        </w:rPr>
        <w:tab/>
        <w:t>Despite its potential for explaining team decision-making in innovation, only a few articles have used regulatory style to investigate outcomes for entrepreneurship and innovation. None of these articles addresses the cocreation of innovation with consumers, but when considered alongside the literature on the cocreation of innovation yield several interesting predictions. The key findings of these studies are shown in Table 3.</w:t>
      </w: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noProof/>
          <w:szCs w:val="22"/>
        </w:rPr>
        <w:t>Baron (2004)</w:t>
      </w:r>
      <w:r w:rsidRPr="00CC73F3">
        <w:rPr>
          <w:rFonts w:eastAsia="Calibri"/>
          <w:szCs w:val="22"/>
        </w:rPr>
        <w:t xml:space="preserve"> conceptually explores the role of regulatory style in detecting both good and bad opportunities for innovation and entrepreneurship. He posits that regulatory style may be instrumental in determining how accurately innovation- and entrepreneurially-oriented individuals and organizations are in detecting signals about the market performance potential of new projects. As he points out, successful innovators are not only adept at recognizing good opportunities (correct identification), but they can also recognize bad ideas and dead ends when they see them (correct rejection). In his view, both regulatory foci may offer advantages to successful innovators. Promotion may be associated with identifying good opportunities, while a promotion focus may be better-suited for being vigilant against pursuing ideas that would ultimately fail.</w:t>
      </w: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noProof/>
          <w:szCs w:val="22"/>
        </w:rPr>
        <w:t>Brockner et al. (2004)</w:t>
      </w:r>
      <w:r w:rsidRPr="00CC73F3">
        <w:rPr>
          <w:rFonts w:eastAsia="Calibri"/>
          <w:szCs w:val="22"/>
        </w:rPr>
        <w:t>, in their conceptual review of regulatory style in entrepreneurship, argue that prevention and promotion teams differ fundamentally in how they assess the risk of new product concepts. In their view, prevention-oriented teams have the tendency to overestimate the risks associated with a new product undertaking, whereas promotion-oriented teams tend to overestimate the riskiness of an innovation opportunity or new venture. They posit that a promotion style is beneficial in developing new ideas, while a prevention style may be more beneficial in the screening and implementation phases of entrepreneurship. One caveat they offer, however is that innovation and entrepreneurship may be incompatible with prevention orientation as they entail a certain level of inherent risk. As such, they argue that promotion oriented individuals and firms may be successful, in part, because they engage in overall higher levels of entrepreneurial and/or innovative activities.</w:t>
      </w:r>
    </w:p>
    <w:p w:rsidR="00070FC5" w:rsidRPr="00CC73F3" w:rsidRDefault="00070FC5" w:rsidP="00D639F5">
      <w:pPr>
        <w:spacing w:line="480" w:lineRule="auto"/>
        <w:rPr>
          <w:rFonts w:eastAsia="Calibri"/>
          <w:szCs w:val="22"/>
        </w:rPr>
      </w:pPr>
      <w:r w:rsidRPr="00CC73F3">
        <w:rPr>
          <w:rFonts w:eastAsia="Calibri"/>
          <w:szCs w:val="22"/>
        </w:rPr>
        <w:tab/>
        <w:t xml:space="preserve">Florack and Hartman (2007) investigated team decision making and how they chose to invest in certain ventures over others based on perceived risk levels. They conducted a team experiment in which a prevention or promotion focus was primed for each group. Teams were instructed to act as small business owners analyzing investment opportunities that varied in risk, and were asked to decide in which of those options to invest. They found that promotion-oriented groups made significantly riskier decisions than prevention-oriented groups who tended to opt for “safe” options. An important boundary condition they found was that time pressure seemed to erode any disparity in risk aversion between promotion and prevention-oriented groups. Under time pressure prevention-oriented groups became less risk averse and promotion-oriented groups became more risk averse. </w:t>
      </w: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noProof/>
          <w:szCs w:val="22"/>
        </w:rPr>
        <w:t>Rietzschel (2011)</w:t>
      </w:r>
      <w:r w:rsidRPr="00CC73F3">
        <w:rPr>
          <w:rFonts w:eastAsia="Calibri"/>
          <w:szCs w:val="22"/>
        </w:rPr>
        <w:t xml:space="preserve"> conducted a survey of 33 teams, including 303 team members and 33 team leaders in Dutch firms. His findings suggest that prevention orientation may have benefits in the fuzzy front end of the ideation process, as well as the process development teams must go through internally to garner resources and managerial support for new product development initiatives. Specifically, he found that a collective promotion focus was positively associated with the frequency of original idea generation, and idea promotion (e.g., mobilizing support internally for innovation projects. However, there were no significant differences between prevention and promotion groups on the number of realized ideas (e.g. turned into practical applications). An important potential implication of his findings is that, while a development team’s promotion may be instrumental in creating original ideas and generating organizational excitement and support for a project, it may not influence firms’ ability to develop a superior sense of which projects will perform well in the marketplace.</w:t>
      </w:r>
    </w:p>
    <w:p w:rsidR="00070FC5" w:rsidRPr="00CC73F3" w:rsidRDefault="00070FC5" w:rsidP="00D639F5">
      <w:pPr>
        <w:spacing w:line="480" w:lineRule="auto"/>
        <w:rPr>
          <w:rFonts w:eastAsia="Calibri"/>
          <w:szCs w:val="22"/>
        </w:rPr>
      </w:pPr>
      <w:r w:rsidRPr="00CC73F3">
        <w:rPr>
          <w:rFonts w:eastAsia="Calibri"/>
          <w:szCs w:val="22"/>
        </w:rPr>
        <w:tab/>
        <w:t>Spanjol et al. (2011) analyzed data collected from a marketing simulation completed by teams of business students that were assigned to an “eager” (promotion) or a “vigilant” (prevention) strategy in their decision-making. Additionally, dyads were either matched on their chronic individual regulatory style preferences (prevention matched, promotion matched, or mixed). In terms of development team outcomes they found that groups that had a promotion focus match introduced a greater volume of new products, were faster in introducing new products, and introduced more novel new products (versus product line extensions). Further, prevention match and mixed groups assigned an eager (promotion) strategy outperformed groups in the vigilance strategy (prevention) groups on the same three outcomes measures. The only exception was that when both team members were individually promotion oriented, they outperformed mixed and prevention groups, even when assigned to a vigilant strategy. The authors conclude that promotion-oriented individuals may be less sensitive to situational factors in regulatory style, or resistant to perceived outside influences on their regulatory style.</w:t>
      </w:r>
    </w:p>
    <w:p w:rsidR="00070FC5" w:rsidRPr="00CC73F3" w:rsidRDefault="00070FC5" w:rsidP="00D639F5">
      <w:pPr>
        <w:spacing w:line="480" w:lineRule="auto"/>
        <w:rPr>
          <w:rFonts w:eastAsia="Calibri"/>
          <w:szCs w:val="22"/>
        </w:rPr>
      </w:pPr>
      <w:r w:rsidRPr="00CC73F3">
        <w:rPr>
          <w:rFonts w:eastAsia="Calibri"/>
          <w:szCs w:val="22"/>
        </w:rPr>
        <w:tab/>
        <w:t xml:space="preserve">Collectively, these studies raise several interesting issues regarding the relationship between team regulatory style and innovation outcomes in the cocreation of new products.  A firm’s role in cocreation typically involves evaluation, selection, and implementation rather than idea generation (Bayus, 2013; Hoyer et al., 2010). Although firms may modify customer ideas since they are often under-elaborated or overly general (Bayus, 2013), the amount of creative problem solving relative to that required in idea generation may be significantly less. </w:t>
      </w:r>
      <w:proofErr w:type="gramStart"/>
      <w:r w:rsidRPr="00CC73F3">
        <w:rPr>
          <w:rFonts w:eastAsia="Calibri"/>
          <w:szCs w:val="22"/>
        </w:rPr>
        <w:t>In a cocreation context, where the originality and utility of customers’ ideas are often inherently high relative to internally-generated ideas (Magnusson et al., 2003; Poetz and Schreier, 2012), the benefits of a promotion orientation may be attenuated.</w:t>
      </w:r>
      <w:proofErr w:type="gramEnd"/>
      <w:r w:rsidRPr="00CC73F3">
        <w:rPr>
          <w:rFonts w:eastAsia="Calibri"/>
          <w:szCs w:val="22"/>
        </w:rPr>
        <w:t xml:space="preserve">  Development teams may feel that factors related to value creation (e.g., market appeal, originality) are already “built in” to the consideration set of ideas generated by their customers and are free to concentrate on factors related to value capture (e.g., determining technological feasibility, costs, etc.). A prevention orientation may also be particularly effective given the sheer volume of ideas firms typically have to filter through and evaluate in a cocreation project (Hoyer et al., 2010). Because of their risk-aversion, prevention-oriented teams may be less inclined to aggressively pursue ideas that don’t rank high on feasibility.</w:t>
      </w:r>
    </w:p>
    <w:p w:rsidR="00070FC5" w:rsidRPr="00CC73F3" w:rsidRDefault="00070FC5" w:rsidP="00D639F5">
      <w:pPr>
        <w:spacing w:line="480" w:lineRule="auto"/>
        <w:rPr>
          <w:rFonts w:eastAsia="Calibri"/>
          <w:szCs w:val="22"/>
        </w:rPr>
      </w:pPr>
      <w:r w:rsidRPr="00CC73F3">
        <w:rPr>
          <w:rFonts w:eastAsia="Calibri"/>
          <w:szCs w:val="22"/>
        </w:rPr>
        <w:tab/>
        <w:t>On the other hand, promotion may have benefits for teams beyond being associated with superior idea generation. As Rietzschel (2011) found, a promotion orientation was associated with more effective internal selling and the procurement of resources for new product development projects. From an evaluation and selection perspective, promotion-oriented teams may simply do a better job at detecting which customer ideas are likely to be achievable, and may also be more prone to persist with ideas longer than prevention teams. This is a potentially important factor in cocreation, given that customer ideas are rarely out-of-the-box or turnkey solutions, and may require tinkering, modification, and/or scope redefinition by the firm development team in order to be profitably implemented (Bayus, 2013).</w:t>
      </w:r>
    </w:p>
    <w:p w:rsidR="00070FC5" w:rsidRPr="00CC73F3" w:rsidRDefault="00070FC5" w:rsidP="00D639F5">
      <w:pPr>
        <w:spacing w:line="480" w:lineRule="auto"/>
        <w:rPr>
          <w:rFonts w:eastAsia="Calibri"/>
          <w:szCs w:val="22"/>
        </w:rPr>
      </w:pPr>
      <w:r w:rsidRPr="00CC73F3">
        <w:rPr>
          <w:rFonts w:eastAsia="Calibri"/>
          <w:szCs w:val="22"/>
        </w:rPr>
        <w:tab/>
        <w:t xml:space="preserve">Second, while there is empirical support for the positive influence on a promotion orientation on several aspect of the NPD process, such as idea generation, speed to market, product line deviations (Rietzschel, 2011; Spanjol et al., 2011), there is no evidence in these studies on the influence of regulatory style on the market performance of new products. While speed to market, product originality, and volume of new product introductions may be important considerations in a firm’s innovation strategy, these factors alone don’t necessarily ensure market success. Ideas that poorly satisfy unmet market needs, even when well implemented would be expected to fail on the basis of inferior value creation. Conversely, highly innovative ideas that are poorly-implemented would be expected to fail on the basis on inferior value capture for the firm. </w:t>
      </w:r>
    </w:p>
    <w:p w:rsidR="00070FC5" w:rsidRPr="00CC73F3" w:rsidRDefault="00070FC5" w:rsidP="00D639F5">
      <w:pPr>
        <w:spacing w:line="480" w:lineRule="auto"/>
        <w:rPr>
          <w:rFonts w:eastAsia="Calibri"/>
          <w:b/>
          <w:szCs w:val="22"/>
        </w:rPr>
      </w:pPr>
    </w:p>
    <w:p w:rsidR="00070FC5" w:rsidRPr="00CC73F3" w:rsidRDefault="00070FC5" w:rsidP="00D639F5">
      <w:pPr>
        <w:pStyle w:val="Heading3"/>
      </w:pPr>
      <w:bookmarkStart w:id="31" w:name="_Toc420572566"/>
      <w:r w:rsidRPr="00CC73F3">
        <w:t>Team Reflexivity</w:t>
      </w:r>
      <w:bookmarkEnd w:id="31"/>
    </w:p>
    <w:p w:rsidR="00070FC5" w:rsidRPr="00CC73F3" w:rsidRDefault="00070FC5" w:rsidP="00D639F5">
      <w:pPr>
        <w:spacing w:line="480" w:lineRule="auto"/>
        <w:rPr>
          <w:rFonts w:eastAsia="Calibri"/>
          <w:szCs w:val="22"/>
        </w:rPr>
      </w:pPr>
      <w:r w:rsidRPr="00CC73F3">
        <w:rPr>
          <w:rFonts w:eastAsia="Calibri"/>
          <w:szCs w:val="22"/>
        </w:rPr>
        <w:tab/>
        <w:t xml:space="preserve">According to </w:t>
      </w:r>
      <w:r w:rsidRPr="00CC73F3">
        <w:rPr>
          <w:rFonts w:eastAsia="Calibri"/>
          <w:noProof/>
          <w:szCs w:val="22"/>
        </w:rPr>
        <w:t>De Dreu (2007)</w:t>
      </w:r>
      <w:r w:rsidRPr="00CC73F3">
        <w:rPr>
          <w:rFonts w:eastAsia="Calibri"/>
          <w:szCs w:val="22"/>
        </w:rPr>
        <w:t xml:space="preserve">,  teams can engage in heuristic information processing characterized by well-learned associations, scripts, and routines, or they can rely on deeper, more effortful processing that help them form more elaborate argument-based decision criteria. Reflexive practices may help teams avoid automatic decision heuristics and develop the ability to make decisions based on deeply processed information. As was previously introduced in Chapter 1, group reflexivity in organizations refers to the degree to which a team overtly thinks about and reflects on its collective knowledge and the processes it uses in decision-making (West, 1996). Reflexivity has been shown to work in several different ways to increase team decision-making effectiveness in organizations. First, highly reflexive teams are more likely to develop shared mental models and integrate their collective tacit and explicit knowledge </w:t>
      </w:r>
      <w:r w:rsidRPr="00CC73F3">
        <w:rPr>
          <w:rFonts w:eastAsia="Calibri"/>
          <w:noProof/>
          <w:szCs w:val="22"/>
        </w:rPr>
        <w:t>(Müller, Herbig, &amp; Petrovic, 2009)</w:t>
      </w:r>
      <w:r w:rsidRPr="00CC73F3">
        <w:rPr>
          <w:rFonts w:eastAsia="Calibri"/>
          <w:szCs w:val="22"/>
        </w:rPr>
        <w:t>. Particularly in cross-functional teams where team members are likely to have diverse knowledge stores, reflexivity practices allow for groups to think about information, both more broadly and more deeply by drawing on the collective knowledge of individual members. Second, reflexivity gives teams the opportunity to assess the way they approach decision-making, which may be particularly useful in the dynamic decision environments faced by new product development teams (Hoegl &amp; Parboteeah, 2006). Research in group decision making has shown that groups often adopt decision-making strategies early and then habitually rely on them as they become engrained as a routine, but intentional reflection can break groups out of suboptimal decision processes that develop over time (Gurtner et al., 2007). The ability to break out of decision-making routines may be particularly important in cocreation where ideas are often not well-specified.</w:t>
      </w:r>
    </w:p>
    <w:p w:rsidR="00070FC5" w:rsidRPr="00CC73F3" w:rsidRDefault="00070FC5" w:rsidP="00D639F5">
      <w:pPr>
        <w:spacing w:line="480" w:lineRule="auto"/>
        <w:rPr>
          <w:rFonts w:eastAsia="Calibri"/>
          <w:szCs w:val="22"/>
        </w:rPr>
      </w:pPr>
      <w:r w:rsidRPr="00CC73F3">
        <w:rPr>
          <w:rFonts w:eastAsia="Calibri"/>
          <w:szCs w:val="22"/>
        </w:rPr>
        <w:tab/>
        <w:t xml:space="preserve">Although most studies report positive performance outcomes associated with team reflexivity, there are several boundary conditions to its effectiveness. First, reflexivity seems to work best for low-performing teams whose knowledge is not well-integrated or whose team learning is low </w:t>
      </w:r>
      <w:r w:rsidRPr="00CC73F3">
        <w:rPr>
          <w:rFonts w:eastAsia="Calibri"/>
          <w:noProof/>
          <w:szCs w:val="22"/>
        </w:rPr>
        <w:t>(Schippers, Homan, &amp; Knippenberg, 2013)</w:t>
      </w:r>
      <w:r w:rsidRPr="00CC73F3">
        <w:rPr>
          <w:rFonts w:eastAsia="Calibri"/>
          <w:szCs w:val="22"/>
        </w:rPr>
        <w:t>. Teams that are already high-performing would be expected to benefit less from adopting reflexive practices than low-performing teams. Second, reflexivity is most effective at driving team performance when team members perceive that there are interdependent benefits from collaborating with team members (DeDreu, 2007), an important consideration given the cross-functional nature of many product develop teams. Finally, reflexivity may be counterproductive when teams spend too much time thinking about and processing irrelevant information, or when teams with low knowledge levels are not proactive in acquiring additional outside knowledge (Gurtner et al., 2007).</w:t>
      </w:r>
    </w:p>
    <w:p w:rsidR="00070FC5" w:rsidRPr="00CC73F3" w:rsidRDefault="00070FC5" w:rsidP="00D639F5">
      <w:pPr>
        <w:spacing w:line="480" w:lineRule="auto"/>
        <w:rPr>
          <w:rFonts w:eastAsia="Calibri"/>
          <w:b/>
          <w:szCs w:val="22"/>
        </w:rPr>
      </w:pPr>
    </w:p>
    <w:p w:rsidR="00070FC5" w:rsidRPr="00CC73F3" w:rsidRDefault="00070FC5" w:rsidP="00D639F5">
      <w:pPr>
        <w:pStyle w:val="Heading3"/>
      </w:pPr>
      <w:bookmarkStart w:id="32" w:name="_Toc420572567"/>
      <w:r w:rsidRPr="00CC73F3">
        <w:t>Team Reflexivity in the Innovation Literature</w:t>
      </w:r>
      <w:bookmarkEnd w:id="32"/>
    </w:p>
    <w:p w:rsidR="00070FC5" w:rsidRPr="00CC73F3" w:rsidRDefault="00070FC5" w:rsidP="00D639F5">
      <w:pPr>
        <w:spacing w:line="480" w:lineRule="auto"/>
        <w:rPr>
          <w:rFonts w:eastAsia="Calibri"/>
          <w:szCs w:val="22"/>
        </w:rPr>
      </w:pPr>
      <w:r w:rsidRPr="00CC73F3">
        <w:rPr>
          <w:rFonts w:eastAsia="Calibri"/>
          <w:szCs w:val="22"/>
        </w:rPr>
        <w:tab/>
        <w:t xml:space="preserve">Reflexivity is particularly pertinent to innovation decisions because of the tendency for firms to develop strong decision-making heuristics, organizational scripts, and work routines around the new product development process </w:t>
      </w:r>
      <w:r w:rsidRPr="00CC73F3">
        <w:rPr>
          <w:rFonts w:eastAsia="Calibri"/>
          <w:noProof/>
          <w:szCs w:val="22"/>
        </w:rPr>
        <w:t>(Leonard</w:t>
      </w:r>
      <w:r w:rsidRPr="00CC73F3">
        <w:rPr>
          <w:rFonts w:ascii="Cambria Math" w:eastAsia="Calibri" w:hAnsi="Cambria Math" w:cs="Cambria Math"/>
          <w:noProof/>
          <w:szCs w:val="22"/>
        </w:rPr>
        <w:t>‐</w:t>
      </w:r>
      <w:r w:rsidRPr="00CC73F3">
        <w:rPr>
          <w:rFonts w:eastAsia="Calibri"/>
          <w:noProof/>
          <w:szCs w:val="22"/>
        </w:rPr>
        <w:t>Barton, 1992; Madhavan &amp; Grover, 1998)</w:t>
      </w:r>
      <w:r w:rsidRPr="00CC73F3">
        <w:rPr>
          <w:rFonts w:eastAsia="Calibri"/>
          <w:szCs w:val="22"/>
        </w:rPr>
        <w:t xml:space="preserve">.  For example, the stage gate process has been widely used by firms to try to take a disciplined approach to an otherwise chaotic process </w:t>
      </w:r>
      <w:r w:rsidRPr="00CC73F3">
        <w:rPr>
          <w:rFonts w:eastAsia="Calibri"/>
          <w:noProof/>
          <w:szCs w:val="22"/>
        </w:rPr>
        <w:t>(Sethi &amp; Iqbal, 2008)</w:t>
      </w:r>
      <w:r w:rsidRPr="00CC73F3">
        <w:rPr>
          <w:rFonts w:eastAsia="Calibri"/>
          <w:szCs w:val="22"/>
        </w:rPr>
        <w:t>.</w:t>
      </w:r>
    </w:p>
    <w:p w:rsidR="00070FC5" w:rsidRPr="00CC73F3" w:rsidRDefault="00070FC5" w:rsidP="00D639F5">
      <w:pPr>
        <w:spacing w:line="480" w:lineRule="auto"/>
        <w:rPr>
          <w:rFonts w:eastAsia="Calibri"/>
          <w:szCs w:val="22"/>
        </w:rPr>
      </w:pPr>
      <w:r w:rsidRPr="00CC73F3">
        <w:rPr>
          <w:rFonts w:eastAsia="Calibri"/>
          <w:szCs w:val="22"/>
        </w:rPr>
        <w:tab/>
        <w:t xml:space="preserve">However, as several authors point out (e.g., Sethi &amp; Iqbal, 2008; Leonard-Barton 1992), adopting rigid decision-making routines may impede organizational learning or cause firms to rely on what has been successful in the past rather than what processes are needed to be successful in the future. This is particularly true when products are novel, or in a turbulent technological landscape. Given that product lifecycles are shortening, and the rate of market change is accelerating </w:t>
      </w:r>
      <w:r w:rsidRPr="00CC73F3">
        <w:rPr>
          <w:rFonts w:eastAsia="Calibri"/>
          <w:noProof/>
          <w:szCs w:val="22"/>
        </w:rPr>
        <w:t>(Day, 2011)</w:t>
      </w:r>
      <w:r w:rsidRPr="00CC73F3">
        <w:rPr>
          <w:rFonts w:eastAsia="Calibri"/>
          <w:szCs w:val="22"/>
        </w:rPr>
        <w:t>, the ability to reflect on and adapt decision-making processes may be equally important to the actual knowledge content firms use in product development.  The fundamental premise behind the value of reflexivity in innovation teams is not that development teams should completely abandon innovation routines and decision heuristics, rather the way a firm thinks about new product development and the way teams evaluate and select ideas should be subject to continual evaluation and or improvement. Indeed, the literature in innovation that has explored the role of reflexivity supports the positive connection between new product performance and the reflexive practices of NPD teams. As articulated by Hammedi et al. (2011), “a reflexive screening committee appears to be more likely to question itself and its methods, to tackle challenges produced by a dynamic new product environment and the unique features of new product ideas at hand” (p. 674).</w:t>
      </w:r>
    </w:p>
    <w:p w:rsidR="00070FC5" w:rsidRPr="00CC73F3" w:rsidRDefault="00070FC5" w:rsidP="00D639F5">
      <w:pPr>
        <w:spacing w:line="480" w:lineRule="auto"/>
        <w:rPr>
          <w:rFonts w:eastAsia="Calibri"/>
          <w:szCs w:val="22"/>
        </w:rPr>
      </w:pPr>
      <w:r w:rsidRPr="00CC73F3">
        <w:rPr>
          <w:rFonts w:eastAsia="Calibri"/>
          <w:szCs w:val="22"/>
        </w:rPr>
        <w:tab/>
        <w:t xml:space="preserve">As with regulatory style, there are relatively few works in the literature investigating the influence of reflexivity on innovation, and no research to date has examined NPD team reflexivity in a cocreation context. An overview of the literature pertaining to reflexivity in innovation is presented below in Table 4 and discussed in the following sections. </w:t>
      </w:r>
    </w:p>
    <w:p w:rsidR="00070FC5" w:rsidRPr="00CC73F3" w:rsidRDefault="00070FC5" w:rsidP="00D639F5">
      <w:pPr>
        <w:spacing w:line="480" w:lineRule="auto"/>
        <w:rPr>
          <w:rFonts w:eastAsia="Calibri"/>
          <w:szCs w:val="22"/>
        </w:rPr>
      </w:pPr>
      <w:r w:rsidRPr="00CC73F3">
        <w:rPr>
          <w:rFonts w:eastAsia="Calibri"/>
          <w:b/>
          <w:szCs w:val="22"/>
        </w:rPr>
        <w:tab/>
      </w:r>
      <w:r w:rsidRPr="00CC73F3">
        <w:rPr>
          <w:rFonts w:eastAsia="Calibri"/>
          <w:szCs w:val="22"/>
        </w:rPr>
        <w:t>DeDreu (2002) conducted a field study involving teams making decisions about ambiguously-defined projects for which there was no clear procedure or organizational routine. He found that minority dissent was positively associated with team innovation effectiveness, but only when reflexivity was high. This finding underscores the knowledge integration aspect of reflexivity. His conclusion is that when teams are highly reflexive, minority views and information counter to teams’ working hypotheses may be listened to more carefully and processed more thoroughly by the group, leading to more effective decision-making.</w:t>
      </w:r>
    </w:p>
    <w:p w:rsidR="00070FC5" w:rsidRPr="00CC73F3" w:rsidRDefault="00070FC5" w:rsidP="00D639F5">
      <w:pPr>
        <w:spacing w:line="480" w:lineRule="auto"/>
        <w:rPr>
          <w:rFonts w:eastAsia="Calibri"/>
          <w:szCs w:val="22"/>
        </w:rPr>
      </w:pPr>
      <w:r w:rsidRPr="00CC73F3">
        <w:rPr>
          <w:rFonts w:eastAsia="Calibri"/>
          <w:b/>
          <w:szCs w:val="22"/>
        </w:rPr>
        <w:tab/>
      </w:r>
      <w:r w:rsidRPr="00CC73F3">
        <w:rPr>
          <w:rFonts w:eastAsia="Calibri"/>
          <w:szCs w:val="22"/>
        </w:rPr>
        <w:t xml:space="preserve">Hoegl and Parboteeah (2006) investigate the influence of team reflexivity on innovation effectiveness and innovation efficiency in software development teams. They found that reflexivity was positively associated with new product effectiveness (e.g., customer satisfaction with the new product, technical proficiency of the new product, etc.), but had a non-significant relationship to new product efficiency (e.g., within time schedule and within budget). To explain this non-effect, they argue that reflexivity likely requires a significant time commitment from teams, as it involves levels of exploratory learning, planning and continuous monitoring not present in teams with low reflexivity. They also contend that maintaining a high level of </w:t>
      </w:r>
    </w:p>
    <w:p w:rsidR="00070FC5" w:rsidRPr="00CC73F3" w:rsidRDefault="00070FC5" w:rsidP="00D639F5">
      <w:pPr>
        <w:rPr>
          <w:rFonts w:eastAsia="Calibri"/>
          <w:szCs w:val="22"/>
        </w:rPr>
        <w:sectPr w:rsidR="00070FC5" w:rsidRPr="00CC73F3">
          <w:footerReference w:type="default" r:id="rId11"/>
          <w:pgSz w:w="12240" w:h="15840"/>
          <w:pgMar w:top="1440" w:right="1440" w:bottom="1440" w:left="1440" w:header="720" w:footer="720" w:gutter="0"/>
          <w:cols w:space="720"/>
          <w:docGrid w:linePitch="360"/>
        </w:sectPr>
      </w:pPr>
    </w:p>
    <w:p w:rsidR="00070FC5" w:rsidRPr="00CC73F3" w:rsidRDefault="00070FC5" w:rsidP="00D639F5">
      <w:pPr>
        <w:pStyle w:val="Caption"/>
      </w:pPr>
      <w:bookmarkStart w:id="33" w:name="_Toc420570929"/>
      <w:proofErr w:type="gramStart"/>
      <w:r w:rsidRPr="00CC73F3">
        <w:t xml:space="preserve">Table </w:t>
      </w:r>
      <w:fldSimple w:instr=" SEQ Table \* ARABIC ">
        <w:r w:rsidRPr="00CC73F3">
          <w:rPr>
            <w:noProof/>
          </w:rPr>
          <w:t>4</w:t>
        </w:r>
      </w:fldSimple>
      <w:r w:rsidRPr="00CC73F3">
        <w:t>.</w:t>
      </w:r>
      <w:proofErr w:type="gramEnd"/>
      <w:r w:rsidRPr="00CC73F3">
        <w:t xml:space="preserve"> Literature Review of Team Reflexivity in Innovation</w:t>
      </w:r>
      <w:bookmarkEnd w:id="33"/>
    </w:p>
    <w:p w:rsidR="00070FC5" w:rsidRPr="00CC73F3" w:rsidRDefault="00070FC5" w:rsidP="00D639F5"/>
    <w:tbl>
      <w:tblPr>
        <w:tblW w:w="14310" w:type="dxa"/>
        <w:tblInd w:w="-612" w:type="dxa"/>
        <w:tblLook w:val="04A0" w:firstRow="1" w:lastRow="0" w:firstColumn="1" w:lastColumn="0" w:noHBand="0" w:noVBand="1"/>
      </w:tblPr>
      <w:tblGrid>
        <w:gridCol w:w="4410"/>
        <w:gridCol w:w="7020"/>
        <w:gridCol w:w="2880"/>
      </w:tblGrid>
      <w:tr w:rsidR="00070FC5" w:rsidRPr="00CC73F3" w:rsidTr="00D639F5">
        <w:tc>
          <w:tcPr>
            <w:tcW w:w="4410" w:type="dxa"/>
            <w:tcBorders>
              <w:top w:val="single" w:sz="18" w:space="0" w:color="auto"/>
              <w:bottom w:val="single" w:sz="18" w:space="0" w:color="auto"/>
            </w:tcBorders>
            <w:shd w:val="clear" w:color="auto" w:fill="auto"/>
          </w:tcPr>
          <w:p w:rsidR="00070FC5" w:rsidRPr="00CC73F3" w:rsidRDefault="00070FC5" w:rsidP="00D639F5">
            <w:pPr>
              <w:rPr>
                <w:rFonts w:eastAsia="Calibri"/>
                <w:b/>
              </w:rPr>
            </w:pPr>
            <w:r w:rsidRPr="00CC73F3">
              <w:rPr>
                <w:rFonts w:eastAsia="Calibri"/>
                <w:b/>
              </w:rPr>
              <w:t>Author(s)</w:t>
            </w:r>
          </w:p>
        </w:tc>
        <w:tc>
          <w:tcPr>
            <w:tcW w:w="7020" w:type="dxa"/>
            <w:tcBorders>
              <w:top w:val="single" w:sz="18" w:space="0" w:color="auto"/>
              <w:bottom w:val="single" w:sz="18" w:space="0" w:color="auto"/>
            </w:tcBorders>
            <w:shd w:val="clear" w:color="auto" w:fill="auto"/>
          </w:tcPr>
          <w:p w:rsidR="00070FC5" w:rsidRPr="00CC73F3" w:rsidRDefault="00070FC5" w:rsidP="00D639F5">
            <w:pPr>
              <w:rPr>
                <w:rFonts w:eastAsia="Calibri"/>
                <w:b/>
              </w:rPr>
            </w:pPr>
            <w:r w:rsidRPr="00CC73F3">
              <w:rPr>
                <w:rFonts w:eastAsia="Calibri"/>
                <w:b/>
              </w:rPr>
              <w:t>Key Findings</w:t>
            </w:r>
          </w:p>
        </w:tc>
        <w:tc>
          <w:tcPr>
            <w:tcW w:w="2880" w:type="dxa"/>
            <w:tcBorders>
              <w:top w:val="single" w:sz="18" w:space="0" w:color="auto"/>
              <w:bottom w:val="single" w:sz="18" w:space="0" w:color="auto"/>
            </w:tcBorders>
            <w:shd w:val="clear" w:color="auto" w:fill="auto"/>
          </w:tcPr>
          <w:p w:rsidR="00070FC5" w:rsidRPr="00CC73F3" w:rsidRDefault="00070FC5" w:rsidP="00D639F5">
            <w:pPr>
              <w:rPr>
                <w:rFonts w:eastAsia="Calibri"/>
                <w:b/>
              </w:rPr>
            </w:pPr>
            <w:r w:rsidRPr="00CC73F3">
              <w:rPr>
                <w:rFonts w:eastAsia="Calibri"/>
                <w:b/>
              </w:rPr>
              <w:t>Method and Sample</w:t>
            </w:r>
          </w:p>
        </w:tc>
      </w:tr>
      <w:tr w:rsidR="00070FC5" w:rsidRPr="00CC73F3" w:rsidTr="00D639F5">
        <w:tc>
          <w:tcPr>
            <w:tcW w:w="4410"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DeDreu (2002)</w:t>
            </w:r>
          </w:p>
        </w:tc>
        <w:tc>
          <w:tcPr>
            <w:tcW w:w="7020" w:type="dxa"/>
            <w:tcBorders>
              <w:top w:val="single" w:sz="18" w:space="0" w:color="auto"/>
            </w:tcBorders>
            <w:shd w:val="clear" w:color="auto" w:fill="auto"/>
          </w:tcPr>
          <w:p w:rsidR="00070FC5" w:rsidRPr="00CC73F3" w:rsidRDefault="00070FC5" w:rsidP="00D639F5">
            <w:pPr>
              <w:numPr>
                <w:ilvl w:val="0"/>
                <w:numId w:val="14"/>
              </w:numPr>
              <w:ind w:left="252" w:hanging="252"/>
              <w:contextualSpacing/>
              <w:rPr>
                <w:rFonts w:eastAsia="Calibri"/>
              </w:rPr>
            </w:pPr>
            <w:r w:rsidRPr="00CC73F3">
              <w:rPr>
                <w:rFonts w:eastAsia="Calibri"/>
              </w:rPr>
              <w:t xml:space="preserve">Minority dissent was positively associated with team innovation and team decision effectiveness when reflexivity was high, but not when reflexivity was low. </w:t>
            </w:r>
          </w:p>
          <w:p w:rsidR="00070FC5" w:rsidRPr="00CC73F3" w:rsidRDefault="00070FC5" w:rsidP="00D639F5">
            <w:pPr>
              <w:numPr>
                <w:ilvl w:val="0"/>
                <w:numId w:val="14"/>
              </w:numPr>
              <w:ind w:left="252" w:hanging="252"/>
              <w:contextualSpacing/>
              <w:rPr>
                <w:rFonts w:eastAsia="Calibri"/>
              </w:rPr>
            </w:pPr>
            <w:r w:rsidRPr="00CC73F3">
              <w:rPr>
                <w:rFonts w:eastAsia="Calibri"/>
              </w:rPr>
              <w:t>Reflexive teams are more likely to listen to and thoroughly process differing opinions and disconfirming information.</w:t>
            </w:r>
          </w:p>
          <w:p w:rsidR="00070FC5" w:rsidRPr="00CC73F3" w:rsidRDefault="00070FC5" w:rsidP="00D639F5">
            <w:pPr>
              <w:rPr>
                <w:rFonts w:eastAsia="Calibri"/>
              </w:rPr>
            </w:pPr>
          </w:p>
        </w:tc>
        <w:tc>
          <w:tcPr>
            <w:tcW w:w="2880"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Cross-sectional survey of Dutch work teams and their supervisors</w:t>
            </w:r>
          </w:p>
          <w:p w:rsidR="00070FC5" w:rsidRPr="00CC73F3" w:rsidRDefault="00070FC5" w:rsidP="00D639F5">
            <w:pPr>
              <w:rPr>
                <w:rFonts w:eastAsia="Calibri"/>
              </w:rPr>
            </w:pPr>
          </w:p>
        </w:tc>
      </w:tr>
      <w:tr w:rsidR="00070FC5" w:rsidRPr="00CC73F3" w:rsidTr="00D639F5">
        <w:tc>
          <w:tcPr>
            <w:tcW w:w="4410" w:type="dxa"/>
            <w:shd w:val="clear" w:color="auto" w:fill="auto"/>
          </w:tcPr>
          <w:p w:rsidR="00070FC5" w:rsidRPr="00CC73F3" w:rsidRDefault="00070FC5" w:rsidP="00D639F5">
            <w:pPr>
              <w:rPr>
                <w:rFonts w:eastAsia="Calibri"/>
              </w:rPr>
            </w:pPr>
            <w:r w:rsidRPr="00CC73F3">
              <w:rPr>
                <w:rFonts w:eastAsia="Calibri"/>
              </w:rPr>
              <w:t>Hoegl and Parboteeah (2006)</w:t>
            </w:r>
          </w:p>
        </w:tc>
        <w:tc>
          <w:tcPr>
            <w:tcW w:w="7020" w:type="dxa"/>
            <w:shd w:val="clear" w:color="auto" w:fill="auto"/>
          </w:tcPr>
          <w:p w:rsidR="00070FC5" w:rsidRPr="00CC73F3" w:rsidRDefault="00070FC5" w:rsidP="00D639F5">
            <w:pPr>
              <w:numPr>
                <w:ilvl w:val="0"/>
                <w:numId w:val="16"/>
              </w:numPr>
              <w:ind w:left="252" w:hanging="252"/>
              <w:contextualSpacing/>
              <w:rPr>
                <w:rFonts w:eastAsia="Calibri"/>
              </w:rPr>
            </w:pPr>
            <w:r w:rsidRPr="00CC73F3">
              <w:rPr>
                <w:rFonts w:eastAsia="Calibri"/>
              </w:rPr>
              <w:t>Innovation team reflexivity is positively related to innovation effectiveness, but not innovation efficiency</w:t>
            </w:r>
          </w:p>
          <w:p w:rsidR="00070FC5" w:rsidRPr="00CC73F3" w:rsidRDefault="00070FC5" w:rsidP="00D639F5">
            <w:pPr>
              <w:rPr>
                <w:rFonts w:eastAsia="Calibri"/>
              </w:rPr>
            </w:pPr>
          </w:p>
        </w:tc>
        <w:tc>
          <w:tcPr>
            <w:tcW w:w="2880" w:type="dxa"/>
            <w:shd w:val="clear" w:color="auto" w:fill="auto"/>
          </w:tcPr>
          <w:p w:rsidR="00070FC5" w:rsidRPr="00CC73F3" w:rsidRDefault="00070FC5" w:rsidP="00D639F5">
            <w:pPr>
              <w:rPr>
                <w:rFonts w:eastAsia="Calibri"/>
              </w:rPr>
            </w:pPr>
            <w:r w:rsidRPr="00CC73F3">
              <w:rPr>
                <w:rFonts w:eastAsia="Calibri"/>
              </w:rPr>
              <w:t>Survey of software development teams</w:t>
            </w:r>
          </w:p>
          <w:p w:rsidR="00070FC5" w:rsidRPr="00CC73F3" w:rsidRDefault="00070FC5" w:rsidP="00D639F5">
            <w:pPr>
              <w:rPr>
                <w:rFonts w:eastAsia="Calibri"/>
              </w:rPr>
            </w:pPr>
          </w:p>
        </w:tc>
      </w:tr>
      <w:tr w:rsidR="00070FC5" w:rsidRPr="00CC73F3" w:rsidTr="00D639F5">
        <w:tc>
          <w:tcPr>
            <w:tcW w:w="4410" w:type="dxa"/>
            <w:shd w:val="clear" w:color="auto" w:fill="auto"/>
          </w:tcPr>
          <w:p w:rsidR="00070FC5" w:rsidRPr="00CC73F3" w:rsidRDefault="00070FC5" w:rsidP="00D639F5">
            <w:pPr>
              <w:rPr>
                <w:rFonts w:eastAsia="Calibri"/>
              </w:rPr>
            </w:pPr>
            <w:r w:rsidRPr="00CC73F3">
              <w:rPr>
                <w:rFonts w:eastAsia="Calibri"/>
              </w:rPr>
              <w:t>Müller, Herbig, and Petrovic (2009)</w:t>
            </w:r>
          </w:p>
        </w:tc>
        <w:tc>
          <w:tcPr>
            <w:tcW w:w="7020" w:type="dxa"/>
            <w:shd w:val="clear" w:color="auto" w:fill="auto"/>
          </w:tcPr>
          <w:p w:rsidR="00070FC5" w:rsidRPr="00CC73F3" w:rsidRDefault="00070FC5" w:rsidP="00D639F5">
            <w:pPr>
              <w:numPr>
                <w:ilvl w:val="0"/>
                <w:numId w:val="17"/>
              </w:numPr>
              <w:ind w:left="252" w:hanging="252"/>
              <w:contextualSpacing/>
              <w:rPr>
                <w:rFonts w:eastAsia="Calibri"/>
              </w:rPr>
            </w:pPr>
            <w:r w:rsidRPr="00CC73F3">
              <w:rPr>
                <w:rFonts w:eastAsia="Calibri"/>
              </w:rPr>
              <w:t>Highly reflexive innovation teams developed ideas with higher overall quality, but not higher originality and creativity.</w:t>
            </w:r>
          </w:p>
          <w:p w:rsidR="00070FC5" w:rsidRPr="00CC73F3" w:rsidRDefault="00070FC5" w:rsidP="00D639F5">
            <w:pPr>
              <w:rPr>
                <w:rFonts w:eastAsia="Calibri"/>
              </w:rPr>
            </w:pPr>
          </w:p>
        </w:tc>
        <w:tc>
          <w:tcPr>
            <w:tcW w:w="2880" w:type="dxa"/>
            <w:shd w:val="clear" w:color="auto" w:fill="auto"/>
          </w:tcPr>
          <w:p w:rsidR="00070FC5" w:rsidRPr="00CC73F3" w:rsidRDefault="00070FC5" w:rsidP="00D639F5">
            <w:pPr>
              <w:rPr>
                <w:rFonts w:eastAsia="Calibri"/>
              </w:rPr>
            </w:pPr>
            <w:r w:rsidRPr="00CC73F3">
              <w:rPr>
                <w:rFonts w:eastAsia="Calibri"/>
              </w:rPr>
              <w:t>Experimental design with engineering student teams</w:t>
            </w:r>
          </w:p>
          <w:p w:rsidR="00070FC5" w:rsidRPr="00CC73F3" w:rsidRDefault="00070FC5" w:rsidP="00D639F5">
            <w:pPr>
              <w:rPr>
                <w:rFonts w:eastAsia="Calibri"/>
              </w:rPr>
            </w:pPr>
          </w:p>
        </w:tc>
      </w:tr>
      <w:tr w:rsidR="00070FC5" w:rsidRPr="00CC73F3" w:rsidTr="00D639F5">
        <w:tc>
          <w:tcPr>
            <w:tcW w:w="4410" w:type="dxa"/>
            <w:shd w:val="clear" w:color="auto" w:fill="auto"/>
          </w:tcPr>
          <w:p w:rsidR="00070FC5" w:rsidRPr="00CC73F3" w:rsidRDefault="00070FC5" w:rsidP="00D639F5">
            <w:pPr>
              <w:rPr>
                <w:rFonts w:eastAsia="Calibri"/>
              </w:rPr>
            </w:pPr>
            <w:r w:rsidRPr="00CC73F3">
              <w:rPr>
                <w:rFonts w:eastAsia="Calibri"/>
              </w:rPr>
              <w:t>MacCurtain et al. (2010)</w:t>
            </w:r>
          </w:p>
        </w:tc>
        <w:tc>
          <w:tcPr>
            <w:tcW w:w="7020" w:type="dxa"/>
            <w:shd w:val="clear" w:color="auto" w:fill="auto"/>
          </w:tcPr>
          <w:p w:rsidR="00070FC5" w:rsidRPr="00CC73F3" w:rsidRDefault="00070FC5" w:rsidP="00D639F5">
            <w:pPr>
              <w:numPr>
                <w:ilvl w:val="0"/>
                <w:numId w:val="13"/>
              </w:numPr>
              <w:ind w:left="252" w:hanging="270"/>
              <w:contextualSpacing/>
              <w:rPr>
                <w:rFonts w:eastAsia="Calibri"/>
              </w:rPr>
            </w:pPr>
            <w:r w:rsidRPr="00CC73F3">
              <w:rPr>
                <w:rFonts w:eastAsia="Calibri"/>
              </w:rPr>
              <w:t>Task reflexivity has a direct and positive relationship with new product market performance.</w:t>
            </w:r>
          </w:p>
        </w:tc>
        <w:tc>
          <w:tcPr>
            <w:tcW w:w="2880" w:type="dxa"/>
            <w:shd w:val="clear" w:color="auto" w:fill="auto"/>
          </w:tcPr>
          <w:p w:rsidR="00070FC5" w:rsidRPr="00CC73F3" w:rsidRDefault="00070FC5" w:rsidP="00D639F5">
            <w:pPr>
              <w:rPr>
                <w:rFonts w:eastAsia="Calibri"/>
              </w:rPr>
            </w:pPr>
            <w:r w:rsidRPr="00CC73F3">
              <w:rPr>
                <w:rFonts w:eastAsia="Calibri"/>
              </w:rPr>
              <w:t>Survey of top executives from software firms and interviews with firm CEOs</w:t>
            </w:r>
          </w:p>
          <w:p w:rsidR="00070FC5" w:rsidRPr="00CC73F3" w:rsidRDefault="00070FC5" w:rsidP="00D639F5">
            <w:pPr>
              <w:rPr>
                <w:rFonts w:eastAsia="Calibri"/>
              </w:rPr>
            </w:pPr>
          </w:p>
        </w:tc>
      </w:tr>
      <w:tr w:rsidR="00070FC5" w:rsidRPr="00CC73F3" w:rsidTr="00D639F5">
        <w:tc>
          <w:tcPr>
            <w:tcW w:w="4410" w:type="dxa"/>
            <w:shd w:val="clear" w:color="auto" w:fill="auto"/>
          </w:tcPr>
          <w:p w:rsidR="00070FC5" w:rsidRPr="00CC73F3" w:rsidRDefault="00070FC5" w:rsidP="00D639F5">
            <w:pPr>
              <w:rPr>
                <w:rFonts w:eastAsia="Calibri"/>
              </w:rPr>
            </w:pPr>
            <w:r w:rsidRPr="00CC73F3">
              <w:rPr>
                <w:rFonts w:eastAsia="Calibri"/>
              </w:rPr>
              <w:t>Schippers, West, and Dawson (2010)</w:t>
            </w:r>
          </w:p>
        </w:tc>
        <w:tc>
          <w:tcPr>
            <w:tcW w:w="7020" w:type="dxa"/>
            <w:shd w:val="clear" w:color="auto" w:fill="auto"/>
          </w:tcPr>
          <w:p w:rsidR="00070FC5" w:rsidRPr="00CC73F3" w:rsidRDefault="00070FC5" w:rsidP="00D639F5">
            <w:pPr>
              <w:numPr>
                <w:ilvl w:val="0"/>
                <w:numId w:val="18"/>
              </w:numPr>
              <w:ind w:left="252" w:hanging="270"/>
              <w:contextualSpacing/>
              <w:rPr>
                <w:rFonts w:eastAsia="Calibri"/>
              </w:rPr>
            </w:pPr>
            <w:r w:rsidRPr="00CC73F3">
              <w:rPr>
                <w:rFonts w:eastAsia="Calibri"/>
              </w:rPr>
              <w:t>Team reflexivity is positively related to team innovation performance.</w:t>
            </w:r>
          </w:p>
          <w:p w:rsidR="00070FC5" w:rsidRPr="00CC73F3" w:rsidRDefault="00070FC5" w:rsidP="00D639F5">
            <w:pPr>
              <w:numPr>
                <w:ilvl w:val="0"/>
                <w:numId w:val="18"/>
              </w:numPr>
              <w:ind w:left="252" w:hanging="270"/>
              <w:contextualSpacing/>
              <w:rPr>
                <w:rFonts w:eastAsia="Calibri"/>
              </w:rPr>
            </w:pPr>
            <w:r w:rsidRPr="00CC73F3">
              <w:rPr>
                <w:rFonts w:eastAsia="Calibri"/>
              </w:rPr>
              <w:t>The relationship between team reflexivity and innovation performance is higher when team workload is high rather than low, when the project is complex.</w:t>
            </w:r>
          </w:p>
          <w:p w:rsidR="00070FC5" w:rsidRPr="00CC73F3" w:rsidRDefault="00070FC5" w:rsidP="00D639F5">
            <w:pPr>
              <w:contextualSpacing/>
              <w:rPr>
                <w:rFonts w:eastAsia="Calibri"/>
              </w:rPr>
            </w:pPr>
          </w:p>
        </w:tc>
        <w:tc>
          <w:tcPr>
            <w:tcW w:w="2880" w:type="dxa"/>
            <w:shd w:val="clear" w:color="auto" w:fill="auto"/>
          </w:tcPr>
          <w:p w:rsidR="00070FC5" w:rsidRPr="00CC73F3" w:rsidRDefault="00070FC5" w:rsidP="00D639F5">
            <w:pPr>
              <w:rPr>
                <w:rFonts w:eastAsia="Calibri"/>
              </w:rPr>
            </w:pPr>
            <w:r w:rsidRPr="00CC73F3">
              <w:rPr>
                <w:rFonts w:eastAsia="Calibri"/>
              </w:rPr>
              <w:t>Survey of community healthcare teams</w:t>
            </w:r>
          </w:p>
          <w:p w:rsidR="00070FC5" w:rsidRPr="00CC73F3" w:rsidRDefault="00070FC5" w:rsidP="00D639F5">
            <w:pPr>
              <w:rPr>
                <w:rFonts w:eastAsia="Calibri"/>
              </w:rPr>
            </w:pPr>
          </w:p>
        </w:tc>
      </w:tr>
      <w:tr w:rsidR="00070FC5" w:rsidRPr="00CC73F3" w:rsidTr="00D639F5">
        <w:tc>
          <w:tcPr>
            <w:tcW w:w="4410" w:type="dxa"/>
            <w:tcBorders>
              <w:bottom w:val="single" w:sz="18" w:space="0" w:color="auto"/>
            </w:tcBorders>
            <w:shd w:val="clear" w:color="auto" w:fill="auto"/>
          </w:tcPr>
          <w:p w:rsidR="00070FC5" w:rsidRPr="00CC73F3" w:rsidRDefault="00070FC5" w:rsidP="00D639F5">
            <w:pPr>
              <w:rPr>
                <w:rFonts w:eastAsia="Calibri"/>
              </w:rPr>
            </w:pPr>
            <w:r w:rsidRPr="00CC73F3">
              <w:rPr>
                <w:rFonts w:eastAsia="Calibri"/>
              </w:rPr>
              <w:t>Hammedi, van Riel, and Sasovova (2011)</w:t>
            </w:r>
          </w:p>
        </w:tc>
        <w:tc>
          <w:tcPr>
            <w:tcW w:w="7020" w:type="dxa"/>
            <w:tcBorders>
              <w:bottom w:val="single" w:sz="18" w:space="0" w:color="auto"/>
            </w:tcBorders>
            <w:shd w:val="clear" w:color="auto" w:fill="auto"/>
          </w:tcPr>
          <w:p w:rsidR="00070FC5" w:rsidRPr="00CC73F3" w:rsidRDefault="00070FC5" w:rsidP="00D639F5">
            <w:pPr>
              <w:numPr>
                <w:ilvl w:val="0"/>
                <w:numId w:val="15"/>
              </w:numPr>
              <w:ind w:left="252" w:hanging="252"/>
              <w:contextualSpacing/>
              <w:rPr>
                <w:rFonts w:eastAsia="Calibri"/>
              </w:rPr>
            </w:pPr>
            <w:r w:rsidRPr="00CC73F3">
              <w:rPr>
                <w:rFonts w:eastAsia="Calibri"/>
              </w:rPr>
              <w:t>Teams tasked with screening internally-generated ideas can improve decision quality by adopting reflexive practices.</w:t>
            </w:r>
          </w:p>
          <w:p w:rsidR="00070FC5" w:rsidRPr="00CC73F3" w:rsidRDefault="00070FC5" w:rsidP="00D639F5">
            <w:pPr>
              <w:numPr>
                <w:ilvl w:val="0"/>
                <w:numId w:val="15"/>
              </w:numPr>
              <w:ind w:left="252" w:hanging="252"/>
              <w:contextualSpacing/>
              <w:rPr>
                <w:rFonts w:eastAsia="Calibri"/>
              </w:rPr>
            </w:pPr>
            <w:r w:rsidRPr="00CC73F3">
              <w:rPr>
                <w:rFonts w:eastAsia="Calibri"/>
              </w:rPr>
              <w:t>Reflexivity is positively related to decision-making efficiency and effectiveness in innovation teams</w:t>
            </w:r>
          </w:p>
          <w:p w:rsidR="00070FC5" w:rsidRPr="00CC73F3" w:rsidRDefault="00070FC5" w:rsidP="00D639F5">
            <w:pPr>
              <w:contextualSpacing/>
              <w:rPr>
                <w:rFonts w:eastAsia="Calibri"/>
              </w:rPr>
            </w:pPr>
          </w:p>
        </w:tc>
        <w:tc>
          <w:tcPr>
            <w:tcW w:w="2880" w:type="dxa"/>
            <w:tcBorders>
              <w:bottom w:val="single" w:sz="18" w:space="0" w:color="auto"/>
            </w:tcBorders>
            <w:shd w:val="clear" w:color="auto" w:fill="auto"/>
          </w:tcPr>
          <w:p w:rsidR="00070FC5" w:rsidRPr="00CC73F3" w:rsidRDefault="00070FC5" w:rsidP="00D639F5">
            <w:pPr>
              <w:rPr>
                <w:rFonts w:eastAsia="Calibri"/>
              </w:rPr>
            </w:pPr>
            <w:r w:rsidRPr="00CC73F3">
              <w:rPr>
                <w:rFonts w:eastAsia="Calibri"/>
              </w:rPr>
              <w:t>Survey of executives in the tech service sector</w:t>
            </w:r>
          </w:p>
          <w:p w:rsidR="00070FC5" w:rsidRPr="00CC73F3" w:rsidRDefault="00070FC5" w:rsidP="00D639F5">
            <w:pPr>
              <w:rPr>
                <w:rFonts w:eastAsia="Calibri"/>
              </w:rPr>
            </w:pPr>
          </w:p>
        </w:tc>
      </w:tr>
    </w:tbl>
    <w:p w:rsidR="00070FC5" w:rsidRPr="00CC73F3" w:rsidRDefault="00070FC5" w:rsidP="00D639F5">
      <w:pPr>
        <w:rPr>
          <w:rFonts w:eastAsia="Calibri"/>
          <w:b/>
          <w:szCs w:val="22"/>
          <w:u w:val="single"/>
        </w:rPr>
        <w:sectPr w:rsidR="00070FC5" w:rsidRPr="00CC73F3" w:rsidSect="00D639F5">
          <w:pgSz w:w="15840" w:h="12240" w:orient="landscape"/>
          <w:pgMar w:top="1440" w:right="1440" w:bottom="1440" w:left="1440" w:header="720" w:footer="720" w:gutter="0"/>
          <w:cols w:space="720"/>
          <w:docGrid w:linePitch="360"/>
        </w:sectPr>
      </w:pPr>
    </w:p>
    <w:p w:rsidR="00070FC5" w:rsidRPr="00CC73F3" w:rsidRDefault="00070FC5" w:rsidP="00D639F5">
      <w:pPr>
        <w:spacing w:line="480" w:lineRule="auto"/>
        <w:rPr>
          <w:rFonts w:eastAsia="Calibri"/>
          <w:szCs w:val="22"/>
        </w:rPr>
      </w:pPr>
      <w:r w:rsidRPr="00CC73F3">
        <w:rPr>
          <w:rFonts w:eastAsia="Calibri"/>
          <w:szCs w:val="22"/>
        </w:rPr>
        <w:t>reflexivity may result in an external orientation for innovation teams as they seek to collect all the relevant knowledge about customer need and the competitive landscaping leaving less time and resources that can be dedicated to internally-oriented concerns, such as time and budget constraints. Finally, they argue that reflexivity may hinder teams in later phases of new product development. In these stages, teams often take on even greater data processing demands, as they refine new product concepts, add previously unplanned functionality to new products, and rework product design specifications to more closely match customer needs.</w:t>
      </w:r>
    </w:p>
    <w:p w:rsidR="00070FC5" w:rsidRPr="00CC73F3" w:rsidRDefault="00070FC5" w:rsidP="00D639F5">
      <w:pPr>
        <w:spacing w:line="480" w:lineRule="auto"/>
        <w:rPr>
          <w:rFonts w:eastAsia="Calibri"/>
          <w:szCs w:val="22"/>
        </w:rPr>
      </w:pPr>
      <w:r w:rsidRPr="00CC73F3">
        <w:rPr>
          <w:rFonts w:eastAsia="Calibri"/>
          <w:b/>
          <w:szCs w:val="22"/>
        </w:rPr>
        <w:tab/>
      </w:r>
      <w:r w:rsidRPr="00CC73F3">
        <w:rPr>
          <w:rFonts w:eastAsia="Calibri"/>
          <w:szCs w:val="22"/>
        </w:rPr>
        <w:t xml:space="preserve">Müller, Herbig, and Petrovic (2009) conducted an experiment with mechanical engineering students. Participants were placed in teams and asked to develop an innovative solution for a design task, and their ideas were judged by independent experts. They found that teams that discussed the development of process and task-related goals outperformed teams that spent time simply reviewing the individual knowledge base of each team member. They also found distinguished between two sources of knowledge that are in important in reflexive practices – knowledge </w:t>
      </w:r>
      <w:r w:rsidRPr="00CC73F3">
        <w:rPr>
          <w:rFonts w:eastAsia="Calibri"/>
          <w:i/>
          <w:szCs w:val="22"/>
        </w:rPr>
        <w:t>in</w:t>
      </w:r>
      <w:r w:rsidRPr="00CC73F3">
        <w:rPr>
          <w:rFonts w:eastAsia="Calibri"/>
          <w:szCs w:val="22"/>
        </w:rPr>
        <w:t xml:space="preserve"> teams and knowledge </w:t>
      </w:r>
      <w:r w:rsidRPr="00CC73F3">
        <w:rPr>
          <w:rFonts w:eastAsia="Calibri"/>
          <w:i/>
          <w:szCs w:val="22"/>
        </w:rPr>
        <w:t>of</w:t>
      </w:r>
      <w:r w:rsidRPr="00CC73F3">
        <w:rPr>
          <w:rFonts w:eastAsia="Calibri"/>
          <w:szCs w:val="22"/>
        </w:rPr>
        <w:t xml:space="preserve"> teams. Knowledge </w:t>
      </w:r>
      <w:r w:rsidRPr="00CC73F3">
        <w:rPr>
          <w:rFonts w:eastAsia="Calibri"/>
          <w:i/>
          <w:szCs w:val="22"/>
        </w:rPr>
        <w:t>in</w:t>
      </w:r>
      <w:r w:rsidRPr="00CC73F3">
        <w:rPr>
          <w:rFonts w:eastAsia="Calibri"/>
          <w:szCs w:val="22"/>
        </w:rPr>
        <w:t xml:space="preserve"> work teams refers to the explicit knowledge each team member possesses (e.g., customers, competitors, technological capabilities, etc.) that can contribute to team decision-making. Knowledge </w:t>
      </w:r>
      <w:r w:rsidRPr="00CC73F3">
        <w:rPr>
          <w:rFonts w:eastAsia="Calibri"/>
          <w:i/>
          <w:szCs w:val="22"/>
        </w:rPr>
        <w:t>of</w:t>
      </w:r>
      <w:r w:rsidRPr="00CC73F3">
        <w:rPr>
          <w:rFonts w:eastAsia="Calibri"/>
          <w:szCs w:val="22"/>
        </w:rPr>
        <w:t xml:space="preserve"> teams refers to the cognitive processes and styles teams use to evaluate data and make decisions.</w:t>
      </w:r>
    </w:p>
    <w:p w:rsidR="00070FC5" w:rsidRPr="00CC73F3" w:rsidRDefault="00070FC5" w:rsidP="00D639F5">
      <w:pPr>
        <w:spacing w:line="480" w:lineRule="auto"/>
        <w:rPr>
          <w:rFonts w:eastAsia="Calibri"/>
          <w:szCs w:val="22"/>
        </w:rPr>
      </w:pPr>
      <w:r w:rsidRPr="00CC73F3">
        <w:rPr>
          <w:rFonts w:eastAsia="Calibri"/>
          <w:b/>
          <w:szCs w:val="22"/>
        </w:rPr>
        <w:tab/>
      </w:r>
      <w:r w:rsidRPr="00CC73F3">
        <w:rPr>
          <w:rFonts w:eastAsia="Calibri"/>
          <w:noProof/>
          <w:szCs w:val="22"/>
        </w:rPr>
        <w:t>Maccurtain, Flood, Ramamoorty, West, and Dawson (2009)</w:t>
      </w:r>
      <w:r w:rsidRPr="00CC73F3">
        <w:rPr>
          <w:rFonts w:eastAsia="Calibri"/>
          <w:b/>
          <w:szCs w:val="22"/>
        </w:rPr>
        <w:t xml:space="preserve"> </w:t>
      </w:r>
      <w:r w:rsidRPr="00CC73F3">
        <w:rPr>
          <w:rFonts w:eastAsia="Calibri"/>
          <w:szCs w:val="22"/>
        </w:rPr>
        <w:t xml:space="preserve">explored the relationship between top management teams’ knowledge sharing and reflexivity and performance-based innovation outcomes in the Irish software development industry. Their primary findings were that reflexivity and knowledge sharing resulted in higher levels of innovation performance. Additionally, trustworthiness was found to be an important antecedent to reflexivity and knowledge sharing. Developing an atmosphere if trust is important to reflexive practices because it creates an environment in which team members can honest and frank in discussions about product development projects. Given other literature in marketing and innovation which describes the political nature of innovation and strategy decisions in firms (e.g., Frost &amp; Egri, 1991; Sethi, Iqbal, &amp; Sethi, 2012), reflexivity may be particularly effective at counteracting organizational politics in NPD. MacCurtain et al. (2009) argue this is particularly true in uncertain and complex environments where people are likely to take advantage of performance causal ambiguities to promote political agendas. </w:t>
      </w:r>
    </w:p>
    <w:p w:rsidR="00070FC5" w:rsidRPr="00CC73F3" w:rsidRDefault="00070FC5" w:rsidP="00D639F5">
      <w:pPr>
        <w:spacing w:line="480" w:lineRule="auto"/>
        <w:rPr>
          <w:rFonts w:eastAsia="Calibri"/>
          <w:szCs w:val="22"/>
        </w:rPr>
      </w:pPr>
      <w:r w:rsidRPr="00CC73F3">
        <w:rPr>
          <w:rFonts w:eastAsia="Calibri"/>
          <w:szCs w:val="22"/>
        </w:rPr>
        <w:tab/>
        <w:t>In addition to establishing antecedents of team reflexivity, their study is an important addition to the body of literature in because they establish support for a positive relationship between team reflexivity and actual market performance (new product revenues as a percentage of total revenue). Other studies in this area have either used qualitative measures (e.g., novelty, quality, etc.), controlled lab experiments, or have used perceptual measures of innovation success. The existence of a positive correlating between reflexivity and market performance suggests reflexivity may be an important driver of new product success.</w:t>
      </w:r>
    </w:p>
    <w:p w:rsidR="00070FC5" w:rsidRPr="00CC73F3" w:rsidRDefault="00070FC5" w:rsidP="00D639F5">
      <w:pPr>
        <w:spacing w:line="480" w:lineRule="auto"/>
        <w:rPr>
          <w:rFonts w:eastAsia="Calibri"/>
          <w:szCs w:val="22"/>
        </w:rPr>
      </w:pPr>
      <w:r w:rsidRPr="00CC73F3">
        <w:rPr>
          <w:rFonts w:eastAsia="Calibri"/>
          <w:szCs w:val="22"/>
        </w:rPr>
        <w:tab/>
        <w:t xml:space="preserve">Schippers et al. (2010) conducted a survey of 1,156 individuals in 98 primary healthcare teams working in community health. They asked respondents to list the major innovations their team had introduced into their practices in the past year, and then had an independent panel of experts rate each project on magnitude, radicalness, novelty, and impact to determine the mean level of innovativeness for each team. They found a significant direct effect between reflexivity and innovation. They also found that the influence of reflexivity on innovation is most positive when workloads are </w:t>
      </w:r>
      <w:proofErr w:type="gramStart"/>
      <w:r w:rsidRPr="00CC73F3">
        <w:rPr>
          <w:rFonts w:eastAsia="Calibri"/>
          <w:szCs w:val="22"/>
        </w:rPr>
        <w:t>high,</w:t>
      </w:r>
      <w:proofErr w:type="gramEnd"/>
      <w:r w:rsidRPr="00CC73F3">
        <w:rPr>
          <w:rFonts w:eastAsia="Calibri"/>
          <w:szCs w:val="22"/>
        </w:rPr>
        <w:t xml:space="preserve"> the work is complex in nature, or when environmental conditions are not stable. Given the nature of decision heuristics discussed previously, this finding is not surprising. In low-complexity or stable conditions, one would expect organizational routines and scripts to be favored for efficiency’s sake. When workloads are high, unstable, or complex, it would be expected that “tried and true” decision heuristics would be less reliable in driving performance.</w:t>
      </w:r>
    </w:p>
    <w:p w:rsidR="00070FC5" w:rsidRPr="00CC73F3" w:rsidRDefault="00070FC5" w:rsidP="00D639F5">
      <w:pPr>
        <w:spacing w:line="480" w:lineRule="auto"/>
        <w:rPr>
          <w:rFonts w:eastAsia="Calibri"/>
          <w:szCs w:val="22"/>
        </w:rPr>
      </w:pPr>
      <w:r w:rsidRPr="00CC73F3">
        <w:rPr>
          <w:rFonts w:eastAsia="Calibri"/>
          <w:szCs w:val="22"/>
        </w:rPr>
        <w:tab/>
        <w:t xml:space="preserve">Hammedi et al. (2011) conducted a survey of international managers to investigate the influence of team reflexivity on new product selection decisions, along with manager leadership style and cognitive style.  They found positive and significant relationships between team reflexivity and new product decision-making effectiveness (i.e., resource allocation and decision accuracy), as well as new product decision-making efficiency (i.e., speed of decision-making and knowledge utilization). They conclude that “stop-and-think” behaviors rather than following more automatic development routines improved the overall quality of team decision-making in innovation projects. </w:t>
      </w:r>
    </w:p>
    <w:p w:rsidR="00070FC5" w:rsidRPr="00CC73F3" w:rsidRDefault="00070FC5" w:rsidP="00D639F5">
      <w:pPr>
        <w:spacing w:line="480" w:lineRule="auto"/>
        <w:rPr>
          <w:rFonts w:eastAsia="Calibri"/>
          <w:szCs w:val="22"/>
        </w:rPr>
      </w:pPr>
      <w:r w:rsidRPr="00CC73F3">
        <w:rPr>
          <w:rFonts w:eastAsia="Calibri"/>
          <w:szCs w:val="22"/>
        </w:rPr>
        <w:tab/>
        <w:t>Based on this literature, several general observations can be made about reflexivity in innovation. First, reflexivity seems to be associated with a pragmatic decision-making style evidenced by the finding that highly reflexive teams’ ideas were high on quality, but not necessarily originality or novelty (Müller et al., 2009). Second, there is strong support for innovation effectiveness, but the findings are mixed with regards to how a teams’ reflexivity influences the efficiency with which innovations were developed. In other words, reflexivity seems to have less influence on reducing costs and efficient manufacturing than it does on developing products that meet unmet market needs. Finally, with the exception of one study (MacCurtain et al., 2010) there is paucity of empirical research that ties reflexivity directly to new product performance. Further, the MacCurtain et al. (2010) study looked at top management teams as the unit of analysis; thus the effects were likely based on high level strategic factors rather than the tactical decisions new product development teams face on a day-to-day basis.</w:t>
      </w:r>
    </w:p>
    <w:p w:rsidR="00070FC5" w:rsidRPr="00CC73F3" w:rsidRDefault="00070FC5" w:rsidP="00D639F5">
      <w:pPr>
        <w:spacing w:line="480" w:lineRule="auto"/>
        <w:rPr>
          <w:rFonts w:eastAsia="Calibri"/>
          <w:szCs w:val="22"/>
        </w:rPr>
      </w:pPr>
      <w:r w:rsidRPr="00CC73F3">
        <w:rPr>
          <w:rFonts w:eastAsia="Calibri"/>
          <w:szCs w:val="22"/>
        </w:rPr>
        <w:tab/>
        <w:t xml:space="preserve">In the context of cocreation, reflexivity may be particularly important. The argument in the literature is that complex, non-routine situations benefit the most from reflexive team practices. This is manifest in cocreation in two ways: the nature of customer ideas, and idea volume. Customer ideas may add complexity inasmuch as they may be difficult to evaluate, relative to in-house ideas since customers are primarily focused on satisfying unmet needs rather than profit potential or economies of scale and scope (Poetz &amp; Schreier, 2012). Particularly in firms that have had innovation successes, cognitive inertia and core rigidities related to NPD may make accurate evaluation challenging (Leonard-Barton, 1992), as decision </w:t>
      </w:r>
      <w:proofErr w:type="gramStart"/>
      <w:r w:rsidRPr="00CC73F3">
        <w:rPr>
          <w:rFonts w:eastAsia="Calibri"/>
          <w:szCs w:val="22"/>
        </w:rPr>
        <w:t>makers</w:t>
      </w:r>
      <w:proofErr w:type="gramEnd"/>
      <w:r w:rsidRPr="00CC73F3">
        <w:rPr>
          <w:rFonts w:eastAsia="Calibri"/>
          <w:szCs w:val="22"/>
        </w:rPr>
        <w:t xml:space="preserve"> likely carry a decision bias favoring what has worked in the past. Additionally, underdeveloped ideas from customers may require extensive discussion and/or modification in order to determine their true market potential (Bayus, 2013; Ogawa &amp; Piller, 2006). As such, reflexivity would likely have an even greater effect in cocreation, as routine decision heuristics could be insufficient to evaluate customer ideas, especially if teams are required to evaluate and modify customer ideas. </w:t>
      </w:r>
    </w:p>
    <w:p w:rsidR="00070FC5" w:rsidRPr="00CC73F3" w:rsidRDefault="00070FC5" w:rsidP="00D639F5">
      <w:pPr>
        <w:spacing w:line="480" w:lineRule="auto"/>
        <w:rPr>
          <w:rFonts w:eastAsia="Calibri"/>
          <w:szCs w:val="22"/>
        </w:rPr>
      </w:pPr>
      <w:r w:rsidRPr="00CC73F3">
        <w:rPr>
          <w:rFonts w:eastAsia="Calibri"/>
          <w:szCs w:val="22"/>
        </w:rPr>
        <w:tab/>
        <w:t>On the other hand, customer idea volume, another complexity factor associated with cocreation projects, may make reflexivity counterproductive. Even when companies use their online innovation communities to help identify promising ideas, they must often deal with hundreds or thousands of submissions (Bayus, 2013; Hoyer et al., 2012). The methodical analysis, discussion, and evaluation or every idea in such cases potentially carries significant efficiency costs in terms of time-to-market and human resources. Teams that deeply evaluate thousands of ideas might find themselves never moving past the evaluation stage to take a product to market.</w:t>
      </w:r>
    </w:p>
    <w:p w:rsidR="00070FC5" w:rsidRPr="00CC73F3" w:rsidRDefault="00070FC5" w:rsidP="00D639F5">
      <w:pPr>
        <w:spacing w:line="480" w:lineRule="auto"/>
        <w:rPr>
          <w:rFonts w:eastAsia="Calibri"/>
          <w:szCs w:val="22"/>
        </w:rPr>
      </w:pPr>
    </w:p>
    <w:p w:rsidR="00070FC5" w:rsidRPr="00CC73F3" w:rsidRDefault="00070FC5" w:rsidP="00D639F5">
      <w:pPr>
        <w:pStyle w:val="Heading2"/>
      </w:pPr>
      <w:bookmarkStart w:id="34" w:name="_Toc420572568"/>
      <w:r w:rsidRPr="00CC73F3">
        <w:t>Hypothesis Development</w:t>
      </w:r>
      <w:bookmarkEnd w:id="34"/>
    </w:p>
    <w:p w:rsidR="00070FC5" w:rsidRPr="00CC73F3" w:rsidRDefault="00070FC5" w:rsidP="00D639F5">
      <w:pPr>
        <w:spacing w:line="480" w:lineRule="auto"/>
        <w:rPr>
          <w:rFonts w:eastAsia="Calibri"/>
          <w:szCs w:val="22"/>
        </w:rPr>
      </w:pPr>
      <w:r w:rsidRPr="00CC73F3">
        <w:rPr>
          <w:rFonts w:eastAsia="Calibri"/>
          <w:szCs w:val="22"/>
        </w:rPr>
        <w:tab/>
        <w:t>There are several characteristics of cocreation that make selection different from selection in internally-developed innovation ideas which have been discussed extensively in the previous review of the cocreation literature. First, managers are typically dealing with a higher number of ideas (Hoyer et al., 2010). While firms often use communities of users (e.g. online peer ratings) to reduce the number of ideas that are reviewed by firm development employees, firms must still often review dozens, or hundreds of ideas submitted by customers. Second, product ideas submitted by customers have a high potential to meet the unmet needs of the target market, relative to internally-generated ideas (Grewal et al., 2006; Hoyer, 2010; Poetz &amp; Schreier, 2012; Shah, 2006). While not every customer-submitted idea has the potential to be a market success, customers may be more adept at generating new product concepts that are both unique and fulfill unmet market needs (Grewal et al., 2006; Poetz and Schreier, 2012). Finally, compared to innovation concepts generated by firm insiders, ideas generated by customers often represent “distant” sources of knowledge (Afuah &amp; Tucci, 2012; Poetz &amp; Schreier, 2012), making the selection process more challenging, as firms must weigh distant customer ideas against their technological and implantation capabilities (Hoyer et al., 2010).</w:t>
      </w:r>
    </w:p>
    <w:p w:rsidR="00070FC5" w:rsidRPr="00CC73F3" w:rsidRDefault="00070FC5" w:rsidP="00D639F5">
      <w:pPr>
        <w:spacing w:line="480" w:lineRule="auto"/>
        <w:rPr>
          <w:rFonts w:eastAsia="Calibri"/>
          <w:szCs w:val="22"/>
        </w:rPr>
      </w:pPr>
      <w:r w:rsidRPr="00CC73F3">
        <w:rPr>
          <w:rFonts w:eastAsia="Calibri"/>
          <w:szCs w:val="22"/>
        </w:rPr>
        <w:tab/>
      </w:r>
    </w:p>
    <w:p w:rsidR="00070FC5" w:rsidRPr="00CC73F3" w:rsidRDefault="00070FC5" w:rsidP="00D639F5">
      <w:pPr>
        <w:pStyle w:val="Heading3"/>
      </w:pPr>
      <w:bookmarkStart w:id="35" w:name="_Toc420572569"/>
      <w:r w:rsidRPr="00CC73F3">
        <w:t>Innovativeness Selection Skill in Cocreation</w:t>
      </w:r>
      <w:bookmarkEnd w:id="35"/>
    </w:p>
    <w:p w:rsidR="00070FC5" w:rsidRPr="00CC73F3" w:rsidRDefault="00070FC5" w:rsidP="00D639F5">
      <w:pPr>
        <w:spacing w:line="480" w:lineRule="auto"/>
        <w:rPr>
          <w:rFonts w:eastAsia="Calibri"/>
          <w:szCs w:val="22"/>
        </w:rPr>
      </w:pPr>
      <w:r w:rsidRPr="00CC73F3">
        <w:rPr>
          <w:rFonts w:eastAsia="Calibri"/>
          <w:szCs w:val="22"/>
        </w:rPr>
        <w:tab/>
        <w:t>In the initial stages of product development firms often rely on subjective assessments of the innovativeness of a new products. These assessments are based on new product novelty (uniqueness compared to existing market offerings), meaningfulness (degree to which a product satisfies customer needs), and feasibility (the degree to which a firm can profitably commercialize a new product) (Bayus, 2013; Magnusson et al., 2003; Poetz &amp; Schreier). Each of these dimensions is discussed in turn.</w:t>
      </w:r>
    </w:p>
    <w:p w:rsidR="00070FC5" w:rsidRPr="00CC73F3" w:rsidRDefault="00070FC5" w:rsidP="00D639F5">
      <w:pPr>
        <w:spacing w:line="480" w:lineRule="auto"/>
        <w:rPr>
          <w:rFonts w:eastAsia="Calibri"/>
          <w:szCs w:val="22"/>
        </w:rPr>
      </w:pPr>
      <w:r w:rsidRPr="00CC73F3">
        <w:rPr>
          <w:rFonts w:eastAsia="Calibri"/>
          <w:szCs w:val="22"/>
        </w:rPr>
        <w:tab/>
      </w:r>
      <w:proofErr w:type="gramStart"/>
      <w:r w:rsidRPr="00CC73F3">
        <w:rPr>
          <w:rFonts w:eastAsia="Calibri"/>
          <w:i/>
          <w:szCs w:val="22"/>
        </w:rPr>
        <w:t>Novelty.</w:t>
      </w:r>
      <w:proofErr w:type="gramEnd"/>
      <w:r w:rsidRPr="00CC73F3">
        <w:rPr>
          <w:rFonts w:eastAsia="Calibri"/>
          <w:szCs w:val="22"/>
        </w:rPr>
        <w:t xml:space="preserve"> The novelty of a new product is defined as the degree to which to concept is uniquely different from products already on the market and products which might be potential competitors (Im &amp; Workman, 2004; Poetz and Schreier, 2012; Amabile, Barsade, Mueller, &amp; Staw, 2005). The cocreation literature supports that argument that customer ideas are more novel that internally-generated ideas (Magnusson et al., 2003; Poetz &amp; Schreier, 2012). Even when customers’ technical and/or product knowledge is limited, customers can often generate highly novel and meaningful ideas for new market offerings because they are less constrained by existing solutions and designs (Kristensson et al., 2008).</w:t>
      </w:r>
    </w:p>
    <w:p w:rsidR="00070FC5" w:rsidRPr="00CC73F3" w:rsidRDefault="00070FC5" w:rsidP="00D639F5">
      <w:pPr>
        <w:spacing w:line="480" w:lineRule="auto"/>
        <w:rPr>
          <w:rFonts w:eastAsia="Calibri"/>
          <w:szCs w:val="22"/>
        </w:rPr>
      </w:pPr>
      <w:r w:rsidRPr="00CC73F3">
        <w:rPr>
          <w:rFonts w:eastAsia="Calibri"/>
          <w:szCs w:val="22"/>
        </w:rPr>
        <w:tab/>
      </w:r>
      <w:proofErr w:type="gramStart"/>
      <w:r w:rsidRPr="00CC73F3">
        <w:rPr>
          <w:rFonts w:eastAsia="Calibri"/>
          <w:i/>
          <w:szCs w:val="22"/>
        </w:rPr>
        <w:t>Meaningfulness.</w:t>
      </w:r>
      <w:proofErr w:type="gramEnd"/>
      <w:r w:rsidRPr="00CC73F3">
        <w:rPr>
          <w:rFonts w:eastAsia="Calibri"/>
          <w:szCs w:val="22"/>
        </w:rPr>
        <w:t xml:space="preserve"> Although successful new products are often novel relative to existing products in their category, novelty by itself does not translate into new product success (Im &amp; Workman, 2004). In addition to novelty, then, an assessment of the innovativeness of a new product should the degree to which a product would be appropriate for and fulfills an unmet need in the market among target consumers. Im and Workman (2004) found that the degree to which a new product resonated with unmet market needs was significantly associated with financial measures new product performance, but novelty was only associated with qualitative performance assessments, such as customer satisfaction and technological learning outcomes. This dimension associated with a product’s inherent ability to meet unmet market needs has been labeled as </w:t>
      </w:r>
      <w:r w:rsidRPr="00CC73F3">
        <w:rPr>
          <w:rFonts w:eastAsia="Calibri"/>
          <w:i/>
          <w:szCs w:val="22"/>
        </w:rPr>
        <w:t>meaningfulness</w:t>
      </w:r>
      <w:r w:rsidRPr="00CC73F3">
        <w:rPr>
          <w:rFonts w:eastAsia="Calibri"/>
          <w:szCs w:val="22"/>
        </w:rPr>
        <w:t xml:space="preserve"> (Im &amp; Workman, 2004), </w:t>
      </w:r>
      <w:r w:rsidRPr="00CC73F3">
        <w:rPr>
          <w:rFonts w:eastAsia="Calibri"/>
          <w:i/>
          <w:szCs w:val="22"/>
        </w:rPr>
        <w:t>user value</w:t>
      </w:r>
      <w:r w:rsidRPr="00CC73F3">
        <w:rPr>
          <w:rFonts w:eastAsia="Calibri"/>
          <w:szCs w:val="22"/>
        </w:rPr>
        <w:t xml:space="preserve"> (Magnusson et al., 2003), </w:t>
      </w:r>
      <w:r w:rsidRPr="00CC73F3">
        <w:rPr>
          <w:rFonts w:eastAsia="Calibri"/>
          <w:i/>
          <w:szCs w:val="22"/>
        </w:rPr>
        <w:t>valuable</w:t>
      </w:r>
      <w:r w:rsidRPr="00CC73F3">
        <w:rPr>
          <w:rFonts w:eastAsia="Calibri"/>
          <w:szCs w:val="22"/>
        </w:rPr>
        <w:t xml:space="preserve"> (Kristensson et al., 2004) and </w:t>
      </w:r>
      <w:r w:rsidRPr="00CC73F3">
        <w:rPr>
          <w:rFonts w:eastAsia="Calibri"/>
          <w:i/>
          <w:szCs w:val="22"/>
        </w:rPr>
        <w:t>usefulness</w:t>
      </w:r>
      <w:r w:rsidRPr="00CC73F3">
        <w:rPr>
          <w:rFonts w:eastAsia="Calibri"/>
          <w:szCs w:val="22"/>
        </w:rPr>
        <w:t xml:space="preserve"> (Poetz &amp; Schreier, 2012). At the heart of this dimension is the concept of innovation value creation (Chesbrough, 2003), or developing market offerings that fulfill an unmet customer need.</w:t>
      </w:r>
    </w:p>
    <w:p w:rsidR="00070FC5" w:rsidRPr="00CC73F3" w:rsidRDefault="00070FC5" w:rsidP="00D639F5">
      <w:pPr>
        <w:spacing w:line="480" w:lineRule="auto"/>
        <w:rPr>
          <w:rFonts w:eastAsia="Calibri"/>
          <w:szCs w:val="22"/>
        </w:rPr>
      </w:pPr>
      <w:r w:rsidRPr="00CC73F3">
        <w:rPr>
          <w:rFonts w:eastAsia="Calibri"/>
          <w:szCs w:val="22"/>
        </w:rPr>
        <w:tab/>
        <w:t xml:space="preserve">As with novelty, the meaningfulness of new product concepts created by customers has been empirically shown to be higher than ideas generated internally by firms (Magnusson et al., 2003; Poetz and Schreier, 2012). Of the three dimensions of innovativeness described in this section, meaningfulness may be the most important in that it represents the value-in-use component of customer value, against which costs are compared when customers assess a market offering </w:t>
      </w:r>
      <w:r w:rsidRPr="00CC73F3">
        <w:rPr>
          <w:rFonts w:eastAsia="Calibri"/>
          <w:noProof/>
          <w:szCs w:val="22"/>
        </w:rPr>
        <w:t>(Woodruff, 1997)</w:t>
      </w:r>
      <w:r w:rsidRPr="00CC73F3">
        <w:rPr>
          <w:rFonts w:eastAsia="Calibri"/>
          <w:szCs w:val="22"/>
        </w:rPr>
        <w:t>. If new products do not fulfill an unmet need in the market, even if they are highly novel and feasible, then consumers are unlikely to adopt them.</w:t>
      </w:r>
    </w:p>
    <w:p w:rsidR="00070FC5" w:rsidRPr="00CC73F3" w:rsidRDefault="00070FC5" w:rsidP="00D639F5">
      <w:pPr>
        <w:spacing w:line="480" w:lineRule="auto"/>
        <w:rPr>
          <w:rFonts w:eastAsia="Calibri"/>
          <w:szCs w:val="22"/>
        </w:rPr>
      </w:pPr>
      <w:r w:rsidRPr="00CC73F3">
        <w:rPr>
          <w:rFonts w:eastAsia="Calibri"/>
          <w:szCs w:val="22"/>
        </w:rPr>
        <w:tab/>
      </w:r>
      <w:proofErr w:type="gramStart"/>
      <w:r w:rsidRPr="00CC73F3">
        <w:rPr>
          <w:rFonts w:eastAsia="Calibri"/>
          <w:i/>
          <w:szCs w:val="22"/>
        </w:rPr>
        <w:t>Feasibility.</w:t>
      </w:r>
      <w:proofErr w:type="gramEnd"/>
      <w:r w:rsidRPr="00CC73F3">
        <w:rPr>
          <w:rFonts w:eastAsia="Calibri"/>
          <w:szCs w:val="22"/>
        </w:rPr>
        <w:t xml:space="preserve"> Many assessments of new product innovativeness conceptualize this concept based on work in creativity studies (e.g. Amabile et al., 1996; Amabile et al. 2005), which breaks creativity into the two dimensions of novelty and meaningfulness. However, several authors have also recognized that feasibility, or the degree to which a firm has the manufacturing and technological capabilities to launch a new product, is an important factor in new product development (Magnusson et al., 2003; Poetz &amp; Schreier 2012). Feasibility is included here because customers often represent distant sources of knowledge for firms that must be integrated into existing capabilities and resource constraints and should have a direct impact on innovation success in cocreation. At the heart of this dimension is Chesbrough’s (2003) notion of value capture. Although identifying novel and useful ideas may be an ideal starting point for firms in developing new products, development teams still have to be able to design, manufacture, distribute, and sell products in a way that captures profits for their firm. Firms must not only create products and services that fulfill unmet market needs (i.e., value creation), but they must do so in a way that minimizes costs and maximizes revenue. Formally defined, feasibility refers to the ease with which an idea can be commercialized, considering the technological and economic constraints that might limit the development potential of a product (Poetz &amp; Schreier, 2012). For example, a particle transporter seen in a science fiction movie might rank very high as both novel and meaningful to customers, yet technological constraints limit such a product from being developed. A more practical example might be a customer idea that is highly novel and useful, but prohibitively expensive to produce or does not appeal to a large enough market to be profitably developed. In such cases, feasibility would rate low because of economic constraints.</w:t>
      </w:r>
    </w:p>
    <w:p w:rsidR="00070FC5" w:rsidRPr="00CC73F3" w:rsidRDefault="00070FC5" w:rsidP="00D639F5">
      <w:pPr>
        <w:spacing w:line="480" w:lineRule="auto"/>
        <w:rPr>
          <w:rFonts w:eastAsia="Calibri"/>
          <w:szCs w:val="22"/>
        </w:rPr>
      </w:pPr>
      <w:r w:rsidRPr="00CC73F3">
        <w:rPr>
          <w:rFonts w:eastAsia="Calibri"/>
          <w:szCs w:val="22"/>
        </w:rPr>
        <w:tab/>
        <w:t>In cocreation, the feasibility of customer generated ideas for new products may be inherently low, compared to ideas developed internally (Bayus, 2013; Magnusson et al., 2003; Poetz &amp; Schreier, 2012). Customers who collaborate with companies typically do so to satisfy needs arising from actual usage and likely don’t consider profitability potential or firm capabilities when generating ideas for new products and services (Poetz and Schreier, 2012). As Bayus (2013) notes, ideas generated in communities often show low degrees of elaboration and are often vague and immature in their scope. Customers may approach the generation of new product solutions from a radically different vantage point than firm professionals do. This creates complexity for teams tasked with evaluating such ideas that may not fit neatly into their frame of reference created by organizational routines and scripts (Magnusson et al., 2003). Feasibility may seem like a fairly straightforward assessment firms make about customer product concepts, but given that they must often modify the concept to tighten the scope or think outside their routines and capabilities, accurately assessing feasibility can be a challenging task.</w:t>
      </w:r>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36" w:name="_Toc420572570"/>
      <w:r w:rsidRPr="00CC73F3">
        <w:t>Performance-Based Selection Skill in Cocreation</w:t>
      </w:r>
      <w:bookmarkEnd w:id="36"/>
    </w:p>
    <w:p w:rsidR="00070FC5" w:rsidRPr="00CC73F3" w:rsidRDefault="00070FC5" w:rsidP="00D639F5">
      <w:pPr>
        <w:spacing w:line="480" w:lineRule="auto"/>
        <w:rPr>
          <w:rFonts w:eastAsia="Calibri"/>
          <w:szCs w:val="22"/>
        </w:rPr>
      </w:pPr>
      <w:r w:rsidRPr="00CC73F3">
        <w:rPr>
          <w:rFonts w:eastAsia="Calibri"/>
          <w:szCs w:val="22"/>
        </w:rPr>
        <w:tab/>
        <w:t xml:space="preserve">While the ability to detect the creativity and innovativeness of a new product may be a valuable skill for selection teams, extant research has found only moderate correlations between the innovativeness of a new product concept and actual new product performance. </w:t>
      </w:r>
      <w:r w:rsidRPr="00CC73F3">
        <w:rPr>
          <w:rFonts w:eastAsia="Calibri"/>
          <w:noProof/>
          <w:szCs w:val="22"/>
        </w:rPr>
        <w:t>Szymanski, Kroff, and Troy (2007)</w:t>
      </w:r>
      <w:r w:rsidRPr="00CC73F3">
        <w:rPr>
          <w:rFonts w:eastAsia="Calibri"/>
          <w:szCs w:val="22"/>
        </w:rPr>
        <w:t xml:space="preserve"> found in a meta-analysis of the influence of product innovativeness on market performance that new product innovativeness (measured as novelty and meaningfulness) had only a small-to-moderate correlation with both product performance (r=.24) and product market advantage (r=.25). As such, an investigation of how accurate development teams are in evaluating and selecting idea quality should also include actual market performance as an outcome.</w:t>
      </w:r>
    </w:p>
    <w:p w:rsidR="00070FC5" w:rsidRPr="00CC73F3" w:rsidRDefault="00070FC5" w:rsidP="00D639F5">
      <w:pPr>
        <w:spacing w:line="480" w:lineRule="auto"/>
        <w:rPr>
          <w:rFonts w:eastAsia="Calibri"/>
          <w:szCs w:val="22"/>
        </w:rPr>
      </w:pPr>
      <w:r w:rsidRPr="00CC73F3">
        <w:rPr>
          <w:rFonts w:eastAsia="Calibri"/>
          <w:szCs w:val="22"/>
        </w:rPr>
        <w:tab/>
        <w:t>The ability to accurately recognize market “winners” and “losers” before making significant financial investments in commercializing customers’ new product ideas is imperative. When faced with development decisions, team selection decisions can take one of four outcomes, based on a 2 x 2 typology of decision outcomes (Baron, 2004), shown in Figure 2. On the first dimension, is the actual market potential of the new product, high or low, and on the second dimension is the team’s development decision, accept or reject.</w:t>
      </w:r>
    </w:p>
    <w:p w:rsidR="00070FC5" w:rsidRPr="00CC73F3" w:rsidRDefault="00070FC5" w:rsidP="00D639F5">
      <w:pPr>
        <w:spacing w:line="480" w:lineRule="auto"/>
        <w:rPr>
          <w:rFonts w:eastAsia="Calibri"/>
          <w:szCs w:val="22"/>
        </w:rPr>
      </w:pPr>
      <w:r w:rsidRPr="00CC73F3">
        <w:rPr>
          <w:rFonts w:eastAsia="Calibri"/>
          <w:szCs w:val="22"/>
        </w:rPr>
        <w:t xml:space="preserve"> </w:t>
      </w:r>
      <w:r w:rsidRPr="00CC73F3">
        <w:rPr>
          <w:rFonts w:eastAsia="Calibri"/>
          <w:szCs w:val="22"/>
        </w:rPr>
        <w:tab/>
        <w:t>In this typology, a</w:t>
      </w:r>
      <w:r w:rsidRPr="00CC73F3">
        <w:rPr>
          <w:rFonts w:eastAsia="Calibri"/>
          <w:i/>
          <w:szCs w:val="22"/>
        </w:rPr>
        <w:t xml:space="preserve"> correct acceptance</w:t>
      </w:r>
      <w:r w:rsidRPr="00CC73F3">
        <w:rPr>
          <w:rFonts w:eastAsia="Calibri"/>
          <w:szCs w:val="22"/>
        </w:rPr>
        <w:t xml:space="preserve"> (or positive hit) occurs when teams accept a product for commercialization that has high actual market potential. </w:t>
      </w:r>
      <w:r w:rsidRPr="00CC73F3">
        <w:rPr>
          <w:rFonts w:eastAsia="Calibri"/>
          <w:i/>
          <w:szCs w:val="22"/>
        </w:rPr>
        <w:t>Correct rejections</w:t>
      </w:r>
      <w:r w:rsidRPr="00CC73F3">
        <w:rPr>
          <w:rFonts w:eastAsia="Calibri"/>
          <w:szCs w:val="22"/>
        </w:rPr>
        <w:t xml:space="preserve"> (or negative hits) occur when teams reject projects for development that have low actual market potential. </w:t>
      </w:r>
      <w:r w:rsidRPr="00CC73F3">
        <w:rPr>
          <w:rFonts w:eastAsia="Calibri"/>
          <w:i/>
          <w:szCs w:val="22"/>
        </w:rPr>
        <w:t>Incorrect acceptances</w:t>
      </w:r>
      <w:r w:rsidRPr="00CC73F3">
        <w:rPr>
          <w:rFonts w:eastAsia="Calibri"/>
          <w:szCs w:val="22"/>
        </w:rPr>
        <w:t xml:space="preserve"> occur when teams accept projects that have low actual market potential, and </w:t>
      </w:r>
      <w:r w:rsidRPr="00CC73F3">
        <w:rPr>
          <w:rFonts w:eastAsia="Calibri"/>
          <w:i/>
          <w:szCs w:val="22"/>
        </w:rPr>
        <w:t>incorrect rejections</w:t>
      </w:r>
      <w:r w:rsidRPr="00CC73F3">
        <w:rPr>
          <w:rFonts w:eastAsia="Calibri"/>
          <w:szCs w:val="22"/>
        </w:rPr>
        <w:t xml:space="preserve"> occur when teams reject projects that have high actual market potential.</w:t>
      </w:r>
    </w:p>
    <w:p w:rsidR="00070FC5" w:rsidRPr="00CC73F3" w:rsidRDefault="00070FC5" w:rsidP="00D639F5">
      <w:pPr>
        <w:pStyle w:val="Heading3"/>
      </w:pPr>
    </w:p>
    <w:p w:rsidR="00070FC5" w:rsidRPr="00CC73F3" w:rsidRDefault="00070FC5" w:rsidP="00D639F5">
      <w:pPr>
        <w:pStyle w:val="Heading3"/>
      </w:pPr>
      <w:bookmarkStart w:id="37" w:name="_Toc420572571"/>
      <w:r w:rsidRPr="00CC73F3">
        <w:t xml:space="preserve">Team Regulatory Focus and Customer Idea </w:t>
      </w:r>
      <w:r w:rsidR="006B0B0D">
        <w:t>Innovativeness</w:t>
      </w:r>
      <w:bookmarkEnd w:id="37"/>
    </w:p>
    <w:p w:rsidR="00070FC5" w:rsidRPr="00CC73F3" w:rsidRDefault="00070FC5" w:rsidP="00D639F5">
      <w:pPr>
        <w:spacing w:line="480" w:lineRule="auto"/>
        <w:rPr>
          <w:rFonts w:eastAsia="Calibri"/>
          <w:szCs w:val="22"/>
        </w:rPr>
      </w:pPr>
      <w:r w:rsidRPr="00CC73F3">
        <w:rPr>
          <w:rFonts w:eastAsia="Calibri"/>
          <w:szCs w:val="22"/>
        </w:rPr>
        <w:tab/>
        <w:t>In the innovation and new product development literature, regulatory focus has been used as a theoretical lens to study how development teams generate and implement new product ideas internally (e.g. Baron, 2004; Brockner et al., 2004; Rietzschel, 2011, Spanjol et al., 2011). In contrast, this study investigates the influence of regulatory focus on the filtering and selection process for ideas that originate from customers outside the firm.</w:t>
      </w:r>
    </w:p>
    <w:p w:rsidR="00070FC5" w:rsidRPr="00CC73F3" w:rsidRDefault="007E2E0A" w:rsidP="00D639F5">
      <w:pPr>
        <w:spacing w:line="480" w:lineRule="auto"/>
        <w:jc w:val="center"/>
        <w:rPr>
          <w:rFonts w:eastAsia="Calibri"/>
          <w:noProof/>
          <w:szCs w:val="22"/>
        </w:rPr>
      </w:pPr>
      <w:r>
        <w:rPr>
          <w:rFonts w:eastAsia="Calibri"/>
          <w:noProof/>
          <w:szCs w:val="22"/>
        </w:rPr>
        <w:pict>
          <v:shape id="_x0000_i1026" type="#_x0000_t75" style="width:347.25pt;height:215.25pt;visibility:visible">
            <v:imagedata r:id="rId12" o:title="" croptop="9043f"/>
          </v:shape>
        </w:pict>
      </w:r>
    </w:p>
    <w:p w:rsidR="00070FC5" w:rsidRPr="00CC73F3" w:rsidRDefault="00070FC5" w:rsidP="00D639F5">
      <w:pPr>
        <w:pStyle w:val="Caption"/>
        <w:rPr>
          <w:rFonts w:eastAsia="Calibri"/>
        </w:rPr>
      </w:pPr>
      <w:bookmarkStart w:id="38" w:name="_Toc420524232"/>
      <w:proofErr w:type="gramStart"/>
      <w:r w:rsidRPr="00CC73F3">
        <w:t xml:space="preserve">Figure </w:t>
      </w:r>
      <w:fldSimple w:instr=" SEQ Figure \* ARABIC ">
        <w:r w:rsidRPr="00CC73F3">
          <w:rPr>
            <w:noProof/>
          </w:rPr>
          <w:t>2</w:t>
        </w:r>
      </w:fldSimple>
      <w:r w:rsidRPr="00CC73F3">
        <w:t>.</w:t>
      </w:r>
      <w:proofErr w:type="gramEnd"/>
      <w:r w:rsidRPr="00CC73F3">
        <w:rPr>
          <w:rFonts w:eastAsia="Calibri"/>
        </w:rPr>
        <w:t xml:space="preserve"> Decision Outcomes in Cocreated New Product Development Evaluations</w:t>
      </w:r>
      <w:bookmarkEnd w:id="38"/>
    </w:p>
    <w:p w:rsidR="00070FC5" w:rsidRPr="00CC73F3" w:rsidRDefault="00070FC5" w:rsidP="00D639F5">
      <w:pPr>
        <w:spacing w:line="480" w:lineRule="auto"/>
        <w:jc w:val="center"/>
        <w:rPr>
          <w:rFonts w:eastAsia="Calibri"/>
          <w:szCs w:val="22"/>
        </w:rPr>
      </w:pPr>
    </w:p>
    <w:p w:rsidR="00070FC5" w:rsidRPr="00CC73F3" w:rsidRDefault="00070FC5" w:rsidP="00D639F5">
      <w:pPr>
        <w:spacing w:line="480" w:lineRule="auto"/>
        <w:rPr>
          <w:rFonts w:eastAsia="Calibri"/>
          <w:szCs w:val="22"/>
        </w:rPr>
      </w:pPr>
      <w:r w:rsidRPr="00CC73F3">
        <w:rPr>
          <w:rFonts w:eastAsia="Calibri"/>
          <w:szCs w:val="22"/>
        </w:rPr>
        <w:t>This creates several important differences that should influence which group regulatory style is ideal for identifying the best ideas for customers.</w:t>
      </w:r>
    </w:p>
    <w:p w:rsidR="00070FC5" w:rsidRPr="00CC73F3" w:rsidRDefault="00070FC5" w:rsidP="00D639F5">
      <w:pPr>
        <w:spacing w:line="480" w:lineRule="auto"/>
        <w:rPr>
          <w:rFonts w:eastAsia="Calibri"/>
          <w:szCs w:val="22"/>
        </w:rPr>
      </w:pPr>
      <w:r w:rsidRPr="00CC73F3">
        <w:rPr>
          <w:rFonts w:eastAsia="Calibri"/>
          <w:szCs w:val="22"/>
        </w:rPr>
        <w:tab/>
        <w:t>As discussed in the literature review section, promotion-oriented teams are characterized by a tendency to underestimate risk, broad thinking across multiple categories, creative problem solving, situational awareness, and a preference for change over stability (Brockner, Higgins, &amp; Low, 2004; Crowe &amp; Higgins, 1997; Higgins 1998; Kark &amp; Van Dijk, 2007). Prevention-oriented teams are characterized by a tendency to overestimate risk, narrow thinking in fewer categories, problem-solving using well-established routines, and a preference for stability over change (Crowe &amp; Higgins, 1997; Higgins 1998; Kark &amp; Van Dijk, 2007).</w:t>
      </w:r>
    </w:p>
    <w:p w:rsidR="00070FC5" w:rsidRPr="00CC73F3" w:rsidRDefault="00070FC5" w:rsidP="00D639F5">
      <w:pPr>
        <w:spacing w:line="480" w:lineRule="auto"/>
        <w:rPr>
          <w:rFonts w:eastAsia="Calibri"/>
          <w:szCs w:val="22"/>
        </w:rPr>
      </w:pPr>
      <w:r w:rsidRPr="00CC73F3">
        <w:rPr>
          <w:rFonts w:eastAsia="Calibri"/>
          <w:szCs w:val="22"/>
        </w:rPr>
        <w:tab/>
        <w:t xml:space="preserve">In a cocreation context, prevention-focused groups may view </w:t>
      </w:r>
      <w:r w:rsidRPr="00CC73F3">
        <w:rPr>
          <w:rFonts w:eastAsia="Calibri"/>
          <w:i/>
          <w:szCs w:val="22"/>
        </w:rPr>
        <w:t>novelty</w:t>
      </w:r>
      <w:r w:rsidRPr="00CC73F3">
        <w:rPr>
          <w:rFonts w:eastAsia="Calibri"/>
          <w:szCs w:val="22"/>
        </w:rPr>
        <w:t xml:space="preserve"> as a signal of risk, since, by definition, it indicates a divergence from established norms and customer preferences.  One would expect prevention-oriented groups to have a bias in their assessment of novelty, rating products as more novel (i.e., risky) than they really are. Based on their preference for stability, prevention-oriented teams may see customer ideas as inherently less risky since customer-generated idea often outperform firm’s own internally-generated ideas on this dimension. Thus one can predict promotion-oriented teams will be more accurate in their assessment of customer cocreated product novelty. Because creating </w:t>
      </w:r>
      <w:r w:rsidRPr="00CC73F3">
        <w:rPr>
          <w:rFonts w:eastAsia="Calibri"/>
          <w:i/>
          <w:szCs w:val="22"/>
        </w:rPr>
        <w:t>meaningfulness</w:t>
      </w:r>
      <w:r w:rsidRPr="00CC73F3">
        <w:rPr>
          <w:rFonts w:eastAsia="Calibri"/>
          <w:szCs w:val="22"/>
        </w:rPr>
        <w:t xml:space="preserve"> to customers represents the “safe bet” in reducing the risk of market failure, it is expected that prevention-oriented teams will be more accurate than promotion-oriented team in their ratings of cocreated new product concept meaningfulness. Finally, a prevention focus may aid development teams in accurately detecting how </w:t>
      </w:r>
      <w:r w:rsidRPr="00CC73F3">
        <w:rPr>
          <w:rFonts w:eastAsia="Calibri"/>
          <w:i/>
          <w:szCs w:val="22"/>
        </w:rPr>
        <w:t>feasible</w:t>
      </w:r>
      <w:r w:rsidRPr="00CC73F3">
        <w:rPr>
          <w:rFonts w:eastAsia="Calibri"/>
          <w:szCs w:val="22"/>
        </w:rPr>
        <w:t xml:space="preserve"> customers’ new product concepts are.  Based on the risk estimation biases of both prevention- and promotion-oriented groups, it is expected that teams with a prevention orientation should be more motivated to assess the implementation risks of a new product concept. Such risks might include factors such as development costs that might offset any potential profits, and challenges in manufacturing, technology, and distribution that might make a project more risky to pursue. Based on the assertion of regulatory focus theory that a promotion orientation is associated with pursuing reward and achievement (Crowe &amp; Higgins, 1997; Higgins 1998; Kark &amp; Van Dijk, 2007), one would expect promotion-oriented teams to de-emphasize factors that signal risk, such as feasibility.</w:t>
      </w:r>
    </w:p>
    <w:p w:rsidR="00070FC5" w:rsidRPr="00CC73F3" w:rsidRDefault="00070FC5" w:rsidP="00D639F5">
      <w:pPr>
        <w:spacing w:line="480" w:lineRule="auto"/>
        <w:rPr>
          <w:rFonts w:eastAsia="Calibri"/>
          <w:szCs w:val="22"/>
        </w:rPr>
      </w:pPr>
      <w:r w:rsidRPr="00CC73F3">
        <w:rPr>
          <w:rFonts w:eastAsia="Calibri"/>
          <w:szCs w:val="22"/>
        </w:rPr>
        <w:tab/>
        <w:t>As such, one can predict that a promotion focus is beneficial to assessing new product novelty, while a prevention focus is more beneficial to assessing meaningfulness and feasibility. Formally stated,</w:t>
      </w:r>
    </w:p>
    <w:p w:rsidR="00070FC5" w:rsidRPr="00CC73F3" w:rsidRDefault="00070FC5" w:rsidP="00D639F5">
      <w:pPr>
        <w:spacing w:line="480" w:lineRule="auto"/>
        <w:ind w:left="720" w:right="720"/>
        <w:rPr>
          <w:rFonts w:eastAsia="Calibri"/>
          <w:szCs w:val="22"/>
        </w:rPr>
      </w:pPr>
      <w:r w:rsidRPr="00CC73F3">
        <w:rPr>
          <w:rFonts w:eastAsia="Calibri"/>
          <w:i/>
          <w:szCs w:val="22"/>
        </w:rPr>
        <w:t>H1a:</w:t>
      </w:r>
      <w:r w:rsidRPr="00CC73F3">
        <w:rPr>
          <w:rFonts w:eastAsia="Calibri"/>
          <w:szCs w:val="22"/>
        </w:rPr>
        <w:t xml:space="preserve"> Promotion-oriented teams </w:t>
      </w:r>
      <w:r w:rsidR="00755AD2">
        <w:rPr>
          <w:rFonts w:eastAsia="Calibri"/>
          <w:szCs w:val="22"/>
        </w:rPr>
        <w:t>are</w:t>
      </w:r>
      <w:r w:rsidRPr="00CC73F3">
        <w:rPr>
          <w:rFonts w:eastAsia="Calibri"/>
          <w:szCs w:val="22"/>
        </w:rPr>
        <w:t xml:space="preserve"> more accurate than prevention-oriented teams in their assessment of the novelty of customers’ new product concepts.</w:t>
      </w:r>
    </w:p>
    <w:p w:rsidR="00070FC5" w:rsidRPr="00CC73F3" w:rsidRDefault="00070FC5" w:rsidP="00D639F5">
      <w:pPr>
        <w:spacing w:line="480" w:lineRule="auto"/>
        <w:ind w:left="720" w:right="720"/>
        <w:rPr>
          <w:rFonts w:eastAsia="Calibri"/>
          <w:szCs w:val="22"/>
        </w:rPr>
      </w:pPr>
    </w:p>
    <w:p w:rsidR="00070FC5" w:rsidRPr="00CC73F3" w:rsidRDefault="00070FC5" w:rsidP="00D639F5">
      <w:pPr>
        <w:spacing w:line="480" w:lineRule="auto"/>
        <w:ind w:left="720" w:right="720"/>
        <w:rPr>
          <w:rFonts w:eastAsia="Calibri"/>
          <w:szCs w:val="22"/>
        </w:rPr>
      </w:pPr>
      <w:r w:rsidRPr="00CC73F3">
        <w:rPr>
          <w:rFonts w:eastAsia="Calibri"/>
          <w:i/>
          <w:szCs w:val="22"/>
        </w:rPr>
        <w:t>H1b:</w:t>
      </w:r>
      <w:r w:rsidRPr="00CC73F3">
        <w:rPr>
          <w:rFonts w:eastAsia="Calibri"/>
          <w:szCs w:val="22"/>
        </w:rPr>
        <w:t xml:space="preserve"> Prevention-oriented teams </w:t>
      </w:r>
      <w:r w:rsidR="00755AD2">
        <w:rPr>
          <w:rFonts w:eastAsia="Calibri"/>
          <w:szCs w:val="22"/>
        </w:rPr>
        <w:t>are</w:t>
      </w:r>
      <w:r w:rsidRPr="00CC73F3">
        <w:rPr>
          <w:rFonts w:eastAsia="Calibri"/>
          <w:szCs w:val="22"/>
        </w:rPr>
        <w:t xml:space="preserve"> more accurate than promotion-oriented teams in their assessment of the meaningfulness of customers’ new product concepts.</w:t>
      </w:r>
    </w:p>
    <w:p w:rsidR="00070FC5" w:rsidRPr="00CC73F3" w:rsidRDefault="00070FC5" w:rsidP="00D639F5">
      <w:pPr>
        <w:spacing w:line="480" w:lineRule="auto"/>
        <w:ind w:left="720" w:right="720"/>
        <w:rPr>
          <w:rFonts w:eastAsia="Calibri"/>
          <w:szCs w:val="22"/>
        </w:rPr>
      </w:pPr>
    </w:p>
    <w:p w:rsidR="00070FC5" w:rsidRPr="00CC73F3" w:rsidRDefault="00070FC5" w:rsidP="00D639F5">
      <w:pPr>
        <w:spacing w:line="480" w:lineRule="auto"/>
        <w:ind w:left="720" w:right="720"/>
        <w:rPr>
          <w:rFonts w:eastAsia="Calibri"/>
          <w:szCs w:val="22"/>
        </w:rPr>
      </w:pPr>
      <w:r w:rsidRPr="00CC73F3">
        <w:rPr>
          <w:rFonts w:eastAsia="Calibri"/>
          <w:i/>
          <w:szCs w:val="22"/>
        </w:rPr>
        <w:t xml:space="preserve">H1c: </w:t>
      </w:r>
      <w:r w:rsidRPr="00CC73F3">
        <w:rPr>
          <w:rFonts w:eastAsia="Calibri"/>
          <w:szCs w:val="22"/>
        </w:rPr>
        <w:t xml:space="preserve">Prevention-oriented teams </w:t>
      </w:r>
      <w:r w:rsidR="00755AD2">
        <w:rPr>
          <w:rFonts w:eastAsia="Calibri"/>
          <w:szCs w:val="22"/>
        </w:rPr>
        <w:t>are</w:t>
      </w:r>
      <w:r w:rsidRPr="00CC73F3">
        <w:rPr>
          <w:rFonts w:eastAsia="Calibri"/>
          <w:szCs w:val="22"/>
        </w:rPr>
        <w:t xml:space="preserve"> more accurate than promotion-oriented teams in their assessment of the feasibility of customers’ new product concepts.</w:t>
      </w:r>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39" w:name="_Toc420572572"/>
      <w:r w:rsidRPr="00CC73F3">
        <w:t xml:space="preserve">Team Reflexivity and Customer Idea </w:t>
      </w:r>
      <w:r w:rsidR="00B76C99">
        <w:t>Innovativeness</w:t>
      </w:r>
      <w:bookmarkEnd w:id="39"/>
    </w:p>
    <w:p w:rsidR="00070FC5" w:rsidRPr="00CC73F3" w:rsidRDefault="00070FC5" w:rsidP="00D639F5">
      <w:pPr>
        <w:spacing w:line="480" w:lineRule="auto"/>
        <w:rPr>
          <w:rFonts w:eastAsia="Calibri"/>
          <w:szCs w:val="22"/>
        </w:rPr>
      </w:pPr>
      <w:r w:rsidRPr="00CC73F3">
        <w:rPr>
          <w:rFonts w:eastAsia="Calibri"/>
          <w:szCs w:val="22"/>
        </w:rPr>
        <w:tab/>
        <w:t xml:space="preserve">The literature on reflexivity also offers insight to make predictions about the influence of a team’s level of reflexivity on assessments of the three dimensions of cocreated product innovativeness. Reflexive teams are more likely to incorporate the shared knowledge of team members, pay attention to a variety of information sources and signals, and deeply process information when making a team decision (Müller et al., 2008). DeDreu (2002) found that teams which were highly reflexive in their decision-making were more likely to pay attention to dissenting opinions and/or disconfirming feedback, and seek a variety of viewpoints before making a decision. Reflexivity researchers have also found that the relationship between reflexivity and innovation is greater when complexity and workload are high rather than low (Schippers et al., 2010). Evaluation and selection in cocreation likely represents both high workload and complexity. Development teams must often evaluate hundreds or even thousands of customer ideas (Hoyer et al., 2010; Bayus, 2013), making decision-making workload high. Development teams must also evaluate ideas which were created with customer benefits in mind, not firm profit potential or capabilities, thus a more complex evaluation problem. Given these factors, one would expect a positive relationship between reflexivity and selection skill for </w:t>
      </w:r>
      <w:r w:rsidRPr="00CC73F3">
        <w:rPr>
          <w:rFonts w:eastAsia="Calibri"/>
          <w:i/>
          <w:szCs w:val="22"/>
        </w:rPr>
        <w:t>novelty</w:t>
      </w:r>
      <w:r w:rsidRPr="00CC73F3">
        <w:rPr>
          <w:rFonts w:eastAsia="Calibri"/>
          <w:szCs w:val="22"/>
        </w:rPr>
        <w:t xml:space="preserve">, </w:t>
      </w:r>
      <w:r w:rsidRPr="00CC73F3">
        <w:rPr>
          <w:rFonts w:eastAsia="Calibri"/>
          <w:i/>
          <w:szCs w:val="22"/>
        </w:rPr>
        <w:t>meaningfulness,</w:t>
      </w:r>
      <w:r w:rsidRPr="00CC73F3">
        <w:rPr>
          <w:rFonts w:eastAsia="Calibri"/>
          <w:szCs w:val="22"/>
        </w:rPr>
        <w:t xml:space="preserve"> and </w:t>
      </w:r>
      <w:r w:rsidRPr="00CC73F3">
        <w:rPr>
          <w:rFonts w:eastAsia="Calibri"/>
          <w:i/>
          <w:szCs w:val="22"/>
        </w:rPr>
        <w:t>feasibility</w:t>
      </w:r>
      <w:r w:rsidRPr="00CC73F3">
        <w:rPr>
          <w:rFonts w:eastAsia="Calibri"/>
          <w:szCs w:val="22"/>
        </w:rPr>
        <w:t>. As such, the following hypotheses can be made:</w:t>
      </w: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ind w:left="720" w:right="720"/>
        <w:rPr>
          <w:rFonts w:eastAsia="Calibri"/>
          <w:szCs w:val="22"/>
        </w:rPr>
      </w:pPr>
      <w:r w:rsidRPr="00CC73F3">
        <w:rPr>
          <w:rFonts w:eastAsia="Calibri"/>
          <w:i/>
          <w:szCs w:val="22"/>
        </w:rPr>
        <w:t>H2a:</w:t>
      </w:r>
      <w:r w:rsidRPr="00CC73F3">
        <w:rPr>
          <w:rFonts w:eastAsia="Calibri"/>
          <w:szCs w:val="22"/>
        </w:rPr>
        <w:t xml:space="preserve"> Highly reflexive teams </w:t>
      </w:r>
      <w:r w:rsidR="00755AD2">
        <w:rPr>
          <w:rFonts w:eastAsia="Calibri"/>
          <w:szCs w:val="22"/>
        </w:rPr>
        <w:t>are</w:t>
      </w:r>
      <w:r w:rsidRPr="00CC73F3">
        <w:rPr>
          <w:rFonts w:eastAsia="Calibri"/>
          <w:szCs w:val="22"/>
        </w:rPr>
        <w:t xml:space="preserve"> more accurate than teams with low reflexivity in their assessment of the </w:t>
      </w:r>
      <w:r w:rsidRPr="00CC73F3">
        <w:rPr>
          <w:rFonts w:eastAsia="Calibri"/>
          <w:i/>
          <w:szCs w:val="22"/>
        </w:rPr>
        <w:t>novelty</w:t>
      </w:r>
      <w:r w:rsidRPr="00CC73F3">
        <w:rPr>
          <w:rFonts w:eastAsia="Calibri"/>
          <w:szCs w:val="22"/>
        </w:rPr>
        <w:t xml:space="preserve"> of customers’ new product concepts.</w:t>
      </w:r>
    </w:p>
    <w:p w:rsidR="00070FC5" w:rsidRPr="00CC73F3" w:rsidRDefault="00070FC5" w:rsidP="00D639F5">
      <w:pPr>
        <w:spacing w:line="480" w:lineRule="auto"/>
        <w:ind w:left="720" w:right="720"/>
        <w:rPr>
          <w:rFonts w:eastAsia="Calibri"/>
          <w:szCs w:val="22"/>
        </w:rPr>
      </w:pPr>
    </w:p>
    <w:p w:rsidR="00070FC5" w:rsidRDefault="00070FC5" w:rsidP="00D639F5">
      <w:pPr>
        <w:spacing w:line="480" w:lineRule="auto"/>
        <w:ind w:left="720" w:right="720"/>
        <w:rPr>
          <w:rFonts w:eastAsia="Calibri"/>
          <w:szCs w:val="22"/>
        </w:rPr>
      </w:pPr>
      <w:r w:rsidRPr="00CC73F3">
        <w:rPr>
          <w:rFonts w:eastAsia="Calibri"/>
          <w:i/>
          <w:szCs w:val="22"/>
        </w:rPr>
        <w:t>H2b:</w:t>
      </w:r>
      <w:r w:rsidRPr="00CC73F3">
        <w:rPr>
          <w:rFonts w:eastAsia="Calibri"/>
          <w:szCs w:val="22"/>
        </w:rPr>
        <w:t xml:space="preserve"> Highly reflexive teams </w:t>
      </w:r>
      <w:r w:rsidR="00755AD2">
        <w:rPr>
          <w:rFonts w:eastAsia="Calibri"/>
          <w:szCs w:val="22"/>
        </w:rPr>
        <w:t>are</w:t>
      </w:r>
      <w:r w:rsidRPr="00CC73F3">
        <w:rPr>
          <w:rFonts w:eastAsia="Calibri"/>
          <w:szCs w:val="22"/>
        </w:rPr>
        <w:t xml:space="preserve"> more accurate than teams with low reflexivity in their assessment of the </w:t>
      </w:r>
      <w:r w:rsidRPr="00CC73F3">
        <w:rPr>
          <w:rFonts w:eastAsia="Calibri"/>
          <w:i/>
          <w:szCs w:val="22"/>
        </w:rPr>
        <w:t>meaningfulness</w:t>
      </w:r>
      <w:r w:rsidRPr="00CC73F3">
        <w:rPr>
          <w:rFonts w:eastAsia="Calibri"/>
          <w:szCs w:val="22"/>
        </w:rPr>
        <w:t xml:space="preserve"> of customers’ new product concepts.</w:t>
      </w:r>
    </w:p>
    <w:p w:rsidR="00755AD2" w:rsidRPr="00CC73F3" w:rsidRDefault="00755AD2" w:rsidP="00D639F5">
      <w:pPr>
        <w:spacing w:line="480" w:lineRule="auto"/>
        <w:ind w:left="720" w:right="720"/>
        <w:rPr>
          <w:rFonts w:eastAsia="Calibri"/>
          <w:szCs w:val="22"/>
        </w:rPr>
      </w:pPr>
    </w:p>
    <w:p w:rsidR="00070FC5" w:rsidRPr="00CC73F3" w:rsidRDefault="00070FC5" w:rsidP="00D639F5">
      <w:pPr>
        <w:spacing w:line="480" w:lineRule="auto"/>
        <w:ind w:left="720" w:right="720"/>
        <w:rPr>
          <w:rFonts w:eastAsia="Calibri"/>
          <w:szCs w:val="22"/>
        </w:rPr>
      </w:pPr>
      <w:r w:rsidRPr="00CC73F3">
        <w:rPr>
          <w:rFonts w:eastAsia="Calibri"/>
          <w:i/>
          <w:szCs w:val="22"/>
        </w:rPr>
        <w:t>H2c</w:t>
      </w:r>
      <w:r w:rsidRPr="00CC73F3">
        <w:rPr>
          <w:rFonts w:eastAsia="Calibri"/>
          <w:szCs w:val="22"/>
        </w:rPr>
        <w:t xml:space="preserve">: Highly reflexive teams </w:t>
      </w:r>
      <w:r w:rsidR="00755AD2">
        <w:rPr>
          <w:rFonts w:eastAsia="Calibri"/>
          <w:szCs w:val="22"/>
        </w:rPr>
        <w:t>are</w:t>
      </w:r>
      <w:r w:rsidRPr="00CC73F3">
        <w:rPr>
          <w:rFonts w:eastAsia="Calibri"/>
          <w:szCs w:val="22"/>
        </w:rPr>
        <w:t xml:space="preserve"> more accurate than teams with low reflexivity in their assessment of the </w:t>
      </w:r>
      <w:r w:rsidRPr="00CC73F3">
        <w:rPr>
          <w:rFonts w:eastAsia="Calibri"/>
          <w:i/>
          <w:szCs w:val="22"/>
        </w:rPr>
        <w:t>feasibility</w:t>
      </w:r>
      <w:r w:rsidRPr="00CC73F3">
        <w:rPr>
          <w:rFonts w:eastAsia="Calibri"/>
          <w:szCs w:val="22"/>
        </w:rPr>
        <w:t xml:space="preserve"> of customers’ new product concepts.</w:t>
      </w:r>
    </w:p>
    <w:p w:rsidR="00070FC5" w:rsidRPr="00CC73F3" w:rsidRDefault="00070FC5" w:rsidP="00D639F5">
      <w:pPr>
        <w:pStyle w:val="Heading2"/>
      </w:pPr>
    </w:p>
    <w:p w:rsidR="00070FC5" w:rsidRPr="00CC73F3" w:rsidRDefault="00070FC5" w:rsidP="00D639F5">
      <w:pPr>
        <w:pStyle w:val="Heading3"/>
      </w:pPr>
      <w:bookmarkStart w:id="40" w:name="_Toc420572573"/>
      <w:r w:rsidRPr="00CC73F3">
        <w:t>Influence of Regulatory Focus x Reflexivity on Novelty, Meaningfulness, and Feasibility</w:t>
      </w:r>
      <w:bookmarkEnd w:id="40"/>
    </w:p>
    <w:p w:rsidR="00070FC5" w:rsidRPr="00CC73F3" w:rsidRDefault="00070FC5" w:rsidP="00D639F5">
      <w:pPr>
        <w:spacing w:line="480" w:lineRule="auto"/>
        <w:rPr>
          <w:rFonts w:eastAsia="Calibri"/>
          <w:szCs w:val="22"/>
        </w:rPr>
      </w:pPr>
      <w:r w:rsidRPr="00CC73F3">
        <w:rPr>
          <w:rFonts w:eastAsia="Calibri"/>
          <w:szCs w:val="22"/>
        </w:rPr>
        <w:tab/>
        <w:t>Regarding the interaction between reflexivity and regulatory style, it is expected that reflexivity will not have the same influence on promotion-oriented teams as it does on prevention-oriented teams. Since promotion is associated with broad thinking, situational awareness, and creative problem solving (Crowe &amp; Higgins, 1997; Higgins, 1998; Kark &amp; Van Dijk, 2007), promotion-oriented teams may gain less benefit from reflexivity than prevention-oriented teams. In other words, some aspects of reflexivity and awareness may be inherent in a promotion orientation.</w:t>
      </w:r>
    </w:p>
    <w:p w:rsidR="00070FC5" w:rsidRPr="00CC73F3" w:rsidRDefault="00070FC5" w:rsidP="00D639F5">
      <w:pPr>
        <w:spacing w:line="480" w:lineRule="auto"/>
        <w:rPr>
          <w:rFonts w:eastAsia="Calibri"/>
          <w:szCs w:val="22"/>
        </w:rPr>
      </w:pPr>
      <w:r w:rsidRPr="00CC73F3">
        <w:rPr>
          <w:rFonts w:eastAsia="Calibri"/>
          <w:szCs w:val="22"/>
        </w:rPr>
        <w:tab/>
        <w:t xml:space="preserve">Further, promotion-oriented teams may be less susceptible to the influence of interventions designed to modify their modes of thinking and decision-making. For example, Spanjol et al. (2011) found that, among teams that were explicitly instructed to adopt a “vigilant” decision-making style, those that had team members matched on a promotion orientation significantly outperformed teams whose members were matched on an individual prevention orientation. Their explanation of this observed effect, drawn from reactance theory </w:t>
      </w:r>
      <w:r w:rsidRPr="00CC73F3">
        <w:rPr>
          <w:rFonts w:eastAsia="Calibri"/>
          <w:noProof/>
          <w:szCs w:val="22"/>
        </w:rPr>
        <w:t>(Brehm, 1966)</w:t>
      </w:r>
      <w:r w:rsidRPr="00CC73F3">
        <w:rPr>
          <w:rFonts w:eastAsia="Calibri"/>
          <w:szCs w:val="22"/>
        </w:rPr>
        <w:t>, is that promotion-oriented decision makers highly value their freedom in the pursuit of goals. They may resist perceived efforts to constrain their thinking and goal pursuit, as could be the case when groups participate in intentional reflexivity practices.</w:t>
      </w:r>
    </w:p>
    <w:p w:rsidR="00070FC5" w:rsidRPr="00CC73F3" w:rsidRDefault="00070FC5" w:rsidP="00D639F5">
      <w:pPr>
        <w:spacing w:line="480" w:lineRule="auto"/>
        <w:rPr>
          <w:rFonts w:eastAsia="Calibri"/>
          <w:szCs w:val="22"/>
        </w:rPr>
      </w:pPr>
      <w:r w:rsidRPr="00CC73F3">
        <w:rPr>
          <w:rFonts w:eastAsia="Calibri"/>
          <w:szCs w:val="22"/>
        </w:rPr>
        <w:tab/>
        <w:t xml:space="preserve">Additionally, the mixed empirical findings on the effect of reflexivity on innovation process efficiency may also suggest that reflexive promotion-oriented teams do not gain the same benefits as reflexive prevention-oriented teams. Although they do not measure teams’ regulatory style, Hoegl and Parboteeah (2011) found that reflexivity in innovation teams increased new product effectiveness but not efficiency (cf. Hammedi et al., 2011). This suggests that reflexivity positively influences a team’s orientation toward achievement and success (the “Achilles heel” of a prevention-orientation) more than it positively influences a team’s orientation toward risk-reduction and security (the “Achilles heel” of a promotion-orientation). Across a variety of decision-making contexts besides new product development, the relationship between reflexivity and team performance has been shown to be more positive when teams have room to improve, or are low-performing (Schippers et al., 2013). Taken together, these studies suggest the benefits of reflexivity may be counter-productive for promotion-oriented teams. Formally stated, </w:t>
      </w: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i/>
          <w:szCs w:val="22"/>
        </w:rPr>
        <w:t>H3a:</w:t>
      </w:r>
      <w:r w:rsidRPr="00CC73F3">
        <w:rPr>
          <w:rFonts w:eastAsia="Calibri"/>
          <w:szCs w:val="22"/>
        </w:rPr>
        <w:t xml:space="preserve"> Reflexivity positively influence</w:t>
      </w:r>
      <w:r w:rsidR="00755AD2">
        <w:rPr>
          <w:rFonts w:eastAsia="Calibri"/>
          <w:szCs w:val="22"/>
        </w:rPr>
        <w:t>s</w:t>
      </w:r>
      <w:r w:rsidRPr="00CC73F3">
        <w:rPr>
          <w:rFonts w:eastAsia="Calibri"/>
          <w:szCs w:val="22"/>
        </w:rPr>
        <w:t xml:space="preserve"> the accuracy of prevention-focused teams’ </w:t>
      </w:r>
      <w:r w:rsidRPr="00CC73F3">
        <w:rPr>
          <w:rFonts w:eastAsia="Calibri"/>
          <w:szCs w:val="22"/>
        </w:rPr>
        <w:tab/>
        <w:t>assessments of cocreated new product novelty, but ha</w:t>
      </w:r>
      <w:r w:rsidR="00755AD2">
        <w:rPr>
          <w:rFonts w:eastAsia="Calibri"/>
          <w:szCs w:val="22"/>
        </w:rPr>
        <w:t>s</w:t>
      </w:r>
      <w:r w:rsidRPr="00CC73F3">
        <w:rPr>
          <w:rFonts w:eastAsia="Calibri"/>
          <w:szCs w:val="22"/>
        </w:rPr>
        <w:t xml:space="preserve"> a negative influence on </w:t>
      </w:r>
      <w:r w:rsidRPr="00CC73F3">
        <w:rPr>
          <w:rFonts w:eastAsia="Calibri"/>
          <w:szCs w:val="22"/>
        </w:rPr>
        <w:tab/>
        <w:t>promotion-focused teams’ assessment accuracy of novelty.</w:t>
      </w: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i/>
          <w:szCs w:val="22"/>
        </w:rPr>
        <w:tab/>
        <w:t>H3b:</w:t>
      </w:r>
      <w:r w:rsidRPr="00CC73F3">
        <w:rPr>
          <w:rFonts w:eastAsia="Calibri"/>
          <w:szCs w:val="22"/>
        </w:rPr>
        <w:t xml:space="preserve"> Reflexivity positively influence</w:t>
      </w:r>
      <w:r w:rsidR="00755AD2">
        <w:rPr>
          <w:rFonts w:eastAsia="Calibri"/>
          <w:szCs w:val="22"/>
        </w:rPr>
        <w:t>s</w:t>
      </w:r>
      <w:r w:rsidRPr="00CC73F3">
        <w:rPr>
          <w:rFonts w:eastAsia="Calibri"/>
          <w:szCs w:val="22"/>
        </w:rPr>
        <w:t xml:space="preserve"> the accuracy of prevention-focused teams’ </w:t>
      </w:r>
      <w:r w:rsidRPr="00CC73F3">
        <w:rPr>
          <w:rFonts w:eastAsia="Calibri"/>
          <w:szCs w:val="22"/>
        </w:rPr>
        <w:tab/>
        <w:t>assessments of cocreated new product meaningfulness, but ha</w:t>
      </w:r>
      <w:r w:rsidR="00755AD2">
        <w:rPr>
          <w:rFonts w:eastAsia="Calibri"/>
          <w:szCs w:val="22"/>
        </w:rPr>
        <w:t>s</w:t>
      </w:r>
      <w:r w:rsidRPr="00CC73F3">
        <w:rPr>
          <w:rFonts w:eastAsia="Calibri"/>
          <w:szCs w:val="22"/>
        </w:rPr>
        <w:t xml:space="preserve"> a negative influence on </w:t>
      </w:r>
      <w:r w:rsidRPr="00CC73F3">
        <w:rPr>
          <w:rFonts w:eastAsia="Calibri"/>
          <w:szCs w:val="22"/>
        </w:rPr>
        <w:tab/>
        <w:t>promotion-focused teams’ assessment accuracy of meaningfulness.</w:t>
      </w: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i/>
          <w:szCs w:val="22"/>
        </w:rPr>
        <w:tab/>
        <w:t>H3c:</w:t>
      </w:r>
      <w:r w:rsidRPr="00CC73F3">
        <w:rPr>
          <w:rFonts w:eastAsia="Calibri"/>
          <w:szCs w:val="22"/>
        </w:rPr>
        <w:t xml:space="preserve"> Reflexivity positively influence</w:t>
      </w:r>
      <w:r w:rsidR="00755AD2">
        <w:rPr>
          <w:rFonts w:eastAsia="Calibri"/>
          <w:szCs w:val="22"/>
        </w:rPr>
        <w:t>s</w:t>
      </w:r>
      <w:r w:rsidRPr="00CC73F3">
        <w:rPr>
          <w:rFonts w:eastAsia="Calibri"/>
          <w:szCs w:val="22"/>
        </w:rPr>
        <w:t xml:space="preserve"> the accuracy of prevention-focused teams’ </w:t>
      </w:r>
      <w:r w:rsidRPr="00CC73F3">
        <w:rPr>
          <w:rFonts w:eastAsia="Calibri"/>
          <w:szCs w:val="22"/>
        </w:rPr>
        <w:tab/>
        <w:t>assessments of cocreated new product feasibility, but ha</w:t>
      </w:r>
      <w:r w:rsidR="00755AD2">
        <w:rPr>
          <w:rFonts w:eastAsia="Calibri"/>
          <w:szCs w:val="22"/>
        </w:rPr>
        <w:t>s</w:t>
      </w:r>
      <w:r w:rsidRPr="00CC73F3">
        <w:rPr>
          <w:rFonts w:eastAsia="Calibri"/>
          <w:szCs w:val="22"/>
        </w:rPr>
        <w:t xml:space="preserve"> a negative influence on </w:t>
      </w:r>
      <w:r w:rsidRPr="00CC73F3">
        <w:rPr>
          <w:rFonts w:eastAsia="Calibri"/>
          <w:szCs w:val="22"/>
        </w:rPr>
        <w:tab/>
        <w:t>promotion-focused teams’ assessment accuracy of feasibility.</w:t>
      </w:r>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41" w:name="_Toc420572574"/>
      <w:r w:rsidRPr="00CC73F3">
        <w:t>Team Regulatory Focus and Positive/Negative Hits</w:t>
      </w:r>
      <w:bookmarkEnd w:id="41"/>
    </w:p>
    <w:p w:rsidR="00070FC5" w:rsidRPr="00CC73F3" w:rsidRDefault="00070FC5" w:rsidP="00D639F5">
      <w:pPr>
        <w:spacing w:line="480" w:lineRule="auto"/>
        <w:rPr>
          <w:rFonts w:eastAsia="Calibri"/>
          <w:szCs w:val="22"/>
        </w:rPr>
      </w:pPr>
      <w:r w:rsidRPr="00CC73F3">
        <w:rPr>
          <w:rFonts w:eastAsia="Calibri"/>
          <w:szCs w:val="22"/>
        </w:rPr>
        <w:tab/>
        <w:t xml:space="preserve">As discussed previously, the innovativeness of a product is only moderately correlated with new product success (Szymanski et al., 2007). A variety of other factors, both inside and outside the firm can influence whether or not a new product is successful. For example implementation issues NPD processes, and competition can all influence how successful an innovative new product might be reasons an otherwise innovative product would fail to be successful on the market (Henard and Szymanski, 2001). </w:t>
      </w:r>
    </w:p>
    <w:p w:rsidR="00070FC5" w:rsidRPr="00CC73F3" w:rsidRDefault="00070FC5" w:rsidP="00D639F5">
      <w:pPr>
        <w:spacing w:line="480" w:lineRule="auto"/>
        <w:rPr>
          <w:rFonts w:eastAsia="Calibri"/>
          <w:szCs w:val="22"/>
        </w:rPr>
      </w:pPr>
      <w:r w:rsidRPr="00CC73F3">
        <w:rPr>
          <w:rFonts w:eastAsia="Calibri"/>
          <w:szCs w:val="22"/>
        </w:rPr>
        <w:tab/>
        <w:t>Extant research has empirically supported the finding that promotion-oriented teams are more successful in commercializing internally-developed new products because of their ability to develop products that are highly creative. In a cocreation context, however, the advantage promotion-oriented teams might have may be eroded, as customer ideas are often inherently more novel and meaningful than products developed internally (Magnusson et al., 2003; Poetz &amp; Schreier, 2012).</w:t>
      </w:r>
    </w:p>
    <w:p w:rsidR="00070FC5" w:rsidRPr="00CC73F3" w:rsidRDefault="00070FC5" w:rsidP="00D639F5">
      <w:pPr>
        <w:spacing w:line="480" w:lineRule="auto"/>
        <w:rPr>
          <w:rFonts w:eastAsia="Calibri"/>
          <w:szCs w:val="22"/>
        </w:rPr>
      </w:pPr>
      <w:r w:rsidRPr="00CC73F3">
        <w:rPr>
          <w:rFonts w:eastAsia="Calibri"/>
          <w:szCs w:val="22"/>
        </w:rPr>
        <w:tab/>
        <w:t xml:space="preserve">As such, one can predict that prevention-oriented teams should be more accurate in recognizing ideas that have the most potential to be successful (positive hits) and the ideas that are most likely to fail (negative hits). Being prevention-oriented may offer the best of both world in this context. On the one hand, teams with a prevention orientation are more likely to be sensitive to development risks (e.g., manufacturing and development costs that prohibit product margins, competitive forces, and implementation capabilities). At the same time, dealing with cocreated ideas may mean the overall quality of the consideration set (in terms of meaningfulness to customers), is higher, meaning the risk of selecting a false negative is lower. </w:t>
      </w:r>
    </w:p>
    <w:p w:rsidR="00070FC5" w:rsidRPr="00CC73F3" w:rsidRDefault="00070FC5" w:rsidP="00D639F5">
      <w:pPr>
        <w:spacing w:line="480" w:lineRule="auto"/>
        <w:rPr>
          <w:rFonts w:eastAsia="Calibri"/>
          <w:szCs w:val="22"/>
        </w:rPr>
      </w:pPr>
      <w:r w:rsidRPr="00CC73F3">
        <w:rPr>
          <w:rFonts w:eastAsia="Calibri"/>
          <w:szCs w:val="22"/>
        </w:rPr>
        <w:tab/>
        <w:t>Therefore, it is expected that teams with a prevention-focus will make more accurate selection decisions related to both positive hits and negative hits. Formally stated,</w:t>
      </w:r>
    </w:p>
    <w:p w:rsidR="00070FC5" w:rsidRPr="00CC73F3" w:rsidRDefault="00070FC5" w:rsidP="00D639F5">
      <w:pPr>
        <w:spacing w:line="480" w:lineRule="auto"/>
        <w:ind w:left="720" w:right="720"/>
        <w:rPr>
          <w:rFonts w:eastAsia="Calibri"/>
          <w:i/>
          <w:szCs w:val="22"/>
        </w:rPr>
      </w:pPr>
    </w:p>
    <w:p w:rsidR="00070FC5" w:rsidRPr="00CC73F3" w:rsidRDefault="00070FC5" w:rsidP="00D639F5">
      <w:pPr>
        <w:spacing w:line="480" w:lineRule="auto"/>
        <w:ind w:left="720" w:right="720"/>
        <w:rPr>
          <w:rFonts w:eastAsia="Calibri"/>
          <w:szCs w:val="22"/>
        </w:rPr>
      </w:pPr>
      <w:r w:rsidRPr="00CC73F3">
        <w:rPr>
          <w:rFonts w:eastAsia="Calibri"/>
          <w:i/>
          <w:szCs w:val="22"/>
        </w:rPr>
        <w:t>H4a:</w:t>
      </w:r>
      <w:r w:rsidRPr="00CC73F3">
        <w:rPr>
          <w:rFonts w:eastAsia="Calibri"/>
          <w:szCs w:val="22"/>
        </w:rPr>
        <w:t xml:space="preserve"> Teams that are prevention-focused have higher rates of positive hits than promotion-oriented teams when assessing the market potential of product concepts created by customers.</w:t>
      </w:r>
    </w:p>
    <w:p w:rsidR="00070FC5" w:rsidRPr="00CC73F3" w:rsidRDefault="00070FC5" w:rsidP="00D639F5">
      <w:pPr>
        <w:spacing w:line="480" w:lineRule="auto"/>
        <w:ind w:left="720"/>
        <w:rPr>
          <w:rFonts w:eastAsia="Calibri"/>
          <w:szCs w:val="22"/>
        </w:rPr>
      </w:pPr>
    </w:p>
    <w:p w:rsidR="00070FC5" w:rsidRPr="00CC73F3" w:rsidRDefault="00070FC5" w:rsidP="00D639F5">
      <w:pPr>
        <w:spacing w:line="480" w:lineRule="auto"/>
        <w:rPr>
          <w:rFonts w:eastAsia="Calibri"/>
          <w:b/>
          <w:szCs w:val="22"/>
          <w:u w:val="single"/>
        </w:rPr>
      </w:pPr>
      <w:r w:rsidRPr="00CC73F3">
        <w:rPr>
          <w:rFonts w:eastAsia="Calibri"/>
          <w:b/>
          <w:color w:val="FF0000"/>
          <w:szCs w:val="22"/>
        </w:rPr>
        <w:tab/>
      </w:r>
      <w:r w:rsidRPr="00CC73F3">
        <w:rPr>
          <w:rFonts w:eastAsia="Calibri"/>
          <w:i/>
          <w:szCs w:val="22"/>
        </w:rPr>
        <w:t>H4b:</w:t>
      </w:r>
      <w:r w:rsidRPr="00CC73F3">
        <w:rPr>
          <w:rFonts w:eastAsia="Calibri"/>
          <w:szCs w:val="22"/>
        </w:rPr>
        <w:t xml:space="preserve"> Teams that are prevention-focused have higher rates of negative hits than </w:t>
      </w:r>
      <w:r w:rsidRPr="00CC73F3">
        <w:rPr>
          <w:rFonts w:eastAsia="Calibri"/>
          <w:szCs w:val="22"/>
        </w:rPr>
        <w:tab/>
        <w:t xml:space="preserve">promotion-oriented team when assessing the market potential of product concepts </w:t>
      </w:r>
      <w:r w:rsidRPr="00CC73F3">
        <w:rPr>
          <w:rFonts w:eastAsia="Calibri"/>
          <w:szCs w:val="22"/>
        </w:rPr>
        <w:tab/>
        <w:t xml:space="preserve">created </w:t>
      </w:r>
      <w:r w:rsidRPr="00CC73F3">
        <w:rPr>
          <w:rFonts w:eastAsia="Calibri"/>
          <w:szCs w:val="22"/>
        </w:rPr>
        <w:tab/>
        <w:t>by customers.</w:t>
      </w:r>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42" w:name="_Toc420572575"/>
      <w:r w:rsidRPr="00CC73F3">
        <w:t>Team Reflexivity and Positive/Negative Hits</w:t>
      </w:r>
      <w:bookmarkEnd w:id="42"/>
    </w:p>
    <w:p w:rsidR="00070FC5" w:rsidRPr="00CC73F3" w:rsidRDefault="00070FC5" w:rsidP="00D639F5">
      <w:pPr>
        <w:spacing w:line="480" w:lineRule="auto"/>
        <w:rPr>
          <w:rFonts w:eastAsia="Calibri"/>
          <w:szCs w:val="22"/>
        </w:rPr>
      </w:pPr>
      <w:r w:rsidRPr="00CC73F3">
        <w:rPr>
          <w:rFonts w:eastAsia="Calibri"/>
          <w:szCs w:val="22"/>
        </w:rPr>
        <w:tab/>
        <w:t>Reflexivity should increase teams’ rates of both correct acceptances and correct rejections (i.e., positive hits and negative hits). Since the success of a new product can depend on a variety of environmental and market factors, such as internal development processes and implementation issues, market dynamics, and competitive forces (Henard &amp; Szymanski, 2001), it is also expected that highly reflexive teams will outperform low reflexive teams in assessing the actual market potential of customer-generated ideas. This is because of their capacity to consider products from multiple viewpoints, rather than relying on a routine heuristics to assess the potential of new product concepts. For example, Müller et al. (2009) found that highly reflexive teams developed new product concepts that were of a higher overall quality, but were not significantly more creative than ideas developed by teams with low reflexivity. In other words, reflexive teams may simply be more pragmatic in their approach to determining what will ultimately be successful in the marketplace, rather than focusing on achieving success on a single dominant criterion, such as the novelty of the proposed product concept. As such, one can predict that reflexivity will positively influence a team’s ability to accurately identify which customer-created product concepts are likely to be successful and which concepts are likely to fail if taken to market. Formally stated,</w:t>
      </w: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rPr>
      </w:pPr>
      <w:r w:rsidRPr="00CC73F3">
        <w:rPr>
          <w:rFonts w:eastAsia="Calibri"/>
        </w:rPr>
        <w:tab/>
      </w:r>
      <w:r w:rsidRPr="00CC73F3">
        <w:rPr>
          <w:rFonts w:eastAsia="Calibri"/>
          <w:i/>
        </w:rPr>
        <w:t>H5a:</w:t>
      </w:r>
      <w:r w:rsidRPr="00CC73F3">
        <w:rPr>
          <w:rFonts w:eastAsia="Calibri"/>
        </w:rPr>
        <w:t xml:space="preserve"> Teams that are highly reflexive have higher rates of positive hits, compared to </w:t>
      </w:r>
      <w:r w:rsidRPr="00CC73F3">
        <w:rPr>
          <w:rFonts w:eastAsia="Calibri"/>
        </w:rPr>
        <w:tab/>
        <w:t>teams with low reflexivity.</w:t>
      </w:r>
    </w:p>
    <w:p w:rsidR="00070FC5" w:rsidRPr="00CC73F3" w:rsidRDefault="00070FC5" w:rsidP="00D639F5">
      <w:pPr>
        <w:spacing w:line="480" w:lineRule="auto"/>
        <w:rPr>
          <w:rFonts w:eastAsia="Calibri"/>
        </w:rPr>
      </w:pPr>
    </w:p>
    <w:p w:rsidR="00070FC5" w:rsidRPr="00CC73F3" w:rsidRDefault="00070FC5" w:rsidP="00D639F5">
      <w:pPr>
        <w:spacing w:line="480" w:lineRule="auto"/>
        <w:rPr>
          <w:rFonts w:eastAsia="Calibri"/>
        </w:rPr>
      </w:pPr>
      <w:r w:rsidRPr="00CC73F3">
        <w:rPr>
          <w:rFonts w:eastAsia="Calibri"/>
        </w:rPr>
        <w:tab/>
      </w:r>
      <w:r w:rsidRPr="00CC73F3">
        <w:rPr>
          <w:rFonts w:eastAsia="Calibri"/>
          <w:i/>
        </w:rPr>
        <w:t>H5b:</w:t>
      </w:r>
      <w:r w:rsidRPr="00CC73F3">
        <w:rPr>
          <w:rFonts w:eastAsia="Calibri"/>
        </w:rPr>
        <w:t xml:space="preserve"> Teams that are highly reflexive have higher rates of negative hits, compared to </w:t>
      </w:r>
      <w:r w:rsidRPr="00CC73F3">
        <w:rPr>
          <w:rFonts w:eastAsia="Calibri"/>
        </w:rPr>
        <w:tab/>
        <w:t>teams with low reflexivity.</w:t>
      </w:r>
    </w:p>
    <w:p w:rsidR="00070FC5" w:rsidRPr="00CC73F3" w:rsidRDefault="00070FC5" w:rsidP="00D639F5">
      <w:pPr>
        <w:pStyle w:val="Heading3"/>
      </w:pPr>
      <w:r w:rsidRPr="00CC73F3">
        <w:t xml:space="preserve"> </w:t>
      </w:r>
      <w:bookmarkStart w:id="43" w:name="_Toc420572576"/>
      <w:r w:rsidRPr="00CC73F3">
        <w:t xml:space="preserve">Team Regulatory Focus x Team Reflexivity </w:t>
      </w:r>
      <w:r w:rsidR="00B76C99">
        <w:t>Interaction</w:t>
      </w:r>
      <w:bookmarkEnd w:id="43"/>
    </w:p>
    <w:p w:rsidR="00070FC5" w:rsidRPr="00CC73F3" w:rsidRDefault="00070FC5" w:rsidP="00D639F5">
      <w:pPr>
        <w:spacing w:line="480" w:lineRule="auto"/>
      </w:pPr>
      <w:r w:rsidRPr="00CC73F3">
        <w:tab/>
        <w:t>Regarding the interaction between reflexivity and regulatory style, it is expected that reflexivity will not have the same positive influence on promotion-oriented teams as it does on prevention-oriented teams. Since promotion is associated with broad thinking, situational awareness, and creative problem solving (Crowe &amp; Higgins, 1997; Higgins, 1998; Kark &amp; Van Dijk, 2007), promotion-oriented teams may gain less benefit from reflexivity than prevention-oriented teams. In other words, some aspects of reflexivity and awareness may be inherent in a promotion orientation.</w:t>
      </w:r>
    </w:p>
    <w:p w:rsidR="00070FC5" w:rsidRPr="00CC73F3" w:rsidRDefault="00070FC5" w:rsidP="00D639F5">
      <w:pPr>
        <w:spacing w:line="480" w:lineRule="auto"/>
      </w:pPr>
      <w:r w:rsidRPr="00CC73F3">
        <w:tab/>
        <w:t>Further, promotion-oriented teams may be less susceptible to the influence of interventions designed to modify their modes of thinking and decision-making. For example, Spanjol et al. (2011) found that, among teams that were explicitly instructed to adopt a “vigilant” decision-making style, those that had team members matched on a promotion orientation significantly outperformed teams whose members were matched on an individual prevention orientation. Their explanation of this observed effect, drawn from reactance theory (Brehm, 1966), is that promotion-oriented decision makers highly value their freedom in the pursuit of goals. They may resist perceived efforts to constrain their thinking and goal pursuit, as could be the case when groups participate in intentional reflexivity practices.</w:t>
      </w:r>
    </w:p>
    <w:p w:rsidR="00070FC5" w:rsidRPr="00CC73F3" w:rsidRDefault="00070FC5" w:rsidP="00D639F5">
      <w:pPr>
        <w:spacing w:line="480" w:lineRule="auto"/>
      </w:pPr>
      <w:r w:rsidRPr="00CC73F3">
        <w:tab/>
        <w:t xml:space="preserve">Additionally, the mixed empirical findings on the effect of reflexivity on innovation process efficiency may also suggest that reflexive promotion-oriented teams do not gain the same benefits as reflexive prevention-oriented teams. Although they do not measure teams’ regulatory style, Hoegl and Parboteeah (2011) found that reflexivity in innovation teams increased new product effectiveness but not efficiency (cf. Hammedi et al., 2011). This suggests that reflexivity influences a team’s orientation toward achievement and success (the “Achilles heel” of a prevention-orientation) more than it influences a team’s orientation toward risk-reduction and security (the “Achilles heel” of a promotion-orientation). Taken together, these studies suggest the benefits of reflexivity may be counter-productive for promotion-oriented teams. Formally stated, </w:t>
      </w:r>
    </w:p>
    <w:p w:rsidR="00070FC5" w:rsidRPr="00CC73F3" w:rsidRDefault="00070FC5" w:rsidP="00D639F5">
      <w:pPr>
        <w:spacing w:line="480" w:lineRule="auto"/>
      </w:pPr>
    </w:p>
    <w:p w:rsidR="00070FC5" w:rsidRPr="00CC73F3" w:rsidRDefault="00070FC5" w:rsidP="00D639F5">
      <w:pPr>
        <w:spacing w:line="480" w:lineRule="auto"/>
        <w:rPr>
          <w:rFonts w:eastAsia="Calibri"/>
          <w:szCs w:val="22"/>
        </w:rPr>
      </w:pPr>
      <w:r w:rsidRPr="00CC73F3">
        <w:rPr>
          <w:rFonts w:eastAsia="Calibri"/>
          <w:i/>
          <w:szCs w:val="22"/>
        </w:rPr>
        <w:tab/>
        <w:t>H6a:</w:t>
      </w:r>
      <w:r w:rsidRPr="00CC73F3">
        <w:rPr>
          <w:rFonts w:eastAsia="Calibri"/>
          <w:szCs w:val="22"/>
        </w:rPr>
        <w:t xml:space="preserve"> Reflexivity positively influence</w:t>
      </w:r>
      <w:r w:rsidR="00755AD2">
        <w:rPr>
          <w:rFonts w:eastAsia="Calibri"/>
          <w:szCs w:val="22"/>
        </w:rPr>
        <w:t>s</w:t>
      </w:r>
      <w:r w:rsidRPr="00CC73F3">
        <w:rPr>
          <w:rFonts w:eastAsia="Calibri"/>
          <w:szCs w:val="22"/>
        </w:rPr>
        <w:t xml:space="preserve"> the number of prevention-focused teams’ </w:t>
      </w:r>
      <w:r w:rsidRPr="00CC73F3">
        <w:rPr>
          <w:rFonts w:eastAsia="Calibri"/>
          <w:szCs w:val="22"/>
        </w:rPr>
        <w:tab/>
        <w:t>decisions that result in positive hits, but negatively influence</w:t>
      </w:r>
      <w:r w:rsidR="00755AD2">
        <w:rPr>
          <w:rFonts w:eastAsia="Calibri"/>
          <w:szCs w:val="22"/>
        </w:rPr>
        <w:t>s</w:t>
      </w:r>
      <w:r w:rsidRPr="00CC73F3">
        <w:rPr>
          <w:rFonts w:eastAsia="Calibri"/>
          <w:szCs w:val="22"/>
        </w:rPr>
        <w:t xml:space="preserve"> the number of positive hits </w:t>
      </w:r>
      <w:r w:rsidRPr="00CC73F3">
        <w:rPr>
          <w:rFonts w:eastAsia="Calibri"/>
          <w:szCs w:val="22"/>
        </w:rPr>
        <w:tab/>
        <w:t>resulting from promotion-focused team decisions.</w:t>
      </w: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i/>
          <w:szCs w:val="22"/>
        </w:rPr>
        <w:tab/>
        <w:t>H6b:</w:t>
      </w:r>
      <w:r w:rsidRPr="00CC73F3">
        <w:rPr>
          <w:rFonts w:eastAsia="Calibri"/>
          <w:szCs w:val="22"/>
        </w:rPr>
        <w:t xml:space="preserve"> Reflexivity positively influence</w:t>
      </w:r>
      <w:r w:rsidR="00755AD2">
        <w:rPr>
          <w:rFonts w:eastAsia="Calibri"/>
          <w:szCs w:val="22"/>
        </w:rPr>
        <w:t>s</w:t>
      </w:r>
      <w:r w:rsidRPr="00CC73F3">
        <w:rPr>
          <w:rFonts w:eastAsia="Calibri"/>
          <w:szCs w:val="22"/>
        </w:rPr>
        <w:t xml:space="preserve"> the number of prevention-focused teams’ </w:t>
      </w:r>
      <w:r w:rsidRPr="00CC73F3">
        <w:rPr>
          <w:rFonts w:eastAsia="Calibri"/>
          <w:szCs w:val="22"/>
        </w:rPr>
        <w:tab/>
        <w:t>decisions that result in negative hits, but negatively influence</w:t>
      </w:r>
      <w:r w:rsidR="00755AD2">
        <w:rPr>
          <w:rFonts w:eastAsia="Calibri"/>
          <w:szCs w:val="22"/>
        </w:rPr>
        <w:t>s</w:t>
      </w:r>
      <w:r w:rsidRPr="00CC73F3">
        <w:rPr>
          <w:rFonts w:eastAsia="Calibri"/>
          <w:szCs w:val="22"/>
        </w:rPr>
        <w:t xml:space="preserve"> the number of negative </w:t>
      </w:r>
      <w:r w:rsidR="00755AD2">
        <w:rPr>
          <w:rFonts w:eastAsia="Calibri"/>
          <w:szCs w:val="22"/>
        </w:rPr>
        <w:tab/>
      </w:r>
      <w:r w:rsidRPr="00CC73F3">
        <w:rPr>
          <w:rFonts w:eastAsia="Calibri"/>
          <w:szCs w:val="22"/>
        </w:rPr>
        <w:t>hits resulting from promotion-focused team decisions.</w:t>
      </w:r>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44" w:name="_Toc420572577"/>
      <w:r w:rsidRPr="00CC73F3">
        <w:t>Moderating Effects of Inventor Expertise</w:t>
      </w:r>
      <w:bookmarkEnd w:id="44"/>
    </w:p>
    <w:p w:rsidR="00070FC5" w:rsidRPr="00CC73F3" w:rsidRDefault="00070FC5" w:rsidP="00D639F5">
      <w:pPr>
        <w:spacing w:line="480" w:lineRule="auto"/>
      </w:pPr>
      <w:r w:rsidRPr="00CC73F3">
        <w:tab/>
        <w:t xml:space="preserve">In addition to the problem and solution a new product offers, development teams may also assess characteristics of a product’s inventor to determine if a product concept merits additional development investment. </w:t>
      </w:r>
      <w:proofErr w:type="gramStart"/>
      <w:r w:rsidRPr="00CC73F3">
        <w:t xml:space="preserve">Externally-focused firms, such as those that adopt cocreation strategies in their innovation activities, are expected to have better and more sophisticated environmental scanning and information utilization capabilities </w:t>
      </w:r>
      <w:r w:rsidRPr="00CC73F3">
        <w:rPr>
          <w:noProof/>
        </w:rPr>
        <w:t>(Moorman, 1995)</w:t>
      </w:r>
      <w:r w:rsidRPr="00CC73F3">
        <w:t>.</w:t>
      </w:r>
      <w:proofErr w:type="gramEnd"/>
      <w:r w:rsidRPr="00CC73F3">
        <w:t xml:space="preserve">  As such, one would expect firms that cocreate innovation with customers to attend to information about the consumer-inventors themselves in the course of evaluating cocreated products.</w:t>
      </w:r>
    </w:p>
    <w:p w:rsidR="00070FC5" w:rsidRPr="00CC73F3" w:rsidRDefault="00070FC5" w:rsidP="00D639F5">
      <w:pPr>
        <w:spacing w:line="480" w:lineRule="auto"/>
        <w:rPr>
          <w:color w:val="FF0000"/>
        </w:rPr>
      </w:pPr>
      <w:r w:rsidRPr="00CC73F3">
        <w:tab/>
        <w:t>Bayus (2013) defines serial ideators as individuals who submit ideas in a cocreation community on at least two separate occasions. In his investigation of Dell’s IdeaStorm community, he examined the success patterns of serial ideators. He found that individuals who submitted more ideas were more likely to have an idea implemented by Dell. Given the conceptualization of reflexive team as processing information more broadly and deeply, highly reflexive teams are more likely take a wider array of pertinent information, like inventor expertise into account in their team decision making. Here it is hypothesized that being reflective will positively influence teams’ positive and negative hit rates when making evaluation and selection decisions about cocreated new product ideas. Formally stated,</w:t>
      </w: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ind w:left="720" w:right="720"/>
        <w:rPr>
          <w:rFonts w:eastAsia="Calibri"/>
          <w:szCs w:val="22"/>
        </w:rPr>
      </w:pPr>
      <w:r w:rsidRPr="00CC73F3">
        <w:rPr>
          <w:rFonts w:eastAsia="Calibri"/>
          <w:i/>
          <w:szCs w:val="22"/>
        </w:rPr>
        <w:t>H7a:</w:t>
      </w:r>
      <w:r w:rsidRPr="00CC73F3">
        <w:rPr>
          <w:rFonts w:eastAsia="Calibri"/>
          <w:szCs w:val="22"/>
        </w:rPr>
        <w:t xml:space="preserve">  When cocreated new product inventor expertise is high, being highly reflexive positively influence</w:t>
      </w:r>
      <w:r w:rsidR="00755AD2">
        <w:rPr>
          <w:rFonts w:eastAsia="Calibri"/>
          <w:szCs w:val="22"/>
        </w:rPr>
        <w:t>s</w:t>
      </w:r>
      <w:r w:rsidRPr="00CC73F3">
        <w:rPr>
          <w:rFonts w:eastAsia="Calibri"/>
          <w:szCs w:val="22"/>
        </w:rPr>
        <w:t xml:space="preserve"> the number of team decisions that are positive hits.</w:t>
      </w:r>
    </w:p>
    <w:p w:rsidR="00070FC5" w:rsidRPr="00CC73F3" w:rsidRDefault="00070FC5" w:rsidP="00D639F5">
      <w:pPr>
        <w:spacing w:line="480" w:lineRule="auto"/>
        <w:ind w:left="720" w:right="720"/>
        <w:rPr>
          <w:rFonts w:eastAsia="Calibri"/>
          <w:szCs w:val="22"/>
        </w:rPr>
      </w:pPr>
    </w:p>
    <w:p w:rsidR="00070FC5" w:rsidRPr="00CC73F3" w:rsidRDefault="00070FC5" w:rsidP="00D639F5">
      <w:pPr>
        <w:spacing w:line="480" w:lineRule="auto"/>
        <w:ind w:left="720" w:right="720"/>
        <w:rPr>
          <w:rFonts w:eastAsia="Calibri"/>
          <w:szCs w:val="22"/>
        </w:rPr>
      </w:pPr>
      <w:r w:rsidRPr="00CC73F3">
        <w:rPr>
          <w:rFonts w:eastAsia="Calibri"/>
          <w:i/>
          <w:szCs w:val="22"/>
        </w:rPr>
        <w:t>H7b:</w:t>
      </w:r>
      <w:r w:rsidRPr="00CC73F3">
        <w:rPr>
          <w:rFonts w:eastAsia="Calibri"/>
          <w:szCs w:val="22"/>
        </w:rPr>
        <w:t xml:space="preserve">  When cocreated new product inventor expertise is high, being highly reflexive positively influence</w:t>
      </w:r>
      <w:r w:rsidR="00755AD2">
        <w:rPr>
          <w:rFonts w:eastAsia="Calibri"/>
          <w:szCs w:val="22"/>
        </w:rPr>
        <w:t>s</w:t>
      </w:r>
      <w:r w:rsidRPr="00CC73F3">
        <w:rPr>
          <w:rFonts w:eastAsia="Calibri"/>
          <w:szCs w:val="22"/>
        </w:rPr>
        <w:t xml:space="preserve"> the number of team decisions that are negative hits.</w:t>
      </w:r>
    </w:p>
    <w:p w:rsidR="00070FC5" w:rsidRPr="00CC73F3" w:rsidRDefault="00070FC5" w:rsidP="00D639F5">
      <w:pPr>
        <w:spacing w:line="480" w:lineRule="auto"/>
        <w:ind w:right="720"/>
        <w:rPr>
          <w:rFonts w:eastAsia="Calibri"/>
          <w:szCs w:val="22"/>
        </w:rPr>
      </w:pPr>
    </w:p>
    <w:p w:rsidR="00070FC5" w:rsidRPr="00CC73F3" w:rsidRDefault="00070FC5" w:rsidP="00D639F5">
      <w:pPr>
        <w:spacing w:line="480" w:lineRule="auto"/>
        <w:ind w:right="720"/>
        <w:rPr>
          <w:rFonts w:eastAsia="Calibri"/>
          <w:szCs w:val="22"/>
        </w:rPr>
      </w:pPr>
      <w:r w:rsidRPr="00CC73F3">
        <w:rPr>
          <w:rFonts w:eastAsia="Calibri"/>
          <w:szCs w:val="22"/>
        </w:rPr>
        <w:tab/>
        <w:t xml:space="preserve">Inventor expertise may also influence prevention-focus and promotion-focused teams differently. Because of their proclivity to be motivated by safety </w:t>
      </w:r>
      <w:r w:rsidRPr="00CC73F3">
        <w:rPr>
          <w:rFonts w:eastAsia="Calibri"/>
          <w:noProof/>
          <w:szCs w:val="22"/>
        </w:rPr>
        <w:t>(Baron, 2004; Levine et al., 2000)</w:t>
      </w:r>
      <w:r w:rsidRPr="00CC73F3">
        <w:rPr>
          <w:rFonts w:eastAsia="Calibri"/>
          <w:szCs w:val="22"/>
        </w:rPr>
        <w:t xml:space="preserve">, prevention-focused teams may view the expertise and experience of the inventor as a “safer,” more concrete indication of the positive or negative potential of a cocreated product idea.  Because of their motivation to pursue success </w:t>
      </w:r>
      <w:r w:rsidRPr="00CC73F3">
        <w:rPr>
          <w:rFonts w:eastAsia="Calibri"/>
          <w:noProof/>
          <w:szCs w:val="22"/>
        </w:rPr>
        <w:t>(Baron, 2004; Levine et al., 2000)</w:t>
      </w:r>
      <w:r w:rsidRPr="00CC73F3">
        <w:rPr>
          <w:rFonts w:eastAsia="Calibri"/>
          <w:szCs w:val="22"/>
        </w:rPr>
        <w:t xml:space="preserve">, promotion-focus teams may ignore cues from the inventor and focus instead on external, but less concrete, indicators of a cocreated product’s potential, such as marketability and fit with customer needs. Here, it is hypothesized that inventor expertise will interact positively with a team’s prevention focus in predicting team decisions that are positive hits, but negatively when teams have a promotion focus. Formally stated, </w:t>
      </w:r>
    </w:p>
    <w:p w:rsidR="00070FC5" w:rsidRPr="00CC73F3" w:rsidRDefault="00070FC5" w:rsidP="00D639F5">
      <w:pPr>
        <w:spacing w:line="480" w:lineRule="auto"/>
        <w:ind w:left="720" w:right="720"/>
        <w:rPr>
          <w:rFonts w:eastAsia="Calibri"/>
          <w:szCs w:val="22"/>
        </w:rPr>
      </w:pPr>
      <w:r w:rsidRPr="00CC73F3">
        <w:rPr>
          <w:rFonts w:eastAsia="Calibri"/>
          <w:i/>
          <w:szCs w:val="22"/>
        </w:rPr>
        <w:t>H8a:</w:t>
      </w:r>
      <w:r w:rsidRPr="00CC73F3">
        <w:rPr>
          <w:rFonts w:eastAsia="Calibri"/>
          <w:szCs w:val="22"/>
        </w:rPr>
        <w:t xml:space="preserve">  When cocreated new product inventor expertise is high, being prevention-focused positively influence</w:t>
      </w:r>
      <w:r w:rsidR="00755AD2">
        <w:rPr>
          <w:rFonts w:eastAsia="Calibri"/>
          <w:szCs w:val="22"/>
        </w:rPr>
        <w:t>s</w:t>
      </w:r>
      <w:r w:rsidRPr="00CC73F3">
        <w:rPr>
          <w:rFonts w:eastAsia="Calibri"/>
          <w:szCs w:val="22"/>
        </w:rPr>
        <w:t xml:space="preserve"> the number of team decisions that are positive hits, but being promotion-focused negatively influence</w:t>
      </w:r>
      <w:r w:rsidR="00755AD2">
        <w:rPr>
          <w:rFonts w:eastAsia="Calibri"/>
          <w:szCs w:val="22"/>
        </w:rPr>
        <w:t>s</w:t>
      </w:r>
      <w:r w:rsidRPr="00CC73F3">
        <w:rPr>
          <w:rFonts w:eastAsia="Calibri"/>
          <w:szCs w:val="22"/>
        </w:rPr>
        <w:t xml:space="preserve"> the number of team decisions that are positive hits.</w:t>
      </w:r>
    </w:p>
    <w:p w:rsidR="00070FC5" w:rsidRPr="00CC73F3" w:rsidRDefault="00070FC5" w:rsidP="00D639F5">
      <w:pPr>
        <w:spacing w:line="480" w:lineRule="auto"/>
        <w:ind w:left="720" w:right="720"/>
        <w:rPr>
          <w:rFonts w:eastAsia="Calibri"/>
          <w:szCs w:val="22"/>
        </w:rPr>
      </w:pPr>
    </w:p>
    <w:p w:rsidR="00070FC5" w:rsidRPr="00CC73F3" w:rsidRDefault="00070FC5" w:rsidP="00D639F5">
      <w:pPr>
        <w:spacing w:line="480" w:lineRule="auto"/>
        <w:ind w:left="720" w:right="720"/>
        <w:rPr>
          <w:rFonts w:eastAsia="Calibri"/>
          <w:szCs w:val="22"/>
        </w:rPr>
      </w:pPr>
      <w:r w:rsidRPr="00CC73F3">
        <w:rPr>
          <w:rFonts w:eastAsia="Calibri"/>
          <w:i/>
          <w:szCs w:val="22"/>
        </w:rPr>
        <w:t>H8b</w:t>
      </w:r>
      <w:r w:rsidRPr="00CC73F3">
        <w:rPr>
          <w:rFonts w:eastAsia="Calibri"/>
          <w:szCs w:val="22"/>
        </w:rPr>
        <w:t>:  When cocreated new product inventor expertise is high, being prevention-focused positively influence</w:t>
      </w:r>
      <w:r w:rsidR="00755AD2">
        <w:rPr>
          <w:rFonts w:eastAsia="Calibri"/>
          <w:szCs w:val="22"/>
        </w:rPr>
        <w:t>s</w:t>
      </w:r>
      <w:r w:rsidRPr="00CC73F3">
        <w:rPr>
          <w:rFonts w:eastAsia="Calibri"/>
          <w:szCs w:val="22"/>
        </w:rPr>
        <w:t xml:space="preserve"> the number of team decisions that are negative hits, but being promotion-focused negatively influence</w:t>
      </w:r>
      <w:r w:rsidR="00755AD2">
        <w:rPr>
          <w:rFonts w:eastAsia="Calibri"/>
          <w:szCs w:val="22"/>
        </w:rPr>
        <w:t>s</w:t>
      </w:r>
      <w:r w:rsidRPr="00CC73F3">
        <w:rPr>
          <w:rFonts w:eastAsia="Calibri"/>
          <w:szCs w:val="22"/>
        </w:rPr>
        <w:t xml:space="preserve"> the number of team decisions that are negative hits.</w:t>
      </w:r>
    </w:p>
    <w:p w:rsidR="00070FC5" w:rsidRPr="00CC73F3" w:rsidRDefault="00070FC5" w:rsidP="00D639F5">
      <w:pPr>
        <w:spacing w:line="480" w:lineRule="auto"/>
        <w:ind w:right="720"/>
        <w:rPr>
          <w:rFonts w:eastAsia="Calibri"/>
          <w:szCs w:val="22"/>
        </w:rPr>
      </w:pPr>
    </w:p>
    <w:p w:rsidR="00070FC5" w:rsidRPr="00CC73F3" w:rsidRDefault="00070FC5" w:rsidP="00D639F5">
      <w:pPr>
        <w:pStyle w:val="Heading2"/>
      </w:pPr>
      <w:bookmarkStart w:id="45" w:name="_Toc420572578"/>
      <w:r w:rsidRPr="00CC73F3">
        <w:t>Chapter 2 Summary</w:t>
      </w:r>
      <w:bookmarkEnd w:id="45"/>
    </w:p>
    <w:p w:rsidR="00070FC5" w:rsidRDefault="00070FC5" w:rsidP="00D639F5">
      <w:pPr>
        <w:spacing w:line="480" w:lineRule="auto"/>
        <w:rPr>
          <w:rFonts w:eastAsia="Calibri"/>
          <w:szCs w:val="22"/>
        </w:rPr>
      </w:pPr>
      <w:r w:rsidRPr="00CC73F3">
        <w:rPr>
          <w:rFonts w:eastAsia="Calibri"/>
          <w:szCs w:val="22"/>
        </w:rPr>
        <w:tab/>
        <w:t>In this chapter the literature relevant to the cocreation of innovation, regulatory style, and reflexivity was reviewed and used to develop the hypotheses tested in this dissertation (</w:t>
      </w:r>
      <w:r w:rsidR="00CC73F3" w:rsidRPr="00CC73F3">
        <w:rPr>
          <w:rFonts w:eastAsia="Calibri"/>
          <w:szCs w:val="22"/>
        </w:rPr>
        <w:t xml:space="preserve">see </w:t>
      </w:r>
      <w:r w:rsidRPr="00CC73F3">
        <w:rPr>
          <w:rFonts w:eastAsia="Calibri"/>
          <w:szCs w:val="22"/>
        </w:rPr>
        <w:t>Table 5). Specifically, both regulatory style and reflexivity were used to predict how accurate development teams are in their assessments of the novelty, meaningfulness, and feasibility of customer-submitted concepts for new products. Additionally, these concepts are used to make predictions about how well teams can identify both winners and losers as determined by actual new products sales data. The next chapter explains the methodology and statistical approaches used to test these hypotheses.</w:t>
      </w:r>
    </w:p>
    <w:p w:rsidR="00755AD2" w:rsidRDefault="00755AD2" w:rsidP="00D639F5">
      <w:pPr>
        <w:spacing w:line="480" w:lineRule="auto"/>
        <w:rPr>
          <w:rFonts w:eastAsia="Calibri"/>
          <w:szCs w:val="22"/>
        </w:rPr>
      </w:pPr>
    </w:p>
    <w:p w:rsidR="00755AD2" w:rsidRPr="00CC73F3" w:rsidRDefault="00755AD2" w:rsidP="00D639F5">
      <w:pPr>
        <w:spacing w:line="480" w:lineRule="auto"/>
        <w:rPr>
          <w:rFonts w:eastAsia="Calibri"/>
          <w:szCs w:val="22"/>
        </w:rPr>
      </w:pPr>
    </w:p>
    <w:p w:rsidR="00070FC5" w:rsidRPr="00CC73F3" w:rsidRDefault="00070FC5" w:rsidP="00D639F5">
      <w:pPr>
        <w:pStyle w:val="Caption"/>
        <w:rPr>
          <w:rFonts w:eastAsia="Calibri"/>
        </w:rPr>
      </w:pPr>
      <w:bookmarkStart w:id="46" w:name="_Toc420570930"/>
      <w:proofErr w:type="gramStart"/>
      <w:r w:rsidRPr="00CC73F3">
        <w:t xml:space="preserve">Table </w:t>
      </w:r>
      <w:fldSimple w:instr=" SEQ Table \* ARABIC ">
        <w:r w:rsidRPr="00CC73F3">
          <w:rPr>
            <w:noProof/>
          </w:rPr>
          <w:t>5</w:t>
        </w:r>
      </w:fldSimple>
      <w:r w:rsidRPr="00CC73F3">
        <w:rPr>
          <w:rFonts w:eastAsia="Calibri"/>
        </w:rPr>
        <w:t>.</w:t>
      </w:r>
      <w:proofErr w:type="gramEnd"/>
      <w:r w:rsidRPr="00CC73F3">
        <w:rPr>
          <w:rFonts w:eastAsia="Calibri"/>
        </w:rPr>
        <w:t xml:space="preserve"> Summary of Hypotheses</w:t>
      </w:r>
      <w:bookmarkEnd w:id="46"/>
    </w:p>
    <w:p w:rsidR="00070FC5" w:rsidRPr="00CC73F3" w:rsidRDefault="00070FC5" w:rsidP="00D639F5">
      <w:pPr>
        <w:rPr>
          <w:rFonts w:eastAsia="Calibri"/>
        </w:rPr>
      </w:pPr>
    </w:p>
    <w:tbl>
      <w:tblPr>
        <w:tblW w:w="9900" w:type="dxa"/>
        <w:tblInd w:w="-252" w:type="dxa"/>
        <w:tblLook w:val="04A0" w:firstRow="1" w:lastRow="0" w:firstColumn="1" w:lastColumn="0" w:noHBand="0" w:noVBand="1"/>
      </w:tblPr>
      <w:tblGrid>
        <w:gridCol w:w="9900"/>
      </w:tblGrid>
      <w:tr w:rsidR="00070FC5" w:rsidRPr="00CC73F3" w:rsidTr="00D639F5">
        <w:tc>
          <w:tcPr>
            <w:tcW w:w="990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Hypotheses</w:t>
            </w:r>
          </w:p>
        </w:tc>
      </w:tr>
      <w:tr w:rsidR="00070FC5" w:rsidRPr="00CC73F3" w:rsidTr="00D639F5">
        <w:tc>
          <w:tcPr>
            <w:tcW w:w="9900" w:type="dxa"/>
            <w:tcBorders>
              <w:top w:val="single" w:sz="18" w:space="0" w:color="auto"/>
            </w:tcBorders>
            <w:shd w:val="clear" w:color="auto" w:fill="auto"/>
          </w:tcPr>
          <w:p w:rsidR="00070FC5" w:rsidRPr="00CC73F3" w:rsidRDefault="00070FC5" w:rsidP="00D639F5">
            <w:pPr>
              <w:ind w:left="612" w:right="720" w:hanging="612"/>
              <w:rPr>
                <w:rFonts w:eastAsia="Calibri"/>
                <w:szCs w:val="22"/>
              </w:rPr>
            </w:pPr>
            <w:r w:rsidRPr="00CC73F3">
              <w:rPr>
                <w:rFonts w:eastAsia="Calibri"/>
                <w:i/>
                <w:szCs w:val="22"/>
              </w:rPr>
              <w:t>H1a:</w:t>
            </w:r>
            <w:r w:rsidRPr="00CC73F3">
              <w:rPr>
                <w:rFonts w:eastAsia="Calibri"/>
                <w:szCs w:val="22"/>
              </w:rPr>
              <w:t xml:space="preserve">  Promotion-oriented teams </w:t>
            </w:r>
            <w:r w:rsidR="00755AD2">
              <w:rPr>
                <w:rFonts w:eastAsia="Calibri"/>
                <w:szCs w:val="22"/>
              </w:rPr>
              <w:t>are</w:t>
            </w:r>
            <w:r w:rsidRPr="00CC73F3">
              <w:rPr>
                <w:rFonts w:eastAsia="Calibri"/>
                <w:szCs w:val="22"/>
              </w:rPr>
              <w:t xml:space="preserve"> more accurate than prevention-oriented teams in their assessment of the novelty of customers’ new product concepts.</w:t>
            </w:r>
          </w:p>
          <w:p w:rsidR="00070FC5" w:rsidRPr="00CC73F3" w:rsidRDefault="00070FC5" w:rsidP="00D639F5">
            <w:pPr>
              <w:ind w:left="612" w:right="720" w:hanging="612"/>
              <w:rPr>
                <w:rFonts w:eastAsia="Calibri"/>
                <w:szCs w:val="22"/>
              </w:rPr>
            </w:pPr>
          </w:p>
        </w:tc>
      </w:tr>
      <w:tr w:rsidR="00070FC5" w:rsidRPr="00CC73F3" w:rsidTr="00D639F5">
        <w:tc>
          <w:tcPr>
            <w:tcW w:w="9900" w:type="dxa"/>
            <w:shd w:val="clear" w:color="auto" w:fill="auto"/>
          </w:tcPr>
          <w:p w:rsidR="00070FC5" w:rsidRPr="00CC73F3" w:rsidRDefault="00070FC5" w:rsidP="00D639F5">
            <w:pPr>
              <w:ind w:left="612" w:right="720" w:hanging="612"/>
              <w:rPr>
                <w:rFonts w:eastAsia="Calibri"/>
                <w:szCs w:val="22"/>
              </w:rPr>
            </w:pPr>
            <w:r w:rsidRPr="00CC73F3">
              <w:rPr>
                <w:rFonts w:eastAsia="Calibri"/>
                <w:i/>
                <w:szCs w:val="22"/>
              </w:rPr>
              <w:t>H1b:</w:t>
            </w:r>
            <w:r w:rsidRPr="00CC73F3">
              <w:rPr>
                <w:rFonts w:eastAsia="Calibri"/>
                <w:szCs w:val="22"/>
              </w:rPr>
              <w:t xml:space="preserve">  Prevention-oriented teams </w:t>
            </w:r>
            <w:r w:rsidR="00755AD2">
              <w:rPr>
                <w:rFonts w:eastAsia="Calibri"/>
                <w:szCs w:val="22"/>
              </w:rPr>
              <w:t>are</w:t>
            </w:r>
            <w:r w:rsidRPr="00CC73F3">
              <w:rPr>
                <w:rFonts w:eastAsia="Calibri"/>
                <w:szCs w:val="22"/>
              </w:rPr>
              <w:t xml:space="preserve"> more accurate than promotion-oriented teams in their assessment of the meaningfulness of customers’ new product concepts.</w:t>
            </w:r>
          </w:p>
          <w:p w:rsidR="00070FC5" w:rsidRPr="00CC73F3" w:rsidRDefault="00070FC5" w:rsidP="00D639F5">
            <w:pPr>
              <w:ind w:left="612" w:right="720" w:hanging="612"/>
              <w:rPr>
                <w:rFonts w:eastAsia="Calibri"/>
                <w:szCs w:val="22"/>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H1c</w:t>
            </w:r>
            <w:r w:rsidRPr="00CC73F3">
              <w:rPr>
                <w:rFonts w:eastAsia="Calibri"/>
              </w:rPr>
              <w:t xml:space="preserve">:  Prevention-oriented teams </w:t>
            </w:r>
            <w:r w:rsidR="00755AD2">
              <w:rPr>
                <w:rFonts w:eastAsia="Calibri"/>
              </w:rPr>
              <w:t>are</w:t>
            </w:r>
            <w:r w:rsidRPr="00CC73F3">
              <w:rPr>
                <w:rFonts w:eastAsia="Calibri"/>
              </w:rPr>
              <w:t xml:space="preserve"> more accurate than promotion-oriented teams in their assessment of the feasibility of customers’ new product concepts.</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H2a</w:t>
            </w:r>
            <w:r w:rsidRPr="00CC73F3">
              <w:rPr>
                <w:rFonts w:eastAsia="Calibri"/>
              </w:rPr>
              <w:t xml:space="preserve">:  Highly reflexive teams </w:t>
            </w:r>
            <w:r w:rsidR="00755AD2">
              <w:rPr>
                <w:rFonts w:eastAsia="Calibri"/>
              </w:rPr>
              <w:t>are</w:t>
            </w:r>
            <w:r w:rsidRPr="00CC73F3">
              <w:rPr>
                <w:rFonts w:eastAsia="Calibri"/>
              </w:rPr>
              <w:t xml:space="preserve"> more accurate than teams with low reflexivity in their assessment of the novelty of customers’ new product concepts.</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H2b</w:t>
            </w:r>
            <w:r w:rsidRPr="00CC73F3">
              <w:rPr>
                <w:rFonts w:eastAsia="Calibri"/>
              </w:rPr>
              <w:t xml:space="preserve">:  Highly reflexive teams </w:t>
            </w:r>
            <w:r w:rsidR="00755AD2">
              <w:rPr>
                <w:rFonts w:eastAsia="Calibri"/>
              </w:rPr>
              <w:t>are</w:t>
            </w:r>
            <w:r w:rsidRPr="00CC73F3">
              <w:rPr>
                <w:rFonts w:eastAsia="Calibri"/>
              </w:rPr>
              <w:t xml:space="preserve"> more accurate than teams with low reflexivity in their assessment of the meaningfulness of customers’ new product concepts.</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H2c</w:t>
            </w:r>
            <w:r w:rsidRPr="00CC73F3">
              <w:rPr>
                <w:rFonts w:eastAsia="Calibri"/>
              </w:rPr>
              <w:t xml:space="preserve">:  Highly reflexive teams </w:t>
            </w:r>
            <w:r w:rsidR="00755AD2">
              <w:rPr>
                <w:rFonts w:eastAsia="Calibri"/>
              </w:rPr>
              <w:t>are</w:t>
            </w:r>
            <w:r w:rsidRPr="00CC73F3">
              <w:rPr>
                <w:rFonts w:eastAsia="Calibri"/>
              </w:rPr>
              <w:t xml:space="preserve"> more accurate than teams with low reflexivity in their assessment of the feasibility of customers’ new product concepts.</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H3a</w:t>
            </w:r>
            <w:r w:rsidRPr="00CC73F3">
              <w:rPr>
                <w:rFonts w:eastAsia="Calibri"/>
              </w:rPr>
              <w:t>:  Reflexivity positively influence</w:t>
            </w:r>
            <w:r w:rsidR="00755AD2">
              <w:rPr>
                <w:rFonts w:eastAsia="Calibri"/>
              </w:rPr>
              <w:t>s</w:t>
            </w:r>
            <w:r w:rsidRPr="00CC73F3">
              <w:rPr>
                <w:rFonts w:eastAsia="Calibri"/>
              </w:rPr>
              <w:t xml:space="preserve"> the accuracy of prevention-focused teams’ assessments of cocreated new product novelty, but ha</w:t>
            </w:r>
            <w:r w:rsidR="00755AD2">
              <w:rPr>
                <w:rFonts w:eastAsia="Calibri"/>
              </w:rPr>
              <w:t>s</w:t>
            </w:r>
            <w:r w:rsidRPr="00CC73F3">
              <w:rPr>
                <w:rFonts w:eastAsia="Calibri"/>
              </w:rPr>
              <w:t xml:space="preserve"> a negative influence on</w:t>
            </w:r>
            <w:r w:rsidR="00755AD2">
              <w:rPr>
                <w:rFonts w:eastAsia="Calibri"/>
              </w:rPr>
              <w:t xml:space="preserve"> </w:t>
            </w:r>
            <w:r w:rsidRPr="00CC73F3">
              <w:rPr>
                <w:rFonts w:eastAsia="Calibri"/>
              </w:rPr>
              <w:t>promotion-focused teams’ assessment accuracy of novelty.</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H3b</w:t>
            </w:r>
            <w:r w:rsidRPr="00CC73F3">
              <w:rPr>
                <w:rFonts w:eastAsia="Calibri"/>
              </w:rPr>
              <w:t>:  Reflexivity positively influence</w:t>
            </w:r>
            <w:r w:rsidR="00755AD2">
              <w:rPr>
                <w:rFonts w:eastAsia="Calibri"/>
              </w:rPr>
              <w:t>s</w:t>
            </w:r>
            <w:r w:rsidRPr="00CC73F3">
              <w:rPr>
                <w:rFonts w:eastAsia="Calibri"/>
              </w:rPr>
              <w:t xml:space="preserve"> the accuracy of prevention-focused teams’ assessments of cocreated new product meaningfulness, but ha</w:t>
            </w:r>
            <w:r w:rsidR="00755AD2">
              <w:rPr>
                <w:rFonts w:eastAsia="Calibri"/>
              </w:rPr>
              <w:t>s</w:t>
            </w:r>
            <w:r w:rsidRPr="00CC73F3">
              <w:rPr>
                <w:rFonts w:eastAsia="Calibri"/>
              </w:rPr>
              <w:t xml:space="preserve"> a negative influence on promotion-focused teams’ assessment accuracy of meaningfulness.</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H3c</w:t>
            </w:r>
            <w:r w:rsidRPr="00CC73F3">
              <w:rPr>
                <w:rFonts w:eastAsia="Calibri"/>
              </w:rPr>
              <w:t>:  Reflexivity positively influence</w:t>
            </w:r>
            <w:r w:rsidR="00755AD2">
              <w:rPr>
                <w:rFonts w:eastAsia="Calibri"/>
              </w:rPr>
              <w:t>s</w:t>
            </w:r>
            <w:r w:rsidRPr="00CC73F3">
              <w:rPr>
                <w:rFonts w:eastAsia="Calibri"/>
              </w:rPr>
              <w:t xml:space="preserve"> the accuracy of prevention-focused teams’ assessments of cocreated new product feasibility, but ha</w:t>
            </w:r>
            <w:r w:rsidR="00755AD2">
              <w:rPr>
                <w:rFonts w:eastAsia="Calibri"/>
              </w:rPr>
              <w:t>s</w:t>
            </w:r>
            <w:r w:rsidRPr="00CC73F3">
              <w:rPr>
                <w:rFonts w:eastAsia="Calibri"/>
              </w:rPr>
              <w:t xml:space="preserve"> a negative influence on promotion-focused teams’ assessment accuracy of feasibility.</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H4a</w:t>
            </w:r>
            <w:r w:rsidRPr="00CC73F3">
              <w:rPr>
                <w:rFonts w:eastAsia="Calibri"/>
              </w:rPr>
              <w:t>:  Teams that are prevention-focused have higher rates of positive hits than promotion-oriented teams when assessing the market potential of product concepts created by customers.</w:t>
            </w:r>
          </w:p>
          <w:p w:rsidR="00070FC5" w:rsidRPr="00CC73F3" w:rsidRDefault="00070FC5" w:rsidP="00D639F5">
            <w:pPr>
              <w:ind w:left="612" w:hanging="612"/>
              <w:rPr>
                <w:rFonts w:eastAsia="Calibri"/>
              </w:rPr>
            </w:pPr>
            <w:r w:rsidRPr="00CC73F3">
              <w:rPr>
                <w:rFonts w:eastAsia="Calibri"/>
              </w:rPr>
              <w:tab/>
            </w: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H4b</w:t>
            </w:r>
            <w:r w:rsidRPr="00CC73F3">
              <w:rPr>
                <w:rFonts w:eastAsia="Calibri"/>
              </w:rPr>
              <w:t>:  Teams that are prevention-focused have higher rates of negative hits than promotion-oriented team when assessing the market potential of product concepts created by customers.</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H5a</w:t>
            </w:r>
            <w:r w:rsidRPr="00CC73F3">
              <w:rPr>
                <w:rFonts w:eastAsia="Calibri"/>
              </w:rPr>
              <w:t>:  Teams that are highly reflexive have higher rates of positive hits, compared to teams with low reflexivity.</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H5b</w:t>
            </w:r>
            <w:r w:rsidRPr="00CC73F3">
              <w:rPr>
                <w:rFonts w:eastAsia="Calibri"/>
              </w:rPr>
              <w:t>:  Teams that are highly reflexive have higher rates of negative hits, compared to teams with low reflexivity.</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szCs w:val="22"/>
              </w:rPr>
              <w:t>H6a:</w:t>
            </w:r>
            <w:r w:rsidRPr="00CC73F3">
              <w:rPr>
                <w:rFonts w:eastAsia="Calibri"/>
                <w:szCs w:val="22"/>
              </w:rPr>
              <w:t xml:space="preserve">  Reflexivity positively influence</w:t>
            </w:r>
            <w:r w:rsidR="00FC26E3">
              <w:rPr>
                <w:rFonts w:eastAsia="Calibri"/>
                <w:szCs w:val="22"/>
              </w:rPr>
              <w:t>s</w:t>
            </w:r>
            <w:r w:rsidRPr="00CC73F3">
              <w:rPr>
                <w:rFonts w:eastAsia="Calibri"/>
                <w:szCs w:val="22"/>
              </w:rPr>
              <w:t xml:space="preserve"> the number of prevention-focused teams’ decisions that result in positive hits, but negatively influence</w:t>
            </w:r>
            <w:r w:rsidR="00FC26E3">
              <w:rPr>
                <w:rFonts w:eastAsia="Calibri"/>
                <w:szCs w:val="22"/>
              </w:rPr>
              <w:t>s</w:t>
            </w:r>
            <w:r w:rsidRPr="00CC73F3">
              <w:rPr>
                <w:rFonts w:eastAsia="Calibri"/>
                <w:szCs w:val="22"/>
              </w:rPr>
              <w:t xml:space="preserve"> the number of positive hits resulting from promotion-focused team decisions.</w:t>
            </w:r>
          </w:p>
          <w:p w:rsidR="00070FC5" w:rsidRPr="00CC73F3" w:rsidRDefault="00070FC5" w:rsidP="00D639F5">
            <w:pPr>
              <w:ind w:left="612" w:hanging="612"/>
              <w:rPr>
                <w:rFonts w:eastAsia="Calibri"/>
                <w:i/>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szCs w:val="22"/>
              </w:rPr>
            </w:pPr>
            <w:r w:rsidRPr="00CC73F3">
              <w:rPr>
                <w:rFonts w:eastAsia="Calibri"/>
                <w:i/>
                <w:szCs w:val="22"/>
              </w:rPr>
              <w:t>H6b:</w:t>
            </w:r>
            <w:r w:rsidRPr="00CC73F3">
              <w:rPr>
                <w:rFonts w:eastAsia="Calibri"/>
                <w:szCs w:val="22"/>
              </w:rPr>
              <w:t xml:space="preserve">  Reflexivity positively influence</w:t>
            </w:r>
            <w:r w:rsidR="00FC26E3">
              <w:rPr>
                <w:rFonts w:eastAsia="Calibri"/>
                <w:szCs w:val="22"/>
              </w:rPr>
              <w:t>s</w:t>
            </w:r>
            <w:r w:rsidRPr="00CC73F3">
              <w:rPr>
                <w:rFonts w:eastAsia="Calibri"/>
                <w:szCs w:val="22"/>
              </w:rPr>
              <w:t xml:space="preserve"> the number of prevention-focused teams’ decisions that result in negative hits, but negatively influence</w:t>
            </w:r>
            <w:r w:rsidR="00FC26E3">
              <w:rPr>
                <w:rFonts w:eastAsia="Calibri"/>
                <w:szCs w:val="22"/>
              </w:rPr>
              <w:t>s</w:t>
            </w:r>
            <w:r w:rsidRPr="00CC73F3">
              <w:rPr>
                <w:rFonts w:eastAsia="Calibri"/>
                <w:szCs w:val="22"/>
              </w:rPr>
              <w:t xml:space="preserve"> the number of negative hits resulting from promotion-focused team decisions.</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right="720" w:hanging="612"/>
              <w:rPr>
                <w:rFonts w:eastAsia="Calibri"/>
                <w:szCs w:val="22"/>
              </w:rPr>
            </w:pPr>
            <w:r w:rsidRPr="00CC73F3">
              <w:rPr>
                <w:rFonts w:eastAsia="Calibri"/>
                <w:i/>
              </w:rPr>
              <w:t>H7a:</w:t>
            </w:r>
            <w:r w:rsidRPr="00CC73F3">
              <w:rPr>
                <w:rFonts w:eastAsia="Calibri"/>
              </w:rPr>
              <w:t xml:space="preserve">  When cocreated new product inventor expertise is high, b</w:t>
            </w:r>
            <w:r w:rsidRPr="00CC73F3">
              <w:rPr>
                <w:rFonts w:eastAsia="Calibri"/>
                <w:szCs w:val="22"/>
              </w:rPr>
              <w:t>eing highly reflexive positively influence</w:t>
            </w:r>
            <w:r w:rsidR="00FC26E3">
              <w:rPr>
                <w:rFonts w:eastAsia="Calibri"/>
                <w:szCs w:val="22"/>
              </w:rPr>
              <w:t>s</w:t>
            </w:r>
            <w:r w:rsidRPr="00CC73F3">
              <w:rPr>
                <w:rFonts w:eastAsia="Calibri"/>
                <w:szCs w:val="22"/>
              </w:rPr>
              <w:t xml:space="preserve"> the number of team decisions that are positive hits.</w:t>
            </w:r>
          </w:p>
          <w:p w:rsidR="00070FC5" w:rsidRPr="00CC73F3" w:rsidRDefault="00070FC5" w:rsidP="00D639F5">
            <w:pPr>
              <w:ind w:left="612" w:right="720" w:hanging="612"/>
              <w:rPr>
                <w:rFonts w:eastAsia="Calibri"/>
                <w:szCs w:val="22"/>
              </w:rPr>
            </w:pPr>
          </w:p>
        </w:tc>
      </w:tr>
      <w:tr w:rsidR="00070FC5" w:rsidRPr="00CC73F3" w:rsidTr="00D639F5">
        <w:tc>
          <w:tcPr>
            <w:tcW w:w="9900" w:type="dxa"/>
            <w:shd w:val="clear" w:color="auto" w:fill="auto"/>
          </w:tcPr>
          <w:p w:rsidR="00070FC5" w:rsidRPr="00CC73F3" w:rsidRDefault="00070FC5" w:rsidP="00D639F5">
            <w:pPr>
              <w:ind w:left="612" w:hanging="612"/>
              <w:rPr>
                <w:rFonts w:eastAsia="Calibri"/>
              </w:rPr>
            </w:pPr>
            <w:r w:rsidRPr="00CC73F3">
              <w:rPr>
                <w:rFonts w:eastAsia="Calibri"/>
                <w:i/>
              </w:rPr>
              <w:t>H7b:</w:t>
            </w:r>
            <w:r w:rsidRPr="00CC73F3">
              <w:rPr>
                <w:rFonts w:eastAsia="Calibri"/>
                <w:szCs w:val="22"/>
              </w:rPr>
              <w:t xml:space="preserve">  When cocreated new product inventor expertise is high, being highly reflexive positively influence</w:t>
            </w:r>
            <w:r w:rsidR="00FC26E3">
              <w:rPr>
                <w:rFonts w:eastAsia="Calibri"/>
                <w:szCs w:val="22"/>
              </w:rPr>
              <w:t>s</w:t>
            </w:r>
            <w:r w:rsidRPr="00CC73F3">
              <w:rPr>
                <w:rFonts w:eastAsia="Calibri"/>
                <w:szCs w:val="22"/>
              </w:rPr>
              <w:t xml:space="preserve"> the number of team decisions that are negative hits.</w:t>
            </w:r>
          </w:p>
          <w:p w:rsidR="00070FC5" w:rsidRPr="00CC73F3" w:rsidRDefault="00070FC5" w:rsidP="00D639F5">
            <w:pPr>
              <w:ind w:left="612" w:hanging="612"/>
              <w:rPr>
                <w:rFonts w:eastAsia="Calibri"/>
              </w:rPr>
            </w:pPr>
          </w:p>
        </w:tc>
      </w:tr>
      <w:tr w:rsidR="00070FC5" w:rsidRPr="00CC73F3" w:rsidTr="00D639F5">
        <w:tc>
          <w:tcPr>
            <w:tcW w:w="9900" w:type="dxa"/>
            <w:shd w:val="clear" w:color="auto" w:fill="auto"/>
          </w:tcPr>
          <w:p w:rsidR="00070FC5" w:rsidRPr="00CC73F3" w:rsidRDefault="00070FC5" w:rsidP="00D639F5">
            <w:pPr>
              <w:ind w:left="612" w:right="720" w:hanging="612"/>
              <w:rPr>
                <w:rFonts w:eastAsia="Calibri"/>
                <w:szCs w:val="22"/>
              </w:rPr>
            </w:pPr>
            <w:r w:rsidRPr="00CC73F3">
              <w:rPr>
                <w:rFonts w:eastAsia="Calibri"/>
                <w:i/>
                <w:szCs w:val="22"/>
              </w:rPr>
              <w:t>H8a:</w:t>
            </w:r>
            <w:r w:rsidRPr="00CC73F3">
              <w:rPr>
                <w:rFonts w:eastAsia="Calibri"/>
                <w:szCs w:val="22"/>
              </w:rPr>
              <w:t xml:space="preserve">  When cocreated new product inventor expertise is high, being prevention-focused positively influence</w:t>
            </w:r>
            <w:r w:rsidR="00FC26E3">
              <w:rPr>
                <w:rFonts w:eastAsia="Calibri"/>
                <w:szCs w:val="22"/>
              </w:rPr>
              <w:t>s</w:t>
            </w:r>
            <w:r w:rsidRPr="00CC73F3">
              <w:rPr>
                <w:rFonts w:eastAsia="Calibri"/>
                <w:szCs w:val="22"/>
              </w:rPr>
              <w:t xml:space="preserve"> the number of team decisions that are positive hits, but being promotion-focused negatively influence</w:t>
            </w:r>
            <w:r w:rsidR="00FC26E3">
              <w:rPr>
                <w:rFonts w:eastAsia="Calibri"/>
                <w:szCs w:val="22"/>
              </w:rPr>
              <w:t>s</w:t>
            </w:r>
            <w:r w:rsidRPr="00CC73F3">
              <w:rPr>
                <w:rFonts w:eastAsia="Calibri"/>
                <w:szCs w:val="22"/>
              </w:rPr>
              <w:t xml:space="preserve"> the number of team decisions that are positive hits.</w:t>
            </w:r>
          </w:p>
          <w:p w:rsidR="00070FC5" w:rsidRPr="00CC73F3" w:rsidRDefault="00070FC5" w:rsidP="00D639F5">
            <w:pPr>
              <w:ind w:left="612" w:right="720" w:hanging="612"/>
              <w:rPr>
                <w:rFonts w:eastAsia="Calibri"/>
                <w:szCs w:val="22"/>
              </w:rPr>
            </w:pPr>
          </w:p>
        </w:tc>
      </w:tr>
      <w:tr w:rsidR="00070FC5" w:rsidRPr="00CC73F3" w:rsidTr="00D639F5">
        <w:tc>
          <w:tcPr>
            <w:tcW w:w="9900" w:type="dxa"/>
            <w:tcBorders>
              <w:bottom w:val="single" w:sz="18" w:space="0" w:color="auto"/>
            </w:tcBorders>
            <w:shd w:val="clear" w:color="auto" w:fill="auto"/>
          </w:tcPr>
          <w:p w:rsidR="00070FC5" w:rsidRPr="00CC73F3" w:rsidRDefault="00070FC5" w:rsidP="00D639F5">
            <w:pPr>
              <w:ind w:left="612" w:right="720" w:hanging="612"/>
              <w:rPr>
                <w:rFonts w:eastAsia="Calibri"/>
                <w:szCs w:val="22"/>
              </w:rPr>
            </w:pPr>
            <w:r w:rsidRPr="00CC73F3">
              <w:rPr>
                <w:rFonts w:eastAsia="Calibri"/>
                <w:i/>
              </w:rPr>
              <w:t xml:space="preserve">H8b:  </w:t>
            </w:r>
            <w:r w:rsidRPr="00CC73F3">
              <w:rPr>
                <w:rFonts w:eastAsia="Calibri"/>
                <w:szCs w:val="22"/>
              </w:rPr>
              <w:t>When cocreated new product inventor expertise is high, being prevention-focused positively influence</w:t>
            </w:r>
            <w:r w:rsidR="00FC26E3">
              <w:rPr>
                <w:rFonts w:eastAsia="Calibri"/>
                <w:szCs w:val="22"/>
              </w:rPr>
              <w:t>s</w:t>
            </w:r>
            <w:r w:rsidRPr="00CC73F3">
              <w:rPr>
                <w:rFonts w:eastAsia="Calibri"/>
                <w:szCs w:val="22"/>
              </w:rPr>
              <w:t xml:space="preserve"> the number of team decisions that are negative hits, but being promotion-focused negatively influence</w:t>
            </w:r>
            <w:r w:rsidR="00FC26E3">
              <w:rPr>
                <w:rFonts w:eastAsia="Calibri"/>
                <w:szCs w:val="22"/>
              </w:rPr>
              <w:t>s</w:t>
            </w:r>
            <w:r w:rsidRPr="00CC73F3">
              <w:rPr>
                <w:rFonts w:eastAsia="Calibri"/>
                <w:szCs w:val="22"/>
              </w:rPr>
              <w:t xml:space="preserve"> the number of team decisions that are negative hits.</w:t>
            </w:r>
          </w:p>
          <w:p w:rsidR="00070FC5" w:rsidRPr="00CC73F3" w:rsidRDefault="00070FC5" w:rsidP="00D639F5">
            <w:pPr>
              <w:ind w:left="612" w:right="720" w:hanging="612"/>
              <w:rPr>
                <w:rFonts w:eastAsia="Calibri"/>
              </w:rPr>
            </w:pPr>
          </w:p>
        </w:tc>
      </w:tr>
    </w:tbl>
    <w:p w:rsidR="00070FC5" w:rsidRPr="00CC73F3" w:rsidRDefault="00070FC5" w:rsidP="00D639F5">
      <w:pPr>
        <w:pStyle w:val="Heading2"/>
      </w:pPr>
    </w:p>
    <w:p w:rsidR="00070FC5" w:rsidRPr="00CC73F3" w:rsidRDefault="00070FC5" w:rsidP="00D639F5">
      <w:pPr>
        <w:pStyle w:val="Heading1"/>
      </w:pPr>
      <w:r w:rsidRPr="00CC73F3">
        <w:rPr>
          <w:rFonts w:ascii="Times New Roman Bold" w:eastAsia="Calibri" w:hAnsi="Times New Roman Bold"/>
          <w:caps/>
        </w:rPr>
        <w:br w:type="page"/>
      </w:r>
      <w:bookmarkStart w:id="47" w:name="_Toc420572579"/>
      <w:r w:rsidRPr="00CC73F3">
        <w:rPr>
          <w:rFonts w:eastAsia="Calibri"/>
        </w:rPr>
        <w:t>Chapter 3</w:t>
      </w:r>
      <w:r w:rsidRPr="00CC73F3">
        <w:rPr>
          <w:rFonts w:eastAsia="Calibri"/>
        </w:rPr>
        <w:br/>
      </w:r>
      <w:r w:rsidRPr="00CC73F3">
        <w:t>Methodology</w:t>
      </w:r>
      <w:bookmarkEnd w:id="47"/>
    </w:p>
    <w:p w:rsidR="00070FC5" w:rsidRPr="00CC73F3" w:rsidRDefault="00070FC5" w:rsidP="00D639F5">
      <w:pPr>
        <w:spacing w:line="276" w:lineRule="auto"/>
      </w:pPr>
    </w:p>
    <w:p w:rsidR="00070FC5" w:rsidRPr="00CC73F3" w:rsidRDefault="00070FC5" w:rsidP="00D639F5">
      <w:pPr>
        <w:pStyle w:val="Heading2"/>
      </w:pPr>
      <w:bookmarkStart w:id="48" w:name="_Toc420572580"/>
      <w:r w:rsidRPr="00CC73F3">
        <w:t>Overview of Studies</w:t>
      </w:r>
      <w:bookmarkEnd w:id="48"/>
    </w:p>
    <w:p w:rsidR="00070FC5" w:rsidRPr="00CC73F3" w:rsidRDefault="00070FC5" w:rsidP="00D639F5">
      <w:pPr>
        <w:spacing w:line="480" w:lineRule="auto"/>
      </w:pPr>
      <w:r w:rsidRPr="00CC73F3">
        <w:tab/>
        <w:t>Three studies were conducted for this dissertation. The conceptual model on which these studies are based is shown in Figure 3. In Study 1, a 2 x 2, between-subjects design was used. Two experimental factors were manipulated, collective regulatory focus (prevention/promotion) and group reflexivity (high/low). In this experiment the unit of analysis was the team. Teams were asked to rate customer-generated new product concepts using three dimensions of the innovativeness of the customer-generated idea – novelty, meaningfulness, and feasibility. Their decisions were compared against product development experts’ assessments of each product. The analysis entailed looking for significant differences between groups from each condition in the degree to which they differed from expert evaluations of novelty, meaningfulness, and feasibility.</w:t>
      </w:r>
    </w:p>
    <w:p w:rsidR="00070FC5" w:rsidRPr="00CC73F3" w:rsidRDefault="00070FC5" w:rsidP="00D639F5">
      <w:pPr>
        <w:pStyle w:val="Caption"/>
      </w:pPr>
      <w:bookmarkStart w:id="49" w:name="_Toc420524233"/>
      <w:proofErr w:type="gramStart"/>
      <w:r w:rsidRPr="00CC73F3">
        <w:t xml:space="preserve">Figure </w:t>
      </w:r>
      <w:fldSimple w:instr=" SEQ Figure \* ARABIC ">
        <w:r w:rsidRPr="00CC73F3">
          <w:rPr>
            <w:noProof/>
          </w:rPr>
          <w:t>3</w:t>
        </w:r>
      </w:fldSimple>
      <w:r w:rsidRPr="00CC73F3">
        <w:t>.</w:t>
      </w:r>
      <w:proofErr w:type="gramEnd"/>
      <w:r w:rsidRPr="00CC73F3">
        <w:t xml:space="preserve"> Conceptual Model</w:t>
      </w:r>
      <w:bookmarkEnd w:id="49"/>
    </w:p>
    <w:p w:rsidR="00070FC5" w:rsidRPr="00CC73F3" w:rsidRDefault="00070FC5" w:rsidP="00D639F5"/>
    <w:p w:rsidR="00070FC5" w:rsidRPr="00CC73F3" w:rsidRDefault="007E2E0A" w:rsidP="00D639F5">
      <w:pPr>
        <w:jc w:val="center"/>
        <w:rPr>
          <w:noProof/>
        </w:rPr>
      </w:pPr>
      <w:r>
        <w:pict>
          <v:shape id="_x0000_i1027" type="#_x0000_t75" style="width:402.75pt;height:229.5pt;visibility:visible">
            <v:imagedata r:id="rId10" o:title=""/>
          </v:shape>
        </w:pict>
      </w:r>
    </w:p>
    <w:p w:rsidR="00070FC5" w:rsidRPr="00CC73F3" w:rsidRDefault="00070FC5" w:rsidP="00D639F5">
      <w:pPr>
        <w:jc w:val="center"/>
      </w:pPr>
    </w:p>
    <w:p w:rsidR="00070FC5" w:rsidRPr="00CC73F3" w:rsidRDefault="00070FC5" w:rsidP="00D639F5">
      <w:pPr>
        <w:spacing w:line="480" w:lineRule="auto"/>
      </w:pPr>
      <w:r w:rsidRPr="00CC73F3">
        <w:tab/>
        <w:t xml:space="preserve">The design for Study 2 was a 2 x 2 between subjects design, with teams as the unit of analysis. As in Study 1, the model consisted of two two-level factors: collective regulatory style (prevention and promotion) and group reflexivity (high and low). In Study 2, </w:t>
      </w:r>
      <w:proofErr w:type="spellStart"/>
      <w:r w:rsidRPr="00CC73F3">
        <w:t>eams</w:t>
      </w:r>
      <w:proofErr w:type="spellEnd"/>
      <w:r w:rsidRPr="00CC73F3">
        <w:t xml:space="preserve"> were asked to evaluate actual sales performance of the products they saw, and the dependent variable was based on how well their choices lined up with the actual market performance of the product ideas they reviewed. </w:t>
      </w:r>
    </w:p>
    <w:p w:rsidR="00070FC5" w:rsidRPr="00CC73F3" w:rsidRDefault="00070FC5" w:rsidP="00D639F5">
      <w:pPr>
        <w:spacing w:line="480" w:lineRule="auto"/>
      </w:pPr>
      <w:r w:rsidRPr="00CC73F3">
        <w:tab/>
        <w:t>Finally, Study 3 was a virtual ethnography which entailed conducting a content analysis using web video footage from a firm’s evaluation and selection meetings. These meetings are held to decide which customer-generated product concepts should be developed. During the meetings, working professionals are engaged in evaluating and selecting consumer-generated new product concepts to be taken into further development and commercialization. Regulatory style and reflexivity are collected based on quantifying several qualitative variables from the video footage. By examining the cognitive processes of regulatory style and reflexivity among working professionals, Study 3 is designed to apply the experimental work from Studies 1 and 2 into an actual, dynamic decision environment and offer external validity to the studies conducted in the laboratory. Table 6 shows an overview of Studies 1, 2, and 3.</w:t>
      </w:r>
    </w:p>
    <w:p w:rsidR="00070FC5" w:rsidRPr="00CC73F3" w:rsidRDefault="00070FC5" w:rsidP="00D639F5">
      <w:pPr>
        <w:spacing w:line="480" w:lineRule="auto"/>
        <w:rPr>
          <w:sz w:val="22"/>
        </w:rPr>
        <w:sectPr w:rsidR="00070FC5" w:rsidRPr="00CC73F3" w:rsidSect="00D639F5">
          <w:footerReference w:type="default" r:id="rId13"/>
          <w:pgSz w:w="12240" w:h="15840"/>
          <w:pgMar w:top="1440" w:right="1440" w:bottom="1440" w:left="1440" w:header="720" w:footer="720" w:gutter="0"/>
          <w:cols w:space="720"/>
          <w:docGrid w:linePitch="360"/>
        </w:sectPr>
      </w:pPr>
      <w:r w:rsidRPr="00CC73F3">
        <w:tab/>
        <w:t xml:space="preserve">As with any program of research these studies have both strengths and weaknesses in measurement, generalizability, and realism </w:t>
      </w:r>
      <w:r w:rsidRPr="00CC73F3">
        <w:rPr>
          <w:noProof/>
        </w:rPr>
        <w:t>(McGrath, 1981)</w:t>
      </w:r>
      <w:r w:rsidRPr="00CC73F3">
        <w:t xml:space="preserve">.This sequence of studies was designed to address this issue so that the empirical results provide a more holistic view of the phenomenon under study. </w:t>
      </w:r>
    </w:p>
    <w:p w:rsidR="00070FC5" w:rsidRPr="00CC73F3" w:rsidRDefault="00070FC5" w:rsidP="00D639F5">
      <w:pPr>
        <w:pStyle w:val="Caption"/>
      </w:pPr>
      <w:bookmarkStart w:id="50" w:name="_Toc420570931"/>
      <w:proofErr w:type="gramStart"/>
      <w:r w:rsidRPr="00CC73F3">
        <w:t xml:space="preserve">Table </w:t>
      </w:r>
      <w:fldSimple w:instr=" SEQ Table \* ARABIC ">
        <w:r w:rsidRPr="00CC73F3">
          <w:rPr>
            <w:noProof/>
          </w:rPr>
          <w:t>6</w:t>
        </w:r>
      </w:fldSimple>
      <w:r w:rsidRPr="00CC73F3">
        <w:t>.</w:t>
      </w:r>
      <w:proofErr w:type="gramEnd"/>
      <w:r w:rsidRPr="00CC73F3">
        <w:t xml:space="preserve"> Overview of Studies</w:t>
      </w:r>
      <w:bookmarkEnd w:id="50"/>
    </w:p>
    <w:tbl>
      <w:tblPr>
        <w:tblW w:w="14940" w:type="dxa"/>
        <w:tblInd w:w="-882" w:type="dxa"/>
        <w:tblLayout w:type="fixed"/>
        <w:tblLook w:val="04A0" w:firstRow="1" w:lastRow="0" w:firstColumn="1" w:lastColumn="0" w:noHBand="0" w:noVBand="1"/>
      </w:tblPr>
      <w:tblGrid>
        <w:gridCol w:w="1170"/>
        <w:gridCol w:w="1440"/>
        <w:gridCol w:w="1530"/>
        <w:gridCol w:w="1800"/>
        <w:gridCol w:w="2160"/>
        <w:gridCol w:w="2160"/>
        <w:gridCol w:w="2340"/>
        <w:gridCol w:w="2340"/>
      </w:tblGrid>
      <w:tr w:rsidR="00070FC5" w:rsidRPr="00CC73F3" w:rsidTr="00D639F5">
        <w:tc>
          <w:tcPr>
            <w:tcW w:w="1170" w:type="dxa"/>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Study</w:t>
            </w:r>
          </w:p>
        </w:tc>
        <w:tc>
          <w:tcPr>
            <w:tcW w:w="1440" w:type="dxa"/>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Hypotheses</w:t>
            </w:r>
          </w:p>
        </w:tc>
        <w:tc>
          <w:tcPr>
            <w:tcW w:w="1530" w:type="dxa"/>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Method</w:t>
            </w:r>
          </w:p>
        </w:tc>
        <w:tc>
          <w:tcPr>
            <w:tcW w:w="1800" w:type="dxa"/>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 xml:space="preserve">Independent </w:t>
            </w:r>
            <w:r w:rsidRPr="00CC73F3">
              <w:rPr>
                <w:rFonts w:eastAsia="Calibri"/>
                <w:b/>
              </w:rPr>
              <w:br/>
              <w:t>Variables</w:t>
            </w:r>
          </w:p>
        </w:tc>
        <w:tc>
          <w:tcPr>
            <w:tcW w:w="2160" w:type="dxa"/>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 xml:space="preserve">Dependent </w:t>
            </w:r>
            <w:r w:rsidRPr="00CC73F3">
              <w:rPr>
                <w:rFonts w:eastAsia="Calibri"/>
                <w:b/>
              </w:rPr>
              <w:br/>
              <w:t>Variables</w:t>
            </w:r>
          </w:p>
        </w:tc>
        <w:tc>
          <w:tcPr>
            <w:tcW w:w="2160" w:type="dxa"/>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 xml:space="preserve">Study </w:t>
            </w:r>
            <w:r w:rsidRPr="00CC73F3">
              <w:rPr>
                <w:rFonts w:eastAsia="Calibri"/>
                <w:b/>
              </w:rPr>
              <w:br/>
              <w:t>Strengths</w:t>
            </w:r>
          </w:p>
        </w:tc>
        <w:tc>
          <w:tcPr>
            <w:tcW w:w="2340" w:type="dxa"/>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 xml:space="preserve">Study </w:t>
            </w:r>
            <w:r w:rsidRPr="00CC73F3">
              <w:rPr>
                <w:rFonts w:eastAsia="Calibri"/>
                <w:b/>
              </w:rPr>
              <w:br/>
              <w:t>Weaknesses</w:t>
            </w:r>
          </w:p>
        </w:tc>
        <w:tc>
          <w:tcPr>
            <w:tcW w:w="2340" w:type="dxa"/>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Contribution</w:t>
            </w:r>
          </w:p>
        </w:tc>
      </w:tr>
      <w:tr w:rsidR="00070FC5" w:rsidRPr="00CC73F3" w:rsidTr="00D639F5">
        <w:tc>
          <w:tcPr>
            <w:tcW w:w="1170" w:type="dxa"/>
            <w:tcBorders>
              <w:top w:val="single" w:sz="18" w:space="0" w:color="auto"/>
            </w:tcBorders>
            <w:shd w:val="clear" w:color="auto" w:fill="auto"/>
            <w:vAlign w:val="center"/>
          </w:tcPr>
          <w:p w:rsidR="00070FC5" w:rsidRPr="00CC73F3" w:rsidRDefault="00070FC5" w:rsidP="00D639F5">
            <w:pPr>
              <w:rPr>
                <w:rFonts w:eastAsia="Calibri"/>
                <w:i/>
              </w:rPr>
            </w:pPr>
            <w:r w:rsidRPr="00CC73F3">
              <w:rPr>
                <w:rFonts w:eastAsia="Calibri"/>
                <w:i/>
              </w:rPr>
              <w:t>Study 1</w:t>
            </w:r>
          </w:p>
        </w:tc>
        <w:tc>
          <w:tcPr>
            <w:tcW w:w="1440" w:type="dxa"/>
            <w:tcBorders>
              <w:top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H1, H2, H3</w:t>
            </w:r>
          </w:p>
        </w:tc>
        <w:tc>
          <w:tcPr>
            <w:tcW w:w="1530" w:type="dxa"/>
            <w:tcBorders>
              <w:top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 xml:space="preserve">Lab </w:t>
            </w:r>
            <w:r w:rsidRPr="00CC73F3">
              <w:rPr>
                <w:rFonts w:eastAsia="Calibri"/>
              </w:rPr>
              <w:br/>
              <w:t>Experiment,</w:t>
            </w:r>
          </w:p>
          <w:p w:rsidR="00070FC5" w:rsidRPr="00CC73F3" w:rsidRDefault="00070FC5" w:rsidP="00D639F5">
            <w:pPr>
              <w:rPr>
                <w:rFonts w:eastAsia="Calibri"/>
              </w:rPr>
            </w:pPr>
            <w:r w:rsidRPr="00CC73F3">
              <w:rPr>
                <w:rFonts w:eastAsia="Calibri"/>
              </w:rPr>
              <w:t>2 x 2 between subjects design</w:t>
            </w:r>
          </w:p>
        </w:tc>
        <w:tc>
          <w:tcPr>
            <w:tcW w:w="1800" w:type="dxa"/>
            <w:tcBorders>
              <w:top w:val="single" w:sz="18" w:space="0" w:color="auto"/>
            </w:tcBorders>
            <w:shd w:val="clear" w:color="auto" w:fill="auto"/>
            <w:vAlign w:val="center"/>
          </w:tcPr>
          <w:p w:rsidR="00070FC5" w:rsidRPr="00CC73F3" w:rsidRDefault="00070FC5" w:rsidP="00D639F5">
            <w:pPr>
              <w:numPr>
                <w:ilvl w:val="0"/>
                <w:numId w:val="8"/>
              </w:numPr>
              <w:ind w:left="181" w:hanging="195"/>
              <w:contextualSpacing/>
              <w:rPr>
                <w:rFonts w:eastAsia="Calibri"/>
              </w:rPr>
            </w:pPr>
            <w:r w:rsidRPr="00CC73F3">
              <w:rPr>
                <w:rFonts w:eastAsia="Calibri"/>
              </w:rPr>
              <w:t>Regulatory Style</w:t>
            </w:r>
            <w:r w:rsidRPr="00CC73F3">
              <w:rPr>
                <w:rFonts w:eastAsia="Calibri"/>
              </w:rPr>
              <w:br/>
            </w:r>
          </w:p>
          <w:p w:rsidR="00070FC5" w:rsidRPr="00CC73F3" w:rsidRDefault="00070FC5" w:rsidP="00D639F5">
            <w:pPr>
              <w:numPr>
                <w:ilvl w:val="0"/>
                <w:numId w:val="8"/>
              </w:numPr>
              <w:ind w:left="181" w:hanging="195"/>
              <w:contextualSpacing/>
              <w:rPr>
                <w:rFonts w:eastAsia="Calibri"/>
              </w:rPr>
            </w:pPr>
            <w:r w:rsidRPr="00CC73F3">
              <w:rPr>
                <w:rFonts w:eastAsia="Calibri"/>
              </w:rPr>
              <w:t>Reflexivity</w:t>
            </w:r>
          </w:p>
          <w:p w:rsidR="00070FC5" w:rsidRPr="00CC73F3" w:rsidRDefault="00070FC5" w:rsidP="00D639F5">
            <w:pPr>
              <w:rPr>
                <w:rFonts w:eastAsia="Calibri"/>
              </w:rPr>
            </w:pPr>
          </w:p>
        </w:tc>
        <w:tc>
          <w:tcPr>
            <w:tcW w:w="2160" w:type="dxa"/>
            <w:tcBorders>
              <w:top w:val="single" w:sz="18" w:space="0" w:color="auto"/>
            </w:tcBorders>
            <w:shd w:val="clear" w:color="auto" w:fill="auto"/>
            <w:vAlign w:val="center"/>
          </w:tcPr>
          <w:p w:rsidR="00070FC5" w:rsidRPr="00CC73F3" w:rsidRDefault="00070FC5" w:rsidP="00D639F5">
            <w:pPr>
              <w:ind w:left="162"/>
              <w:contextualSpacing/>
              <w:rPr>
                <w:rFonts w:eastAsia="Calibri"/>
              </w:rPr>
            </w:pPr>
            <w:r w:rsidRPr="00CC73F3">
              <w:rPr>
                <w:rFonts w:eastAsia="Calibri"/>
              </w:rPr>
              <w:t>Distance from expert assessments of new product innovativeness</w:t>
            </w:r>
          </w:p>
          <w:p w:rsidR="00070FC5" w:rsidRPr="00CC73F3" w:rsidRDefault="00070FC5" w:rsidP="00D639F5">
            <w:pPr>
              <w:ind w:left="162"/>
              <w:contextualSpacing/>
              <w:rPr>
                <w:rFonts w:eastAsia="Calibri"/>
              </w:rPr>
            </w:pPr>
            <w:r w:rsidRPr="00CC73F3">
              <w:rPr>
                <w:rFonts w:eastAsia="Calibri"/>
              </w:rPr>
              <w:t>(novelty, meaningfulness, and feasibility)</w:t>
            </w:r>
          </w:p>
        </w:tc>
        <w:tc>
          <w:tcPr>
            <w:tcW w:w="2160" w:type="dxa"/>
            <w:tcBorders>
              <w:top w:val="single" w:sz="18" w:space="0" w:color="auto"/>
            </w:tcBorders>
            <w:shd w:val="clear" w:color="auto" w:fill="auto"/>
            <w:vAlign w:val="center"/>
          </w:tcPr>
          <w:p w:rsidR="00070FC5" w:rsidRPr="00CC73F3" w:rsidRDefault="00070FC5" w:rsidP="00D639F5">
            <w:pPr>
              <w:numPr>
                <w:ilvl w:val="0"/>
                <w:numId w:val="4"/>
              </w:numPr>
              <w:ind w:left="162" w:hanging="180"/>
              <w:contextualSpacing/>
              <w:rPr>
                <w:rFonts w:eastAsia="Calibri"/>
              </w:rPr>
            </w:pPr>
            <w:r w:rsidRPr="00CC73F3">
              <w:rPr>
                <w:rFonts w:eastAsia="Calibri"/>
              </w:rPr>
              <w:t>Controlled setting for testing causal relationships</w:t>
            </w:r>
          </w:p>
          <w:p w:rsidR="00070FC5" w:rsidRPr="00CC73F3" w:rsidRDefault="00070FC5" w:rsidP="00D639F5">
            <w:pPr>
              <w:ind w:left="162"/>
              <w:contextualSpacing/>
              <w:rPr>
                <w:rFonts w:eastAsia="Calibri"/>
              </w:rPr>
            </w:pPr>
          </w:p>
          <w:p w:rsidR="00070FC5" w:rsidRPr="00CC73F3" w:rsidRDefault="00070FC5" w:rsidP="00D639F5">
            <w:pPr>
              <w:numPr>
                <w:ilvl w:val="0"/>
                <w:numId w:val="4"/>
              </w:numPr>
              <w:ind w:left="162" w:hanging="180"/>
              <w:contextualSpacing/>
              <w:rPr>
                <w:rFonts w:eastAsia="Calibri"/>
              </w:rPr>
            </w:pPr>
            <w:r w:rsidRPr="00CC73F3">
              <w:rPr>
                <w:rFonts w:eastAsia="Calibri"/>
              </w:rPr>
              <w:t>Uses real-world user innovation idea submissions</w:t>
            </w:r>
          </w:p>
          <w:p w:rsidR="00070FC5" w:rsidRPr="00CC73F3" w:rsidRDefault="00070FC5" w:rsidP="00D639F5">
            <w:pPr>
              <w:rPr>
                <w:rFonts w:eastAsia="Calibri"/>
              </w:rPr>
            </w:pPr>
          </w:p>
        </w:tc>
        <w:tc>
          <w:tcPr>
            <w:tcW w:w="2340" w:type="dxa"/>
            <w:tcBorders>
              <w:top w:val="single" w:sz="18" w:space="0" w:color="auto"/>
            </w:tcBorders>
            <w:shd w:val="clear" w:color="auto" w:fill="auto"/>
            <w:vAlign w:val="center"/>
          </w:tcPr>
          <w:p w:rsidR="00070FC5" w:rsidRPr="00CC73F3" w:rsidRDefault="00070FC5" w:rsidP="00D639F5">
            <w:pPr>
              <w:ind w:left="142"/>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numPr>
                <w:ilvl w:val="0"/>
                <w:numId w:val="4"/>
              </w:numPr>
              <w:ind w:left="142" w:hanging="180"/>
              <w:contextualSpacing/>
              <w:rPr>
                <w:rFonts w:eastAsia="Calibri"/>
              </w:rPr>
            </w:pPr>
            <w:r w:rsidRPr="00CC73F3">
              <w:rPr>
                <w:rFonts w:eastAsia="Calibri"/>
              </w:rPr>
              <w:t>Student sample</w:t>
            </w:r>
          </w:p>
          <w:p w:rsidR="00070FC5" w:rsidRPr="00CC73F3" w:rsidRDefault="00070FC5" w:rsidP="00D639F5">
            <w:pPr>
              <w:ind w:left="142"/>
              <w:contextualSpacing/>
              <w:rPr>
                <w:rFonts w:eastAsia="Calibri"/>
              </w:rPr>
            </w:pPr>
          </w:p>
          <w:p w:rsidR="00070FC5" w:rsidRPr="00CC73F3" w:rsidRDefault="00070FC5" w:rsidP="00D639F5">
            <w:pPr>
              <w:numPr>
                <w:ilvl w:val="0"/>
                <w:numId w:val="4"/>
              </w:numPr>
              <w:ind w:left="142" w:hanging="180"/>
              <w:contextualSpacing/>
              <w:rPr>
                <w:rFonts w:eastAsia="Calibri"/>
              </w:rPr>
            </w:pPr>
            <w:r w:rsidRPr="00CC73F3">
              <w:rPr>
                <w:rFonts w:eastAsia="Calibri"/>
              </w:rPr>
              <w:t>Dependent variable not based on objective performance</w:t>
            </w:r>
            <w:r w:rsidRPr="00CC73F3">
              <w:rPr>
                <w:rFonts w:eastAsia="Calibri"/>
              </w:rPr>
              <w:br/>
            </w:r>
          </w:p>
          <w:p w:rsidR="00070FC5" w:rsidRPr="00CC73F3" w:rsidRDefault="00070FC5" w:rsidP="00D639F5">
            <w:pPr>
              <w:numPr>
                <w:ilvl w:val="0"/>
                <w:numId w:val="4"/>
              </w:numPr>
              <w:ind w:left="142" w:hanging="180"/>
              <w:contextualSpacing/>
              <w:rPr>
                <w:rFonts w:eastAsia="Calibri"/>
              </w:rPr>
            </w:pPr>
            <w:r w:rsidRPr="00CC73F3">
              <w:rPr>
                <w:rFonts w:eastAsia="Calibri"/>
              </w:rPr>
              <w:t>Lab experiment lacks the external validity of a field study</w:t>
            </w:r>
          </w:p>
          <w:p w:rsidR="00070FC5" w:rsidRPr="00CC73F3" w:rsidRDefault="00070FC5" w:rsidP="00D639F5">
            <w:pPr>
              <w:rPr>
                <w:rFonts w:eastAsia="Calibri"/>
              </w:rPr>
            </w:pPr>
          </w:p>
          <w:p w:rsidR="00070FC5" w:rsidRPr="00CC73F3" w:rsidRDefault="00070FC5" w:rsidP="00D639F5">
            <w:pPr>
              <w:rPr>
                <w:rFonts w:eastAsia="Calibri"/>
              </w:rPr>
            </w:pPr>
          </w:p>
          <w:p w:rsidR="00070FC5" w:rsidRPr="00CC73F3" w:rsidRDefault="00070FC5" w:rsidP="00D639F5">
            <w:pPr>
              <w:rPr>
                <w:rFonts w:eastAsia="Calibri"/>
              </w:rPr>
            </w:pPr>
          </w:p>
        </w:tc>
        <w:tc>
          <w:tcPr>
            <w:tcW w:w="2340" w:type="dxa"/>
            <w:tcBorders>
              <w:top w:val="single" w:sz="18" w:space="0" w:color="auto"/>
            </w:tcBorders>
            <w:shd w:val="clear" w:color="auto" w:fill="auto"/>
            <w:vAlign w:val="center"/>
          </w:tcPr>
          <w:p w:rsidR="00070FC5" w:rsidRPr="00CC73F3" w:rsidRDefault="00070FC5" w:rsidP="00D639F5">
            <w:pPr>
              <w:contextualSpacing/>
              <w:rPr>
                <w:rFonts w:eastAsia="Calibri"/>
              </w:rPr>
            </w:pPr>
            <w:r w:rsidRPr="00CC73F3">
              <w:rPr>
                <w:rFonts w:eastAsia="Calibri"/>
              </w:rPr>
              <w:t>Study 1 is designed to test the main and interactive effects of regulatory style and reflexivity on team decisions about customer idea innovativeness.</w:t>
            </w:r>
          </w:p>
        </w:tc>
      </w:tr>
      <w:tr w:rsidR="00070FC5" w:rsidRPr="00CC73F3" w:rsidTr="00D639F5">
        <w:tc>
          <w:tcPr>
            <w:tcW w:w="1170" w:type="dxa"/>
            <w:shd w:val="clear" w:color="auto" w:fill="auto"/>
            <w:vAlign w:val="center"/>
          </w:tcPr>
          <w:p w:rsidR="00070FC5" w:rsidRPr="00CC73F3" w:rsidRDefault="00070FC5" w:rsidP="00D639F5">
            <w:pPr>
              <w:rPr>
                <w:rFonts w:eastAsia="Calibri"/>
                <w:i/>
              </w:rPr>
            </w:pPr>
            <w:r w:rsidRPr="00CC73F3">
              <w:rPr>
                <w:rFonts w:eastAsia="Calibri"/>
                <w:i/>
              </w:rPr>
              <w:t>Study 2</w:t>
            </w:r>
          </w:p>
        </w:tc>
        <w:tc>
          <w:tcPr>
            <w:tcW w:w="1440" w:type="dxa"/>
            <w:shd w:val="clear" w:color="auto" w:fill="auto"/>
            <w:vAlign w:val="center"/>
          </w:tcPr>
          <w:p w:rsidR="00070FC5" w:rsidRPr="00CC73F3" w:rsidRDefault="00070FC5" w:rsidP="00D639F5">
            <w:pPr>
              <w:rPr>
                <w:rFonts w:eastAsia="Calibri"/>
              </w:rPr>
            </w:pPr>
            <w:r w:rsidRPr="00CC73F3">
              <w:rPr>
                <w:rFonts w:eastAsia="Calibri"/>
              </w:rPr>
              <w:t>H4, H5, H6</w:t>
            </w:r>
          </w:p>
        </w:tc>
        <w:tc>
          <w:tcPr>
            <w:tcW w:w="1530" w:type="dxa"/>
            <w:shd w:val="clear" w:color="auto" w:fill="auto"/>
            <w:vAlign w:val="center"/>
          </w:tcPr>
          <w:p w:rsidR="00070FC5" w:rsidRPr="00CC73F3" w:rsidRDefault="00070FC5" w:rsidP="00D639F5">
            <w:pPr>
              <w:rPr>
                <w:rFonts w:eastAsia="Calibri"/>
              </w:rPr>
            </w:pPr>
            <w:r w:rsidRPr="00CC73F3">
              <w:rPr>
                <w:rFonts w:eastAsia="Calibri"/>
              </w:rPr>
              <w:t>Lab</w:t>
            </w:r>
            <w:r w:rsidRPr="00CC73F3">
              <w:rPr>
                <w:rFonts w:eastAsia="Calibri"/>
              </w:rPr>
              <w:br/>
              <w:t>Experiment,</w:t>
            </w:r>
          </w:p>
          <w:p w:rsidR="00070FC5" w:rsidRPr="00CC73F3" w:rsidRDefault="00070FC5" w:rsidP="00D639F5">
            <w:pPr>
              <w:rPr>
                <w:rFonts w:eastAsia="Calibri"/>
              </w:rPr>
            </w:pPr>
            <w:r w:rsidRPr="00CC73F3">
              <w:rPr>
                <w:rFonts w:eastAsia="Calibri"/>
              </w:rPr>
              <w:t>2 x 2 between subjects design</w:t>
            </w:r>
          </w:p>
        </w:tc>
        <w:tc>
          <w:tcPr>
            <w:tcW w:w="1800" w:type="dxa"/>
            <w:shd w:val="clear" w:color="auto" w:fill="auto"/>
            <w:vAlign w:val="center"/>
          </w:tcPr>
          <w:p w:rsidR="00070FC5" w:rsidRPr="00CC73F3" w:rsidRDefault="00070FC5" w:rsidP="00D639F5">
            <w:pPr>
              <w:numPr>
                <w:ilvl w:val="0"/>
                <w:numId w:val="8"/>
              </w:numPr>
              <w:ind w:left="181" w:hanging="195"/>
              <w:contextualSpacing/>
              <w:rPr>
                <w:rFonts w:eastAsia="Calibri"/>
              </w:rPr>
            </w:pPr>
            <w:r w:rsidRPr="00CC73F3">
              <w:rPr>
                <w:rFonts w:eastAsia="Calibri"/>
              </w:rPr>
              <w:t>Regulatory Style</w:t>
            </w:r>
          </w:p>
          <w:p w:rsidR="00070FC5" w:rsidRPr="00CC73F3" w:rsidRDefault="00070FC5" w:rsidP="00D639F5">
            <w:pPr>
              <w:ind w:left="181"/>
              <w:contextualSpacing/>
              <w:rPr>
                <w:rFonts w:eastAsia="Calibri"/>
              </w:rPr>
            </w:pPr>
          </w:p>
          <w:p w:rsidR="00070FC5" w:rsidRPr="00CC73F3" w:rsidRDefault="00070FC5" w:rsidP="00D639F5">
            <w:pPr>
              <w:numPr>
                <w:ilvl w:val="0"/>
                <w:numId w:val="8"/>
              </w:numPr>
              <w:ind w:left="181" w:hanging="195"/>
              <w:contextualSpacing/>
              <w:rPr>
                <w:rFonts w:eastAsia="Calibri"/>
              </w:rPr>
            </w:pPr>
            <w:r w:rsidRPr="00CC73F3">
              <w:rPr>
                <w:rFonts w:eastAsia="Calibri"/>
              </w:rPr>
              <w:t>Reflexivity</w:t>
            </w:r>
          </w:p>
          <w:p w:rsidR="00070FC5" w:rsidRPr="00CC73F3" w:rsidRDefault="00070FC5" w:rsidP="00D639F5">
            <w:pPr>
              <w:ind w:left="181"/>
              <w:contextualSpacing/>
              <w:rPr>
                <w:rFonts w:eastAsia="Calibri"/>
              </w:rPr>
            </w:pPr>
          </w:p>
        </w:tc>
        <w:tc>
          <w:tcPr>
            <w:tcW w:w="2160" w:type="dxa"/>
            <w:shd w:val="clear" w:color="auto" w:fill="auto"/>
            <w:vAlign w:val="center"/>
          </w:tcPr>
          <w:p w:rsidR="00070FC5" w:rsidRPr="00CC73F3" w:rsidRDefault="00070FC5" w:rsidP="00D639F5">
            <w:pPr>
              <w:numPr>
                <w:ilvl w:val="0"/>
                <w:numId w:val="6"/>
              </w:numPr>
              <w:ind w:left="162" w:hanging="180"/>
              <w:contextualSpacing/>
              <w:rPr>
                <w:rFonts w:eastAsia="Calibri"/>
              </w:rPr>
            </w:pPr>
            <w:r w:rsidRPr="00CC73F3">
              <w:rPr>
                <w:rFonts w:eastAsia="Calibri"/>
              </w:rPr>
              <w:t>Positive Hits</w:t>
            </w:r>
          </w:p>
          <w:p w:rsidR="00070FC5" w:rsidRPr="00CC73F3" w:rsidRDefault="00070FC5" w:rsidP="00D639F5">
            <w:pPr>
              <w:ind w:left="162"/>
              <w:contextualSpacing/>
              <w:rPr>
                <w:rFonts w:eastAsia="Calibri"/>
              </w:rPr>
            </w:pPr>
          </w:p>
          <w:p w:rsidR="00070FC5" w:rsidRPr="00CC73F3" w:rsidRDefault="00070FC5" w:rsidP="00D639F5">
            <w:pPr>
              <w:numPr>
                <w:ilvl w:val="0"/>
                <w:numId w:val="6"/>
              </w:numPr>
              <w:ind w:left="162" w:hanging="180"/>
              <w:contextualSpacing/>
              <w:rPr>
                <w:rFonts w:eastAsia="Calibri"/>
              </w:rPr>
            </w:pPr>
            <w:r w:rsidRPr="00CC73F3">
              <w:rPr>
                <w:rFonts w:eastAsia="Calibri"/>
              </w:rPr>
              <w:t>Negative Hits</w:t>
            </w:r>
          </w:p>
        </w:tc>
        <w:tc>
          <w:tcPr>
            <w:tcW w:w="2160" w:type="dxa"/>
            <w:shd w:val="clear" w:color="auto" w:fill="auto"/>
            <w:vAlign w:val="center"/>
          </w:tcPr>
          <w:p w:rsidR="00070FC5" w:rsidRPr="00CC73F3" w:rsidRDefault="00070FC5" w:rsidP="00D639F5">
            <w:pPr>
              <w:contextualSpacing/>
              <w:rPr>
                <w:rFonts w:eastAsia="Calibri"/>
              </w:rPr>
            </w:pPr>
          </w:p>
          <w:p w:rsidR="00070FC5" w:rsidRPr="00CC73F3" w:rsidRDefault="00070FC5" w:rsidP="00D639F5">
            <w:pPr>
              <w:numPr>
                <w:ilvl w:val="0"/>
                <w:numId w:val="2"/>
              </w:numPr>
              <w:ind w:left="162" w:hanging="180"/>
              <w:contextualSpacing/>
              <w:rPr>
                <w:rFonts w:eastAsia="Calibri"/>
              </w:rPr>
            </w:pPr>
            <w:r w:rsidRPr="00CC73F3">
              <w:rPr>
                <w:rFonts w:eastAsia="Calibri"/>
              </w:rPr>
              <w:t>Controlled setting for testing causal relationships</w:t>
            </w:r>
          </w:p>
          <w:p w:rsidR="00070FC5" w:rsidRPr="00CC73F3" w:rsidRDefault="00070FC5" w:rsidP="00D639F5">
            <w:pPr>
              <w:ind w:left="162"/>
              <w:contextualSpacing/>
              <w:rPr>
                <w:rFonts w:eastAsia="Calibri"/>
              </w:rPr>
            </w:pPr>
          </w:p>
          <w:p w:rsidR="00070FC5" w:rsidRPr="00CC73F3" w:rsidRDefault="00070FC5" w:rsidP="00D639F5">
            <w:pPr>
              <w:numPr>
                <w:ilvl w:val="0"/>
                <w:numId w:val="2"/>
              </w:numPr>
              <w:ind w:left="162" w:hanging="180"/>
              <w:contextualSpacing/>
              <w:rPr>
                <w:rFonts w:eastAsia="Calibri"/>
              </w:rPr>
            </w:pPr>
            <w:r w:rsidRPr="00CC73F3">
              <w:rPr>
                <w:rFonts w:eastAsia="Calibri"/>
              </w:rPr>
              <w:t>Uses real-world performance data as dependent variable</w:t>
            </w: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p w:rsidR="00070FC5" w:rsidRPr="00CC73F3" w:rsidRDefault="00070FC5" w:rsidP="00D639F5">
            <w:pPr>
              <w:contextualSpacing/>
              <w:rPr>
                <w:rFonts w:eastAsia="Calibri"/>
              </w:rPr>
            </w:pPr>
          </w:p>
        </w:tc>
        <w:tc>
          <w:tcPr>
            <w:tcW w:w="2340" w:type="dxa"/>
            <w:shd w:val="clear" w:color="auto" w:fill="auto"/>
            <w:vAlign w:val="center"/>
          </w:tcPr>
          <w:p w:rsidR="00070FC5" w:rsidRPr="00CC73F3" w:rsidRDefault="00070FC5" w:rsidP="00D639F5">
            <w:pPr>
              <w:numPr>
                <w:ilvl w:val="0"/>
                <w:numId w:val="2"/>
              </w:numPr>
              <w:ind w:left="162" w:hanging="180"/>
              <w:contextualSpacing/>
              <w:rPr>
                <w:rFonts w:eastAsia="Calibri"/>
              </w:rPr>
            </w:pPr>
            <w:r w:rsidRPr="00CC73F3">
              <w:rPr>
                <w:rFonts w:eastAsia="Calibri"/>
              </w:rPr>
              <w:t>Student sample</w:t>
            </w:r>
          </w:p>
          <w:p w:rsidR="00070FC5" w:rsidRPr="00CC73F3" w:rsidRDefault="00070FC5" w:rsidP="00D639F5">
            <w:pPr>
              <w:ind w:left="162"/>
              <w:contextualSpacing/>
              <w:rPr>
                <w:rFonts w:eastAsia="Calibri"/>
              </w:rPr>
            </w:pPr>
          </w:p>
          <w:p w:rsidR="00070FC5" w:rsidRPr="00CC73F3" w:rsidRDefault="00070FC5" w:rsidP="00D639F5">
            <w:pPr>
              <w:numPr>
                <w:ilvl w:val="0"/>
                <w:numId w:val="2"/>
              </w:numPr>
              <w:ind w:left="162" w:hanging="180"/>
              <w:contextualSpacing/>
              <w:rPr>
                <w:rFonts w:eastAsia="Calibri"/>
              </w:rPr>
            </w:pPr>
            <w:r w:rsidRPr="00CC73F3">
              <w:rPr>
                <w:rFonts w:eastAsia="Calibri"/>
              </w:rPr>
              <w:t>Lab experiment lacks the external validity of a field study</w:t>
            </w:r>
          </w:p>
        </w:tc>
        <w:tc>
          <w:tcPr>
            <w:tcW w:w="2340" w:type="dxa"/>
            <w:shd w:val="clear" w:color="auto" w:fill="auto"/>
            <w:vAlign w:val="center"/>
          </w:tcPr>
          <w:p w:rsidR="00070FC5" w:rsidRPr="00CC73F3" w:rsidRDefault="00070FC5" w:rsidP="00D639F5">
            <w:pPr>
              <w:contextualSpacing/>
              <w:rPr>
                <w:rFonts w:eastAsia="Calibri"/>
              </w:rPr>
            </w:pPr>
            <w:r w:rsidRPr="00CC73F3">
              <w:rPr>
                <w:rFonts w:eastAsia="Calibri"/>
              </w:rPr>
              <w:t>Study 2 replicates and extends Study 1 by comparing team decisions to real-world cocreated product performance data.</w:t>
            </w:r>
          </w:p>
        </w:tc>
      </w:tr>
      <w:tr w:rsidR="00070FC5" w:rsidRPr="00CC73F3" w:rsidTr="00D639F5">
        <w:tc>
          <w:tcPr>
            <w:tcW w:w="1170" w:type="dxa"/>
            <w:tcBorders>
              <w:bottom w:val="single" w:sz="18" w:space="0" w:color="auto"/>
            </w:tcBorders>
            <w:shd w:val="clear" w:color="auto" w:fill="auto"/>
            <w:vAlign w:val="center"/>
          </w:tcPr>
          <w:p w:rsidR="00070FC5" w:rsidRPr="00CC73F3" w:rsidRDefault="00070FC5" w:rsidP="00D639F5">
            <w:pPr>
              <w:rPr>
                <w:rFonts w:eastAsia="Calibri"/>
                <w:i/>
              </w:rPr>
            </w:pPr>
            <w:r w:rsidRPr="00CC73F3">
              <w:rPr>
                <w:rFonts w:eastAsia="Calibri"/>
                <w:i/>
              </w:rPr>
              <w:t>Study 3</w:t>
            </w:r>
          </w:p>
        </w:tc>
        <w:tc>
          <w:tcPr>
            <w:tcW w:w="1440" w:type="dxa"/>
            <w:tcBorders>
              <w:bottom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H4, H5, H6, H7, H8</w:t>
            </w:r>
          </w:p>
        </w:tc>
        <w:tc>
          <w:tcPr>
            <w:tcW w:w="1530" w:type="dxa"/>
            <w:tcBorders>
              <w:bottom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Virtual ethnography of evaluation and selection meetings for cocreated new product concepts</w:t>
            </w:r>
          </w:p>
        </w:tc>
        <w:tc>
          <w:tcPr>
            <w:tcW w:w="1800" w:type="dxa"/>
            <w:tcBorders>
              <w:bottom w:val="single" w:sz="18" w:space="0" w:color="auto"/>
            </w:tcBorders>
            <w:shd w:val="clear" w:color="auto" w:fill="auto"/>
            <w:vAlign w:val="center"/>
          </w:tcPr>
          <w:p w:rsidR="00070FC5" w:rsidRPr="00CC73F3" w:rsidRDefault="00070FC5" w:rsidP="00D639F5">
            <w:pPr>
              <w:pStyle w:val="ListParagraph"/>
              <w:numPr>
                <w:ilvl w:val="0"/>
                <w:numId w:val="9"/>
              </w:numPr>
              <w:spacing w:line="240" w:lineRule="auto"/>
              <w:ind w:left="162" w:hanging="180"/>
            </w:pPr>
            <w:r w:rsidRPr="00CC73F3">
              <w:t>Regulatory Style</w:t>
            </w:r>
          </w:p>
          <w:p w:rsidR="00070FC5" w:rsidRPr="00CC73F3" w:rsidRDefault="00070FC5" w:rsidP="00D639F5">
            <w:pPr>
              <w:pStyle w:val="ListParagraph"/>
              <w:spacing w:line="240" w:lineRule="auto"/>
              <w:ind w:left="162"/>
            </w:pPr>
          </w:p>
          <w:p w:rsidR="00070FC5" w:rsidRPr="00CC73F3" w:rsidRDefault="00070FC5" w:rsidP="00D639F5">
            <w:pPr>
              <w:pStyle w:val="ListParagraph"/>
              <w:numPr>
                <w:ilvl w:val="0"/>
                <w:numId w:val="9"/>
              </w:numPr>
              <w:spacing w:line="240" w:lineRule="auto"/>
              <w:ind w:left="162" w:hanging="180"/>
            </w:pPr>
            <w:r w:rsidRPr="00CC73F3">
              <w:t>Reflexivity</w:t>
            </w:r>
            <w:r w:rsidRPr="00CC73F3">
              <w:br/>
            </w:r>
          </w:p>
          <w:p w:rsidR="00070FC5" w:rsidRPr="00CC73F3" w:rsidRDefault="00070FC5" w:rsidP="00D639F5">
            <w:pPr>
              <w:pStyle w:val="ListParagraph"/>
              <w:numPr>
                <w:ilvl w:val="0"/>
                <w:numId w:val="9"/>
              </w:numPr>
              <w:spacing w:line="240" w:lineRule="auto"/>
              <w:ind w:left="162" w:hanging="180"/>
            </w:pPr>
            <w:r w:rsidRPr="00CC73F3">
              <w:t>Customers’ innovation expertise</w:t>
            </w:r>
          </w:p>
          <w:p w:rsidR="00070FC5" w:rsidRPr="00CC73F3" w:rsidRDefault="00070FC5" w:rsidP="00D639F5">
            <w:pPr>
              <w:pStyle w:val="ListParagraph"/>
              <w:spacing w:line="240" w:lineRule="auto"/>
              <w:ind w:left="162"/>
            </w:pPr>
          </w:p>
        </w:tc>
        <w:tc>
          <w:tcPr>
            <w:tcW w:w="2160" w:type="dxa"/>
            <w:tcBorders>
              <w:bottom w:val="single" w:sz="18" w:space="0" w:color="auto"/>
            </w:tcBorders>
            <w:shd w:val="clear" w:color="auto" w:fill="auto"/>
            <w:vAlign w:val="center"/>
          </w:tcPr>
          <w:p w:rsidR="00070FC5" w:rsidRPr="00CC73F3" w:rsidRDefault="00070FC5" w:rsidP="00D639F5">
            <w:pPr>
              <w:numPr>
                <w:ilvl w:val="0"/>
                <w:numId w:val="5"/>
              </w:numPr>
              <w:ind w:left="162" w:hanging="180"/>
              <w:contextualSpacing/>
              <w:rPr>
                <w:rFonts w:eastAsia="Calibri"/>
              </w:rPr>
            </w:pPr>
            <w:r w:rsidRPr="00CC73F3">
              <w:rPr>
                <w:rFonts w:eastAsia="Calibri"/>
              </w:rPr>
              <w:t>Positive Hits</w:t>
            </w:r>
          </w:p>
          <w:p w:rsidR="00070FC5" w:rsidRPr="00CC73F3" w:rsidRDefault="00070FC5" w:rsidP="00D639F5">
            <w:pPr>
              <w:ind w:left="162"/>
              <w:contextualSpacing/>
              <w:rPr>
                <w:rFonts w:eastAsia="Calibri"/>
              </w:rPr>
            </w:pPr>
          </w:p>
          <w:p w:rsidR="00070FC5" w:rsidRPr="00CC73F3" w:rsidRDefault="00070FC5" w:rsidP="00D639F5">
            <w:pPr>
              <w:numPr>
                <w:ilvl w:val="0"/>
                <w:numId w:val="5"/>
              </w:numPr>
              <w:ind w:left="162" w:hanging="180"/>
              <w:contextualSpacing/>
              <w:rPr>
                <w:rFonts w:eastAsia="Calibri"/>
              </w:rPr>
            </w:pPr>
            <w:r w:rsidRPr="00CC73F3">
              <w:rPr>
                <w:rFonts w:eastAsia="Calibri"/>
              </w:rPr>
              <w:t>Negative Hits</w:t>
            </w:r>
          </w:p>
        </w:tc>
        <w:tc>
          <w:tcPr>
            <w:tcW w:w="2160" w:type="dxa"/>
            <w:tcBorders>
              <w:bottom w:val="single" w:sz="18" w:space="0" w:color="auto"/>
            </w:tcBorders>
            <w:shd w:val="clear" w:color="auto" w:fill="auto"/>
            <w:vAlign w:val="center"/>
          </w:tcPr>
          <w:p w:rsidR="00070FC5" w:rsidRPr="00CC73F3" w:rsidRDefault="00070FC5" w:rsidP="00D639F5">
            <w:pPr>
              <w:numPr>
                <w:ilvl w:val="0"/>
                <w:numId w:val="3"/>
              </w:numPr>
              <w:ind w:left="162" w:hanging="180"/>
              <w:contextualSpacing/>
              <w:rPr>
                <w:rFonts w:eastAsia="Calibri"/>
              </w:rPr>
            </w:pPr>
            <w:r w:rsidRPr="00CC73F3">
              <w:rPr>
                <w:rFonts w:eastAsia="Calibri"/>
              </w:rPr>
              <w:t>Looks at experimental findings in wider nomological net by testing additional moderating variables</w:t>
            </w:r>
          </w:p>
          <w:p w:rsidR="00070FC5" w:rsidRPr="00CC73F3" w:rsidRDefault="00070FC5" w:rsidP="00D639F5">
            <w:pPr>
              <w:contextualSpacing/>
              <w:rPr>
                <w:rFonts w:eastAsia="Calibri"/>
              </w:rPr>
            </w:pPr>
          </w:p>
          <w:p w:rsidR="00070FC5" w:rsidRPr="00CC73F3" w:rsidRDefault="00070FC5" w:rsidP="00D639F5">
            <w:pPr>
              <w:numPr>
                <w:ilvl w:val="0"/>
                <w:numId w:val="3"/>
              </w:numPr>
              <w:ind w:left="162" w:hanging="180"/>
              <w:contextualSpacing/>
              <w:rPr>
                <w:rFonts w:eastAsia="Calibri"/>
              </w:rPr>
            </w:pPr>
            <w:r w:rsidRPr="00CC73F3">
              <w:rPr>
                <w:rFonts w:eastAsia="Calibri"/>
              </w:rPr>
              <w:t>Examines the conceptual model using data collected from working new product development professionals as respondents</w:t>
            </w:r>
          </w:p>
        </w:tc>
        <w:tc>
          <w:tcPr>
            <w:tcW w:w="2340" w:type="dxa"/>
            <w:tcBorders>
              <w:bottom w:val="single" w:sz="18" w:space="0" w:color="auto"/>
            </w:tcBorders>
            <w:shd w:val="clear" w:color="auto" w:fill="auto"/>
            <w:vAlign w:val="center"/>
          </w:tcPr>
          <w:p w:rsidR="00070FC5" w:rsidRPr="00CC73F3" w:rsidRDefault="00070FC5" w:rsidP="00D639F5">
            <w:pPr>
              <w:ind w:left="-38"/>
              <w:contextualSpacing/>
              <w:rPr>
                <w:rFonts w:eastAsia="Calibri"/>
              </w:rPr>
            </w:pPr>
            <w:r w:rsidRPr="00CC73F3">
              <w:rPr>
                <w:rFonts w:eastAsia="Calibri"/>
              </w:rPr>
              <w:t>All decisions are within a single firm</w:t>
            </w:r>
          </w:p>
          <w:p w:rsidR="00070FC5" w:rsidRPr="00CC73F3" w:rsidRDefault="00070FC5" w:rsidP="00D639F5">
            <w:pPr>
              <w:ind w:left="142"/>
              <w:contextualSpacing/>
              <w:rPr>
                <w:rFonts w:eastAsia="Calibri"/>
              </w:rPr>
            </w:pPr>
          </w:p>
        </w:tc>
        <w:tc>
          <w:tcPr>
            <w:tcW w:w="2340" w:type="dxa"/>
            <w:tcBorders>
              <w:bottom w:val="single" w:sz="18" w:space="0" w:color="auto"/>
            </w:tcBorders>
            <w:shd w:val="clear" w:color="auto" w:fill="auto"/>
            <w:vAlign w:val="center"/>
          </w:tcPr>
          <w:p w:rsidR="00070FC5" w:rsidRPr="00CC73F3" w:rsidRDefault="00070FC5" w:rsidP="00D639F5">
            <w:pPr>
              <w:contextualSpacing/>
              <w:rPr>
                <w:rFonts w:eastAsia="Calibri"/>
              </w:rPr>
            </w:pPr>
            <w:r w:rsidRPr="00CC73F3">
              <w:rPr>
                <w:rFonts w:eastAsia="Calibri"/>
              </w:rPr>
              <w:t xml:space="preserve">Study 3 replicates and extends the first two studies by adding additional moderators related to the characteristics of the customers making idea submissions and the type of product ideas they submit. It also adds external validity by using field data from a firm’s actual development decisions rather than data collected in the lab. </w:t>
            </w:r>
          </w:p>
        </w:tc>
      </w:tr>
    </w:tbl>
    <w:p w:rsidR="00070FC5" w:rsidRPr="00CC73F3" w:rsidRDefault="00070FC5" w:rsidP="00D639F5">
      <w:pPr>
        <w:rPr>
          <w:b/>
        </w:rPr>
        <w:sectPr w:rsidR="00070FC5" w:rsidRPr="00CC73F3" w:rsidSect="00D639F5">
          <w:pgSz w:w="15840" w:h="12240" w:orient="landscape"/>
          <w:pgMar w:top="1440" w:right="1440" w:bottom="1440" w:left="1440" w:header="720" w:footer="720" w:gutter="0"/>
          <w:cols w:space="720"/>
          <w:docGrid w:linePitch="360"/>
        </w:sectPr>
      </w:pPr>
    </w:p>
    <w:p w:rsidR="00070FC5" w:rsidRPr="00CC73F3" w:rsidRDefault="00070FC5" w:rsidP="00D639F5">
      <w:pPr>
        <w:spacing w:line="480" w:lineRule="auto"/>
      </w:pPr>
      <w:r w:rsidRPr="00CC73F3">
        <w:t>Study 1 provided a tightly-controlled environment in which to test the proposed causal relationships, but used a dependent variable that is based on subjective expert ratings rather than objective market performance data.</w:t>
      </w:r>
    </w:p>
    <w:p w:rsidR="00070FC5" w:rsidRPr="00CC73F3" w:rsidRDefault="00070FC5" w:rsidP="00D639F5">
      <w:pPr>
        <w:spacing w:line="480" w:lineRule="auto"/>
      </w:pPr>
      <w:r w:rsidRPr="00CC73F3">
        <w:tab/>
        <w:t>Study 2 also provided controlled experimental conditions, but used real-world performance data.  Both of these studies, while affording the opportunity to test causal relationships in a tightly controlled environment, may lack the degree of external validity of an empirical investigation using working professionals. Study 3 addresses this issue by utilizing a sample of professional new product managers.</w:t>
      </w:r>
    </w:p>
    <w:p w:rsidR="00070FC5" w:rsidRPr="00CC73F3" w:rsidRDefault="00070FC5" w:rsidP="00D639F5">
      <w:pPr>
        <w:spacing w:line="480" w:lineRule="auto"/>
      </w:pPr>
      <w:r w:rsidRPr="00CC73F3">
        <w:tab/>
        <w:t xml:space="preserve">In both Study 1 and Study 2, student teams of undergraduate business students were used, and previous researchers have raised concerns about the appropriateness of students in testing managerial research questions (e.g., Ferber, 1977; Gordon, Slade, &amp; Schmitt, 1986). These studies have been designed to attenuate these concerns, addressing them in three ways. First, the experimental lab studies are not intended to be stand-alone studies, rather they are intended to lay the theoretical groundwork for Study 3, in which data was collected from the field using working professionals. Taken together, these three studies are used to extend the theories used to look at selection and evaluation in the cocreation of innovation. No single experiment, whether it uses students or not, can explain all that may be going on in a particular organizational context </w:t>
      </w:r>
      <w:r w:rsidRPr="00CC73F3">
        <w:rPr>
          <w:noProof/>
        </w:rPr>
        <w:t>(Greenberg, 1987)</w:t>
      </w:r>
      <w:r w:rsidRPr="00CC73F3">
        <w:t>. Using multiple studies that layer student participants with field data collected from new product development professionals is designed to offer a more thorough explanation of the phenomenon being investigated.</w:t>
      </w:r>
    </w:p>
    <w:p w:rsidR="00070FC5" w:rsidRPr="00CC73F3" w:rsidRDefault="00070FC5" w:rsidP="00D639F5">
      <w:pPr>
        <w:spacing w:line="480" w:lineRule="auto"/>
      </w:pPr>
      <w:r w:rsidRPr="00CC73F3">
        <w:tab/>
        <w:t xml:space="preserve">Second, the theory tested in the experimental studies deals with an underlying psychological process, which makes a student sample a more appropriate practice than in some other areas of research. As </w:t>
      </w:r>
      <w:r w:rsidRPr="00CC73F3">
        <w:rPr>
          <w:noProof/>
        </w:rPr>
        <w:t>Bono and McNamara (2011)</w:t>
      </w:r>
      <w:r w:rsidRPr="00CC73F3">
        <w:t xml:space="preserve"> argue in their </w:t>
      </w:r>
      <w:r w:rsidRPr="00CC73F3">
        <w:rPr>
          <w:i/>
        </w:rPr>
        <w:t>Academy of Management Journal</w:t>
      </w:r>
      <w:r w:rsidRPr="00CC73F3">
        <w:t xml:space="preserve"> editor’s commentary, “Important questions – especially those that deal with psychological processes – can often be answered equally well with university students or organizational employees” (p. 658). In this research, the primary intent of the experimental studies is to determine if the underlying </w:t>
      </w:r>
      <w:r w:rsidRPr="00CC73F3">
        <w:rPr>
          <w:i/>
        </w:rPr>
        <w:t>psychological processes</w:t>
      </w:r>
      <w:r w:rsidRPr="00CC73F3">
        <w:t xml:space="preserve"> associated with regulatory style and reflexivity cause groups to be more skillful at recognizing “good” and bad” opportunities, and whether or not there are significant differences between the groups in these conditions. As such, it is expected that these differences exist regardless of whether or not the evaluators are students or professionals.</w:t>
      </w:r>
    </w:p>
    <w:p w:rsidR="00070FC5" w:rsidRPr="00CC73F3" w:rsidRDefault="00070FC5" w:rsidP="00D639F5">
      <w:pPr>
        <w:spacing w:line="480" w:lineRule="auto"/>
      </w:pPr>
      <w:r w:rsidRPr="00CC73F3">
        <w:tab/>
        <w:t xml:space="preserve">Finally, there is a precedent in the innovation literature of using student subjects, especially when multiple studies are used that include both students and professionals. For example, Spanjol et al. (2011) used a new product simulation with marketing student teams to test the effects of a prevention or promotion orientation on speed to market, innovativeness, and number of new products launched. </w:t>
      </w:r>
      <w:r w:rsidRPr="00CC73F3">
        <w:rPr>
          <w:noProof/>
        </w:rPr>
        <w:t>Dahl and Moreau (2002)</w:t>
      </w:r>
      <w:r w:rsidRPr="00CC73F3">
        <w:t xml:space="preserve"> conducted multiple studies, which included both student designers and working design professionals to test the influence of analogical thinking styles on new product innovativeness. Further, some innovation studies have looked specifically at differences in novices (usually students) and working professionals and found novices to by on par with, or better, than professionals in developing ideas for new products (Magnusson et al., 2003; Poetz &amp; Schreier, 2012). Although these studies have not explicitly compared professionals with novices in the evaluation and selection process, there is no theoretical reason to believe that differences between professionals and novices would change the valence (i.e., flip the sign) of the relationship between regulatory style </w:t>
      </w:r>
      <w:proofErr w:type="gramStart"/>
      <w:r w:rsidRPr="00CC73F3">
        <w:t>or</w:t>
      </w:r>
      <w:proofErr w:type="gramEnd"/>
      <w:r w:rsidRPr="00CC73F3">
        <w:t xml:space="preserve"> reflexivity and selection accuracy. </w:t>
      </w:r>
    </w:p>
    <w:p w:rsidR="00070FC5" w:rsidRPr="00CC73F3" w:rsidRDefault="00070FC5" w:rsidP="00D639F5">
      <w:pPr>
        <w:spacing w:line="480" w:lineRule="auto"/>
      </w:pPr>
    </w:p>
    <w:p w:rsidR="00070FC5" w:rsidRPr="00CC73F3" w:rsidRDefault="00070FC5" w:rsidP="00D639F5">
      <w:pPr>
        <w:pStyle w:val="Heading2"/>
      </w:pPr>
      <w:bookmarkStart w:id="51" w:name="_Toc420572581"/>
      <w:r w:rsidRPr="00CC73F3">
        <w:t>Study 1 and 2 Pretest</w:t>
      </w:r>
      <w:bookmarkEnd w:id="51"/>
    </w:p>
    <w:p w:rsidR="00070FC5" w:rsidRPr="00CC73F3" w:rsidRDefault="00070FC5" w:rsidP="00D639F5">
      <w:pPr>
        <w:spacing w:line="480" w:lineRule="auto"/>
      </w:pPr>
      <w:r w:rsidRPr="00CC73F3">
        <w:tab/>
        <w:t>Prior to conducting the experiments described here for Study 1 and Study 2, the primary researcher conducted a pretest in the lab to perform manipulation and confounding checks of the two main constructs of interest, check adapted and adopted scale alpha reliabilities for the post-experiment survey to assess if they fall in an appropriate range (α ≥.70)</w:t>
      </w:r>
      <w:proofErr w:type="gramStart"/>
      <w:r w:rsidRPr="00CC73F3">
        <w:t>,  and</w:t>
      </w:r>
      <w:proofErr w:type="gramEnd"/>
      <w:r w:rsidRPr="00CC73F3">
        <w:t xml:space="preserve"> assess issues of respondent fatigue. The pretest experiment consisted of a 2 (prevention/promotion) x 2 (high/low reflexivity) model, as described in the discussion below of Study 1 and Study 2. The results of the pretest, including the supporting statistics for manipulation and confound checks, are discussed in detail in Chapter 4. </w:t>
      </w:r>
    </w:p>
    <w:p w:rsidR="00070FC5" w:rsidRPr="00CC73F3" w:rsidRDefault="00070FC5" w:rsidP="00D639F5">
      <w:pPr>
        <w:pStyle w:val="Heading2"/>
      </w:pPr>
      <w:bookmarkStart w:id="52" w:name="_Toc420572582"/>
      <w:r w:rsidRPr="00CC73F3">
        <w:t>Study 1</w:t>
      </w:r>
      <w:bookmarkEnd w:id="52"/>
    </w:p>
    <w:p w:rsidR="00070FC5" w:rsidRPr="00CC73F3" w:rsidRDefault="00070FC5" w:rsidP="00D639F5">
      <w:pPr>
        <w:spacing w:line="480" w:lineRule="auto"/>
      </w:pPr>
      <w:r w:rsidRPr="00CC73F3">
        <w:tab/>
        <w:t>A 2 (prevention/promotion) x 2 (high/low reflexivity) between subjects model will be experimentally tested using university students as subjects.  In this experiment, subjects will be assigned to groups of two individuals and asked to perform two exercises in which they imagine themselves to be a group of professional product managers tasked with reviewing a list of customer ideas for new products. In the first task, a practice exercise, teams will choose the top three ideas from a pool of design concepts. In the second task, teams will be asked to rate each product on three dimensions of innovativeness – novelty, meaningfulness, and feasibility.  The dependent variable will be the degree to which team ratings of novelty, meaningfulness, and feasibility in the second task match those of new product development experts. The experiment was conducted online.</w:t>
      </w:r>
    </w:p>
    <w:p w:rsidR="00070FC5" w:rsidRPr="00CC73F3" w:rsidRDefault="00070FC5" w:rsidP="00D639F5">
      <w:pPr>
        <w:spacing w:line="480" w:lineRule="auto"/>
      </w:pPr>
    </w:p>
    <w:p w:rsidR="00070FC5" w:rsidRPr="00CC73F3" w:rsidRDefault="00070FC5" w:rsidP="00D639F5">
      <w:pPr>
        <w:pStyle w:val="Heading3"/>
      </w:pPr>
      <w:bookmarkStart w:id="53" w:name="_Toc420572583"/>
      <w:r w:rsidRPr="00CC73F3">
        <w:t>Experimental Manipulations</w:t>
      </w:r>
      <w:bookmarkEnd w:id="53"/>
    </w:p>
    <w:p w:rsidR="00070FC5" w:rsidRPr="00CC73F3" w:rsidRDefault="00070FC5" w:rsidP="00D639F5">
      <w:pPr>
        <w:spacing w:line="480" w:lineRule="auto"/>
      </w:pPr>
      <w:r w:rsidRPr="00CC73F3">
        <w:tab/>
        <w:t>After both members of each team reviewed an informed consent statement and agreed to continue, teams were placed into one of four experimental conditions: Promotion-Focus/High Reflexivity, Promotion-Focus/Low reflexivity, Prevention-Focus/High Reflexivity, and Prevention-Focus/Low Reflexivity. Teams were first randomly primed for a prevention or promotion group regulatory focus then randomly given a second prime for high or low team reflexivity. The wording of the experimental manipulations for regulatory focus is shown in Table 7 and the wording for the reflexivity manipulations is shown Table 8 below. Regulatory focus was primed in two ways. First teams were told they worked for a company that rewarded risk-taking and used an eager strategy in new product development, or that their firm punished risk-taking and used a vigilant strategy in new product development. Next, the compensation for participating in the study was framed in a way to prime a promotion or prevention focus in group decision making. Teams in the prevention group started with $10, but could lose money (i.e., be punished) each time they made a poor decision. Teams in the promotion group started with $5, but could earn money (i.e., be rewarded) each time they made a good decision.</w:t>
      </w:r>
    </w:p>
    <w:p w:rsidR="00070FC5" w:rsidRPr="00CC73F3" w:rsidRDefault="00070FC5" w:rsidP="00D639F5">
      <w:pPr>
        <w:pStyle w:val="Heading3"/>
      </w:pPr>
      <w:r w:rsidRPr="00CC73F3">
        <w:tab/>
      </w:r>
    </w:p>
    <w:p w:rsidR="00070FC5" w:rsidRPr="00CC73F3" w:rsidRDefault="00070FC5" w:rsidP="00D639F5">
      <w:pPr>
        <w:pStyle w:val="Heading3"/>
      </w:pPr>
      <w:bookmarkStart w:id="54" w:name="_Toc420572584"/>
      <w:r w:rsidRPr="00CC73F3">
        <w:t>Practice Scenario</w:t>
      </w:r>
      <w:bookmarkEnd w:id="54"/>
      <w:r w:rsidRPr="00CC73F3">
        <w:tab/>
      </w:r>
    </w:p>
    <w:p w:rsidR="00070FC5" w:rsidRPr="00CC73F3" w:rsidRDefault="00070FC5" w:rsidP="00D639F5">
      <w:pPr>
        <w:spacing w:line="480" w:lineRule="auto"/>
      </w:pPr>
      <w:r w:rsidRPr="00CC73F3">
        <w:tab/>
        <w:t xml:space="preserve">As part of the experimental procedure for Study 1 and Study 2 a short practice task was devised to familiarize teams with evaluating cocreated product concepts, and to give them to opportunity to work together in order to develop a working rapport for the main experience without gaining or losing study compensation. Teams were primed to be prevention- or promotion focused and to practice high or low reflexivity, prior to completing the practice exercise. </w:t>
      </w:r>
    </w:p>
    <w:p w:rsidR="00070FC5" w:rsidRPr="00CC73F3" w:rsidRDefault="00070FC5" w:rsidP="00D639F5">
      <w:pPr>
        <w:pStyle w:val="Caption"/>
        <w:rPr>
          <w:rFonts w:eastAsia="Calibri"/>
        </w:rPr>
      </w:pPr>
      <w:bookmarkStart w:id="55" w:name="_Toc420570932"/>
      <w:proofErr w:type="gramStart"/>
      <w:r w:rsidRPr="00CC73F3">
        <w:t xml:space="preserve">Table </w:t>
      </w:r>
      <w:fldSimple w:instr=" SEQ Table \* ARABIC ">
        <w:r w:rsidRPr="00CC73F3">
          <w:rPr>
            <w:noProof/>
          </w:rPr>
          <w:t>7</w:t>
        </w:r>
      </w:fldSimple>
      <w:r w:rsidRPr="00CC73F3">
        <w:rPr>
          <w:rFonts w:eastAsia="Calibri"/>
        </w:rPr>
        <w:t>.</w:t>
      </w:r>
      <w:proofErr w:type="gramEnd"/>
      <w:r w:rsidRPr="00CC73F3">
        <w:rPr>
          <w:rFonts w:eastAsia="Calibri"/>
        </w:rPr>
        <w:t xml:space="preserve"> Group Regulatory Focus Experimental Manipulations</w:t>
      </w:r>
      <w:bookmarkEnd w:id="55"/>
    </w:p>
    <w:tbl>
      <w:tblPr>
        <w:tblW w:w="0" w:type="auto"/>
        <w:tblLook w:val="04A0" w:firstRow="1" w:lastRow="0" w:firstColumn="1" w:lastColumn="0" w:noHBand="0" w:noVBand="1"/>
      </w:tblPr>
      <w:tblGrid>
        <w:gridCol w:w="2268"/>
        <w:gridCol w:w="7308"/>
      </w:tblGrid>
      <w:tr w:rsidR="00070FC5" w:rsidRPr="00CC73F3" w:rsidTr="00D639F5">
        <w:tc>
          <w:tcPr>
            <w:tcW w:w="2268" w:type="dxa"/>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Manipulation</w:t>
            </w:r>
          </w:p>
        </w:tc>
        <w:tc>
          <w:tcPr>
            <w:tcW w:w="7308"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Wording</w:t>
            </w:r>
          </w:p>
        </w:tc>
      </w:tr>
      <w:tr w:rsidR="00070FC5" w:rsidRPr="00CC73F3" w:rsidTr="00D639F5">
        <w:tc>
          <w:tcPr>
            <w:tcW w:w="2268" w:type="dxa"/>
            <w:tcBorders>
              <w:top w:val="single" w:sz="18"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Prevention</w:t>
            </w:r>
          </w:p>
        </w:tc>
        <w:tc>
          <w:tcPr>
            <w:tcW w:w="7308"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Imagine that you are in charge of overseeing new product development for a company that manufactures products for consumer markets and solicits new product ideas directly from customers.</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Please take a moment to familiarize yourself with the following information about your firm:</w:t>
            </w:r>
          </w:p>
          <w:p w:rsidR="00070FC5" w:rsidRPr="00CC73F3" w:rsidRDefault="00070FC5" w:rsidP="00D639F5">
            <w:pPr>
              <w:numPr>
                <w:ilvl w:val="0"/>
                <w:numId w:val="39"/>
              </w:numPr>
              <w:contextualSpacing/>
              <w:rPr>
                <w:rFonts w:eastAsia="Calibri"/>
              </w:rPr>
            </w:pPr>
            <w:r w:rsidRPr="00CC73F3">
              <w:rPr>
                <w:rFonts w:eastAsia="Calibri"/>
              </w:rPr>
              <w:t xml:space="preserve">Your company is very vigilant about finding and commercializing new ideas, does not like to take risks, and always tries to go with the “safe bet” in new product endeavors. </w:t>
            </w:r>
          </w:p>
          <w:p w:rsidR="00070FC5" w:rsidRPr="00CC73F3" w:rsidRDefault="00070FC5" w:rsidP="00D639F5">
            <w:pPr>
              <w:numPr>
                <w:ilvl w:val="0"/>
                <w:numId w:val="39"/>
              </w:numPr>
              <w:contextualSpacing/>
              <w:rPr>
                <w:rFonts w:eastAsia="Calibri"/>
              </w:rPr>
            </w:pPr>
            <w:r w:rsidRPr="00CC73F3">
              <w:rPr>
                <w:rFonts w:eastAsia="Calibri"/>
              </w:rPr>
              <w:t xml:space="preserve">People in your firm who have made poor decisions in the past have been fired or demoted. </w:t>
            </w:r>
          </w:p>
          <w:p w:rsidR="00070FC5" w:rsidRPr="00CC73F3" w:rsidRDefault="00070FC5" w:rsidP="00D639F5">
            <w:pPr>
              <w:numPr>
                <w:ilvl w:val="0"/>
                <w:numId w:val="39"/>
              </w:numPr>
              <w:contextualSpacing/>
              <w:rPr>
                <w:rFonts w:eastAsia="Calibri"/>
              </w:rPr>
            </w:pPr>
            <w:r w:rsidRPr="00CC73F3">
              <w:rPr>
                <w:rFonts w:eastAsia="Calibri"/>
              </w:rPr>
              <w:t>In your decision process, you should adopt a vigilant evaluation approach, in line with how your company is run.</w:t>
            </w:r>
          </w:p>
          <w:p w:rsidR="00070FC5" w:rsidRPr="00CC73F3" w:rsidRDefault="00070FC5" w:rsidP="00D639F5">
            <w:pPr>
              <w:numPr>
                <w:ilvl w:val="0"/>
                <w:numId w:val="39"/>
              </w:numPr>
              <w:contextualSpacing/>
              <w:rPr>
                <w:rFonts w:eastAsia="Calibri"/>
              </w:rPr>
            </w:pPr>
            <w:r w:rsidRPr="00CC73F3">
              <w:rPr>
                <w:rFonts w:eastAsia="Calibri"/>
              </w:rPr>
              <w:t xml:space="preserve">You will be asked to make a series of evaluations and choices about new product concepts. Your starting compensation for participating in this exercise is $10. </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 xml:space="preserve">However, for each product you inaccurately evaluate (based on the real market performance of these products and/or expert evaluations of each product), you will be penalized 50 cents, up to a maximum loss of $5 per person. Your potential total earnings </w:t>
            </w:r>
            <w:proofErr w:type="gramStart"/>
            <w:r w:rsidRPr="00CC73F3">
              <w:rPr>
                <w:rFonts w:eastAsia="Calibri"/>
              </w:rPr>
              <w:t>is</w:t>
            </w:r>
            <w:proofErr w:type="gramEnd"/>
            <w:r w:rsidRPr="00CC73F3">
              <w:rPr>
                <w:rFonts w:eastAsia="Calibri"/>
              </w:rPr>
              <w:t xml:space="preserve"> between $10 and $5 per person.</w:t>
            </w:r>
          </w:p>
          <w:p w:rsidR="00070FC5" w:rsidRPr="00CC73F3" w:rsidRDefault="00070FC5" w:rsidP="00D639F5">
            <w:pPr>
              <w:rPr>
                <w:rFonts w:eastAsia="Calibri"/>
                <w:b/>
              </w:rPr>
            </w:pPr>
          </w:p>
        </w:tc>
      </w:tr>
      <w:tr w:rsidR="00070FC5" w:rsidRPr="00CC73F3" w:rsidTr="00D639F5">
        <w:tc>
          <w:tcPr>
            <w:tcW w:w="2268" w:type="dxa"/>
            <w:tcBorders>
              <w:bottom w:val="single" w:sz="18"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Promotion</w:t>
            </w:r>
          </w:p>
        </w:tc>
        <w:tc>
          <w:tcPr>
            <w:tcW w:w="7308" w:type="dxa"/>
            <w:tcBorders>
              <w:bottom w:val="single" w:sz="18" w:space="0" w:color="auto"/>
            </w:tcBorders>
            <w:shd w:val="clear" w:color="auto" w:fill="auto"/>
          </w:tcPr>
          <w:p w:rsidR="00070FC5" w:rsidRPr="00CC73F3" w:rsidRDefault="00070FC5" w:rsidP="00D639F5">
            <w:pPr>
              <w:rPr>
                <w:rFonts w:eastAsia="Calibri"/>
              </w:rPr>
            </w:pPr>
            <w:r w:rsidRPr="00CC73F3">
              <w:rPr>
                <w:rFonts w:eastAsia="Calibri"/>
              </w:rPr>
              <w:t>Imagine that you are in charge of overseeing new product development for a company that manufactures products for consumer markets and solicits new product ideas directly from customers.</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 xml:space="preserve">Please take a moment to familiarize yourself with the following information about your firm: </w:t>
            </w:r>
          </w:p>
          <w:p w:rsidR="00070FC5" w:rsidRPr="00CC73F3" w:rsidRDefault="00070FC5" w:rsidP="00D639F5">
            <w:pPr>
              <w:rPr>
                <w:rFonts w:eastAsia="Calibri"/>
              </w:rPr>
            </w:pPr>
            <w:r w:rsidRPr="00CC73F3">
              <w:rPr>
                <w:rFonts w:eastAsia="Calibri"/>
              </w:rPr>
              <w:t xml:space="preserve"> Your company is very eager to find and commercialize new ideas, likes to take risks, and always tries to be on the “cutting edge” in new product endeavors. </w:t>
            </w:r>
          </w:p>
          <w:p w:rsidR="00070FC5" w:rsidRPr="00CC73F3" w:rsidRDefault="00070FC5" w:rsidP="00D639F5">
            <w:pPr>
              <w:numPr>
                <w:ilvl w:val="0"/>
                <w:numId w:val="38"/>
              </w:numPr>
              <w:contextualSpacing/>
              <w:rPr>
                <w:rFonts w:eastAsia="Calibri"/>
              </w:rPr>
            </w:pPr>
            <w:r w:rsidRPr="00CC73F3">
              <w:rPr>
                <w:rFonts w:eastAsia="Calibri"/>
              </w:rPr>
              <w:t>People in your firm who have taken risks with new product innovations in the past, have been given promotions and/or raises.</w:t>
            </w:r>
          </w:p>
          <w:p w:rsidR="00070FC5" w:rsidRPr="00CC73F3" w:rsidRDefault="00070FC5" w:rsidP="00D639F5">
            <w:pPr>
              <w:numPr>
                <w:ilvl w:val="0"/>
                <w:numId w:val="38"/>
              </w:numPr>
              <w:contextualSpacing/>
              <w:rPr>
                <w:rFonts w:eastAsia="Calibri"/>
              </w:rPr>
            </w:pPr>
            <w:r w:rsidRPr="00CC73F3">
              <w:rPr>
                <w:rFonts w:eastAsia="Calibri"/>
              </w:rPr>
              <w:t xml:space="preserve">In your decision process, you should adopt an eager evaluation approach, in line with how your company is run.   </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 xml:space="preserve">You will be asked to make a series of evaluations of new product concepts. Your starting compensation for participating in this exercise is $5. However, for each product you accurately evaluate (based on the real market performance of these products and/or expert evaluations), you will earn a 50 cent reward, up to a maximum gain of $5 extra per person.  </w:t>
            </w:r>
          </w:p>
          <w:p w:rsidR="00070FC5" w:rsidRPr="00CC73F3" w:rsidRDefault="00070FC5" w:rsidP="00D639F5">
            <w:pPr>
              <w:rPr>
                <w:rFonts w:eastAsia="Calibri"/>
              </w:rPr>
            </w:pPr>
            <w:r w:rsidRPr="00CC73F3">
              <w:rPr>
                <w:rFonts w:eastAsia="Calibri"/>
              </w:rPr>
              <w:t xml:space="preserve">Your potential total earnings </w:t>
            </w:r>
            <w:proofErr w:type="gramStart"/>
            <w:r w:rsidRPr="00CC73F3">
              <w:rPr>
                <w:rFonts w:eastAsia="Calibri"/>
              </w:rPr>
              <w:t>is</w:t>
            </w:r>
            <w:proofErr w:type="gramEnd"/>
            <w:r w:rsidRPr="00CC73F3">
              <w:rPr>
                <w:rFonts w:eastAsia="Calibri"/>
              </w:rPr>
              <w:t xml:space="preserve"> between $5 and $10 per person.</w:t>
            </w:r>
          </w:p>
          <w:p w:rsidR="00070FC5" w:rsidRPr="00CC73F3" w:rsidRDefault="00070FC5" w:rsidP="00D639F5">
            <w:pPr>
              <w:rPr>
                <w:rFonts w:eastAsia="Calibri"/>
                <w:b/>
              </w:rPr>
            </w:pPr>
          </w:p>
        </w:tc>
      </w:tr>
    </w:tbl>
    <w:p w:rsidR="00070FC5" w:rsidRPr="00CC73F3" w:rsidRDefault="00070FC5" w:rsidP="00D639F5">
      <w:pPr>
        <w:pStyle w:val="Caption"/>
        <w:rPr>
          <w:rFonts w:eastAsia="Calibri"/>
        </w:rPr>
      </w:pPr>
      <w:bookmarkStart w:id="56" w:name="_Toc420570933"/>
      <w:proofErr w:type="gramStart"/>
      <w:r w:rsidRPr="00CC73F3">
        <w:t xml:space="preserve">Table </w:t>
      </w:r>
      <w:fldSimple w:instr=" SEQ Table \* ARABIC ">
        <w:r w:rsidRPr="00CC73F3">
          <w:rPr>
            <w:noProof/>
          </w:rPr>
          <w:t>8</w:t>
        </w:r>
      </w:fldSimple>
      <w:r w:rsidRPr="00CC73F3">
        <w:rPr>
          <w:rFonts w:eastAsia="Calibri"/>
        </w:rPr>
        <w:t>.</w:t>
      </w:r>
      <w:proofErr w:type="gramEnd"/>
      <w:r w:rsidRPr="00CC73F3">
        <w:rPr>
          <w:rFonts w:eastAsia="Calibri"/>
        </w:rPr>
        <w:t xml:space="preserve"> Group Reflexivity Manipulations</w:t>
      </w:r>
      <w:bookmarkEnd w:id="56"/>
    </w:p>
    <w:tbl>
      <w:tblPr>
        <w:tblW w:w="0" w:type="auto"/>
        <w:tblLook w:val="04A0" w:firstRow="1" w:lastRow="0" w:firstColumn="1" w:lastColumn="0" w:noHBand="0" w:noVBand="1"/>
      </w:tblPr>
      <w:tblGrid>
        <w:gridCol w:w="2268"/>
        <w:gridCol w:w="7308"/>
      </w:tblGrid>
      <w:tr w:rsidR="00070FC5" w:rsidRPr="00CC73F3" w:rsidTr="00D639F5">
        <w:tc>
          <w:tcPr>
            <w:tcW w:w="2268"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Manipulation</w:t>
            </w:r>
          </w:p>
        </w:tc>
        <w:tc>
          <w:tcPr>
            <w:tcW w:w="7308"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Wording</w:t>
            </w:r>
          </w:p>
        </w:tc>
      </w:tr>
      <w:tr w:rsidR="00070FC5" w:rsidRPr="00CC73F3" w:rsidTr="00D639F5">
        <w:tc>
          <w:tcPr>
            <w:tcW w:w="2268" w:type="dxa"/>
            <w:tcBorders>
              <w:top w:val="single" w:sz="18" w:space="0" w:color="auto"/>
            </w:tcBorders>
            <w:shd w:val="clear" w:color="auto" w:fill="auto"/>
          </w:tcPr>
          <w:p w:rsidR="00070FC5" w:rsidRPr="00CC73F3" w:rsidRDefault="00070FC5" w:rsidP="00D639F5">
            <w:pPr>
              <w:jc w:val="right"/>
              <w:rPr>
                <w:rFonts w:eastAsia="Calibri"/>
                <w:i/>
              </w:rPr>
            </w:pPr>
            <w:r w:rsidRPr="00CC73F3">
              <w:rPr>
                <w:rFonts w:eastAsia="Calibri"/>
                <w:i/>
              </w:rPr>
              <w:t>High Reflexivity</w:t>
            </w:r>
          </w:p>
        </w:tc>
        <w:tc>
          <w:tcPr>
            <w:tcW w:w="7308"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 xml:space="preserve">As previously mentioned, you will be asked to observe and rate a series of new product concepts. </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As you go through each product concept, you should spend a good amount of time thinking about and discussing each product, making sure you come to a solid team consensus before submitting your answer.</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Some of the things you might discuss as a group include:</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numPr>
                <w:ilvl w:val="0"/>
                <w:numId w:val="40"/>
              </w:numPr>
              <w:contextualSpacing/>
              <w:rPr>
                <w:rFonts w:eastAsia="Calibri"/>
              </w:rPr>
            </w:pPr>
            <w:r w:rsidRPr="00CC73F3">
              <w:rPr>
                <w:rFonts w:eastAsia="Calibri"/>
              </w:rPr>
              <w:t>Would this product be likely to actually sell?</w:t>
            </w:r>
          </w:p>
          <w:p w:rsidR="00070FC5" w:rsidRPr="00CC73F3" w:rsidRDefault="00070FC5" w:rsidP="00D639F5">
            <w:pPr>
              <w:rPr>
                <w:rFonts w:eastAsia="Calibri"/>
              </w:rPr>
            </w:pPr>
          </w:p>
          <w:p w:rsidR="00070FC5" w:rsidRPr="00CC73F3" w:rsidRDefault="00070FC5" w:rsidP="00D639F5">
            <w:pPr>
              <w:numPr>
                <w:ilvl w:val="0"/>
                <w:numId w:val="40"/>
              </w:numPr>
              <w:contextualSpacing/>
              <w:rPr>
                <w:rFonts w:eastAsia="Calibri"/>
              </w:rPr>
            </w:pPr>
            <w:r w:rsidRPr="00CC73F3">
              <w:rPr>
                <w:rFonts w:eastAsia="Calibri"/>
              </w:rPr>
              <w:t>Who is the target market for this product?</w:t>
            </w:r>
          </w:p>
          <w:p w:rsidR="00070FC5" w:rsidRPr="00CC73F3" w:rsidRDefault="00070FC5" w:rsidP="00D639F5">
            <w:pPr>
              <w:rPr>
                <w:rFonts w:eastAsia="Calibri"/>
              </w:rPr>
            </w:pPr>
          </w:p>
          <w:p w:rsidR="00070FC5" w:rsidRPr="00CC73F3" w:rsidRDefault="00070FC5" w:rsidP="00D639F5">
            <w:pPr>
              <w:numPr>
                <w:ilvl w:val="0"/>
                <w:numId w:val="40"/>
              </w:numPr>
              <w:contextualSpacing/>
              <w:rPr>
                <w:rFonts w:eastAsia="Calibri"/>
              </w:rPr>
            </w:pPr>
            <w:r w:rsidRPr="00CC73F3">
              <w:rPr>
                <w:rFonts w:eastAsia="Calibri"/>
              </w:rPr>
              <w:t>Would this product be likely to work as advertised?</w:t>
            </w:r>
          </w:p>
          <w:p w:rsidR="00070FC5" w:rsidRPr="00CC73F3" w:rsidRDefault="00070FC5" w:rsidP="00D639F5">
            <w:pPr>
              <w:rPr>
                <w:rFonts w:eastAsia="Calibri"/>
              </w:rPr>
            </w:pPr>
          </w:p>
          <w:p w:rsidR="00070FC5" w:rsidRPr="00CC73F3" w:rsidRDefault="00070FC5" w:rsidP="00D639F5">
            <w:pPr>
              <w:numPr>
                <w:ilvl w:val="0"/>
                <w:numId w:val="40"/>
              </w:numPr>
              <w:contextualSpacing/>
              <w:rPr>
                <w:rFonts w:eastAsia="Calibri"/>
              </w:rPr>
            </w:pPr>
            <w:r w:rsidRPr="00CC73F3">
              <w:rPr>
                <w:rFonts w:eastAsia="Calibri"/>
              </w:rPr>
              <w:t xml:space="preserve">Do either of us have knowledge, experience or expertise with this type of product that might help us </w:t>
            </w:r>
            <w:proofErr w:type="gramStart"/>
            <w:r w:rsidRPr="00CC73F3">
              <w:rPr>
                <w:rFonts w:eastAsia="Calibri"/>
              </w:rPr>
              <w:t>make</w:t>
            </w:r>
            <w:proofErr w:type="gramEnd"/>
            <w:r w:rsidRPr="00CC73F3">
              <w:rPr>
                <w:rFonts w:eastAsia="Calibri"/>
              </w:rPr>
              <w:t xml:space="preserve"> a better decision?</w:t>
            </w:r>
          </w:p>
          <w:p w:rsidR="00070FC5" w:rsidRPr="00CC73F3" w:rsidRDefault="00070FC5" w:rsidP="00D639F5">
            <w:pPr>
              <w:rPr>
                <w:rFonts w:eastAsia="Calibri"/>
              </w:rPr>
            </w:pPr>
          </w:p>
          <w:p w:rsidR="00070FC5" w:rsidRPr="00CC73F3" w:rsidRDefault="00070FC5" w:rsidP="00D639F5">
            <w:pPr>
              <w:numPr>
                <w:ilvl w:val="0"/>
                <w:numId w:val="40"/>
              </w:numPr>
              <w:contextualSpacing/>
              <w:rPr>
                <w:rFonts w:eastAsia="Calibri"/>
              </w:rPr>
            </w:pPr>
            <w:r w:rsidRPr="00CC73F3">
              <w:rPr>
                <w:rFonts w:eastAsia="Calibri"/>
              </w:rPr>
              <w:t>Does something similar to this product already exist on the market?</w:t>
            </w:r>
          </w:p>
          <w:p w:rsidR="00070FC5" w:rsidRPr="00CC73F3" w:rsidRDefault="00070FC5" w:rsidP="00D639F5">
            <w:pPr>
              <w:rPr>
                <w:rFonts w:eastAsia="Calibri"/>
                <w:b/>
              </w:rPr>
            </w:pPr>
            <w:r w:rsidRPr="00CC73F3">
              <w:rPr>
                <w:rFonts w:eastAsia="Calibri"/>
                <w:b/>
              </w:rPr>
              <w:t xml:space="preserve"> </w:t>
            </w:r>
          </w:p>
          <w:p w:rsidR="00070FC5" w:rsidRPr="00CC73F3" w:rsidRDefault="00070FC5" w:rsidP="00D639F5">
            <w:pPr>
              <w:rPr>
                <w:rFonts w:eastAsia="Calibri"/>
                <w:b/>
              </w:rPr>
            </w:pPr>
          </w:p>
        </w:tc>
      </w:tr>
      <w:tr w:rsidR="00070FC5" w:rsidRPr="00CC73F3" w:rsidTr="00D639F5">
        <w:tc>
          <w:tcPr>
            <w:tcW w:w="2268" w:type="dxa"/>
            <w:tcBorders>
              <w:bottom w:val="single" w:sz="18" w:space="0" w:color="auto"/>
            </w:tcBorders>
            <w:shd w:val="clear" w:color="auto" w:fill="auto"/>
          </w:tcPr>
          <w:p w:rsidR="00070FC5" w:rsidRPr="00CC73F3" w:rsidRDefault="00070FC5" w:rsidP="00D639F5">
            <w:pPr>
              <w:jc w:val="right"/>
              <w:rPr>
                <w:rFonts w:eastAsia="Calibri"/>
                <w:i/>
              </w:rPr>
            </w:pPr>
            <w:r w:rsidRPr="00CC73F3">
              <w:rPr>
                <w:rFonts w:eastAsia="Calibri"/>
                <w:i/>
              </w:rPr>
              <w:t>Low Reflexivity</w:t>
            </w:r>
          </w:p>
        </w:tc>
        <w:tc>
          <w:tcPr>
            <w:tcW w:w="7308" w:type="dxa"/>
            <w:tcBorders>
              <w:bottom w:val="single" w:sz="18" w:space="0" w:color="auto"/>
            </w:tcBorders>
            <w:shd w:val="clear" w:color="auto" w:fill="auto"/>
          </w:tcPr>
          <w:p w:rsidR="00070FC5" w:rsidRPr="00CC73F3" w:rsidRDefault="00070FC5" w:rsidP="00D639F5">
            <w:pPr>
              <w:rPr>
                <w:rFonts w:eastAsia="Calibri"/>
              </w:rPr>
            </w:pPr>
            <w:r w:rsidRPr="00CC73F3">
              <w:rPr>
                <w:rFonts w:eastAsia="Calibri"/>
              </w:rPr>
              <w:t xml:space="preserve">As previously mentioned, you will be asked to observe and rate a series of new product concepts. </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As you go through each product concept, you should engage in as little discussion as possible about each product.  Go with your first instinct and select the first answer that comes to your mind. If you don't immediately agree, try to arrive at an answer with very minimal discussion, appointing a "decider" for each product concept, if necessary.</w:t>
            </w:r>
          </w:p>
          <w:p w:rsidR="00070FC5" w:rsidRPr="00CC73F3" w:rsidRDefault="00070FC5" w:rsidP="00D639F5">
            <w:pPr>
              <w:rPr>
                <w:rFonts w:eastAsia="Calibri"/>
                <w:b/>
              </w:rPr>
            </w:pPr>
          </w:p>
        </w:tc>
      </w:tr>
    </w:tbl>
    <w:p w:rsidR="00070FC5" w:rsidRPr="00CC73F3" w:rsidRDefault="00070FC5" w:rsidP="00D639F5">
      <w:pPr>
        <w:spacing w:line="480" w:lineRule="auto"/>
      </w:pPr>
    </w:p>
    <w:p w:rsidR="00070FC5" w:rsidRPr="00CC73F3" w:rsidRDefault="00070FC5" w:rsidP="00D639F5">
      <w:pPr>
        <w:spacing w:line="480" w:lineRule="auto"/>
      </w:pPr>
      <w:r w:rsidRPr="00CC73F3">
        <w:t>In the practice task, shown in Table 9, groups were shown images and descriptions of user-submitted graphics to a real-world online t-shirt company that crowdsources its t-shirt designs to customers. Blind to the actual market results, groups were asked to rank order five t-shirt designs in terms of which one they thought would receive the highest rating on the online design innovation portal at Threadless.com. Once each team had made their ranking decisions, they were shown the actual results based on online voting at Threadless.com. This task was designed to familiarize team members with one another, and promote a product/design evaluation team mindset.</w:t>
      </w:r>
    </w:p>
    <w:p w:rsidR="00070FC5" w:rsidRPr="00CC73F3" w:rsidRDefault="00070FC5" w:rsidP="00D639F5">
      <w:pPr>
        <w:pStyle w:val="Caption"/>
      </w:pPr>
      <w:bookmarkStart w:id="57" w:name="_Toc420570934"/>
      <w:proofErr w:type="gramStart"/>
      <w:r w:rsidRPr="00CC73F3">
        <w:t xml:space="preserve">Table </w:t>
      </w:r>
      <w:fldSimple w:instr=" SEQ Table \* ARABIC ">
        <w:r w:rsidRPr="00CC73F3">
          <w:rPr>
            <w:noProof/>
          </w:rPr>
          <w:t>9</w:t>
        </w:r>
      </w:fldSimple>
      <w:r w:rsidRPr="00CC73F3">
        <w:t>.</w:t>
      </w:r>
      <w:proofErr w:type="gramEnd"/>
      <w:r w:rsidRPr="00CC73F3">
        <w:t xml:space="preserve"> Practice Scenario</w:t>
      </w:r>
      <w:bookmarkEnd w:id="57"/>
    </w:p>
    <w:p w:rsidR="00070FC5" w:rsidRPr="00CC73F3" w:rsidRDefault="00070FC5" w:rsidP="00D639F5"/>
    <w:tbl>
      <w:tblPr>
        <w:tblW w:w="0" w:type="auto"/>
        <w:tblLook w:val="04A0" w:firstRow="1" w:lastRow="0" w:firstColumn="1" w:lastColumn="0" w:noHBand="0" w:noVBand="1"/>
      </w:tblPr>
      <w:tblGrid>
        <w:gridCol w:w="9576"/>
      </w:tblGrid>
      <w:tr w:rsidR="00070FC5" w:rsidRPr="00CC73F3" w:rsidTr="00D639F5">
        <w:tc>
          <w:tcPr>
            <w:tcW w:w="9576"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Practice Scenario</w:t>
            </w:r>
          </w:p>
        </w:tc>
      </w:tr>
      <w:tr w:rsidR="00070FC5" w:rsidRPr="00CC73F3" w:rsidTr="00D639F5">
        <w:tc>
          <w:tcPr>
            <w:tcW w:w="9576" w:type="dxa"/>
            <w:tcBorders>
              <w:top w:val="single" w:sz="18" w:space="0" w:color="auto"/>
              <w:bottom w:val="single" w:sz="18" w:space="0" w:color="auto"/>
            </w:tcBorders>
            <w:shd w:val="clear" w:color="auto" w:fill="auto"/>
          </w:tcPr>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This task is a practice exercise designed to help orient you to evaluating new product and design concepts. Your responses in this task will not count toward your study compensation.</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In this exercise you need to review the design concepts below, taken from a real online t-shirt company. Please rank them (1 is the best, 5 is the worst) by dragging them in the order you think will be popular with the firm’s customers, who are primarily students in the U.S., ages 18-25.</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As you complete the task, try to rank the designs in line with your company’s approach to new product development.</w:t>
            </w:r>
          </w:p>
          <w:p w:rsidR="00070FC5" w:rsidRPr="00CC73F3" w:rsidRDefault="00070FC5" w:rsidP="00D639F5">
            <w:pPr>
              <w:rPr>
                <w:rFonts w:eastAsia="Calibri"/>
              </w:rPr>
            </w:pPr>
          </w:p>
        </w:tc>
      </w:tr>
    </w:tbl>
    <w:p w:rsidR="00070FC5" w:rsidRPr="00CC73F3" w:rsidRDefault="00070FC5" w:rsidP="00D639F5">
      <w:pPr>
        <w:spacing w:line="480" w:lineRule="auto"/>
      </w:pPr>
      <w:r w:rsidRPr="00CC73F3">
        <w:tab/>
      </w:r>
    </w:p>
    <w:p w:rsidR="00070FC5" w:rsidRPr="00CC73F3" w:rsidRDefault="00070FC5" w:rsidP="00D639F5">
      <w:pPr>
        <w:pStyle w:val="Heading3"/>
      </w:pPr>
      <w:bookmarkStart w:id="58" w:name="_Toc420572585"/>
      <w:r w:rsidRPr="00CC73F3">
        <w:t>Study 1 Main Experimental Procedure</w:t>
      </w:r>
      <w:bookmarkEnd w:id="58"/>
    </w:p>
    <w:p w:rsidR="00070FC5" w:rsidRPr="00CC73F3" w:rsidRDefault="00070FC5" w:rsidP="00D639F5">
      <w:pPr>
        <w:spacing w:line="480" w:lineRule="auto"/>
      </w:pPr>
      <w:r w:rsidRPr="00CC73F3">
        <w:tab/>
        <w:t xml:space="preserve">For the main experimental task, teams were given a reminder of their regulatory focus and reflexivity primes, </w:t>
      </w:r>
      <w:proofErr w:type="gramStart"/>
      <w:r w:rsidRPr="00CC73F3">
        <w:t>then</w:t>
      </w:r>
      <w:proofErr w:type="gramEnd"/>
      <w:r w:rsidRPr="00CC73F3">
        <w:t xml:space="preserve"> told that they would need to rate 5 products on a variety of dimensions, in line with how their firms make innovation decisions, as described in Table 11.  Each team was then shown 5 new product concepts submitted by customers of their fictitious company and asked to rate each one on several dimensions that corresponded with novelty, meaningfulness, and feasibility. The items used in team ratings are shown in Appendix 1. Each of the 5 product concepts was taken from a pool of user-submitted innovation concepts that appeared on a real firm’s online innovation portal.</w:t>
      </w:r>
    </w:p>
    <w:p w:rsidR="00070FC5" w:rsidRPr="00CC73F3" w:rsidRDefault="00070FC5" w:rsidP="00D639F5">
      <w:pPr>
        <w:spacing w:line="480" w:lineRule="auto"/>
      </w:pPr>
    </w:p>
    <w:p w:rsidR="00070FC5" w:rsidRPr="00CC73F3" w:rsidRDefault="00070FC5" w:rsidP="00D639F5">
      <w:pPr>
        <w:spacing w:line="480" w:lineRule="auto"/>
      </w:pPr>
    </w:p>
    <w:p w:rsidR="00070FC5" w:rsidRPr="00CC73F3" w:rsidRDefault="00070FC5" w:rsidP="00D639F5">
      <w:pPr>
        <w:pStyle w:val="Caption"/>
      </w:pPr>
      <w:bookmarkStart w:id="59" w:name="_Toc420570935"/>
      <w:proofErr w:type="gramStart"/>
      <w:r w:rsidRPr="00CC73F3">
        <w:t xml:space="preserve">Table </w:t>
      </w:r>
      <w:fldSimple w:instr=" SEQ Table \* ARABIC ">
        <w:r w:rsidRPr="00CC73F3">
          <w:rPr>
            <w:noProof/>
          </w:rPr>
          <w:t>10</w:t>
        </w:r>
      </w:fldSimple>
      <w:r w:rsidRPr="00CC73F3">
        <w:t>.</w:t>
      </w:r>
      <w:proofErr w:type="gramEnd"/>
      <w:r w:rsidRPr="00CC73F3">
        <w:t xml:space="preserve"> Study 1 Main Experimental Scenario</w:t>
      </w:r>
      <w:bookmarkEnd w:id="59"/>
    </w:p>
    <w:p w:rsidR="00070FC5" w:rsidRPr="00CC73F3" w:rsidRDefault="00070FC5" w:rsidP="00D639F5"/>
    <w:tbl>
      <w:tblPr>
        <w:tblW w:w="0" w:type="auto"/>
        <w:tblLook w:val="04A0" w:firstRow="1" w:lastRow="0" w:firstColumn="1" w:lastColumn="0" w:noHBand="0" w:noVBand="1"/>
      </w:tblPr>
      <w:tblGrid>
        <w:gridCol w:w="9576"/>
      </w:tblGrid>
      <w:tr w:rsidR="00070FC5" w:rsidRPr="00CC73F3" w:rsidTr="00D639F5">
        <w:tc>
          <w:tcPr>
            <w:tcW w:w="9576"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Main Experimental Scenario</w:t>
            </w:r>
          </w:p>
        </w:tc>
      </w:tr>
      <w:tr w:rsidR="00070FC5" w:rsidRPr="00CC73F3" w:rsidTr="00D639F5">
        <w:tc>
          <w:tcPr>
            <w:tcW w:w="9576" w:type="dxa"/>
            <w:tcBorders>
              <w:top w:val="single" w:sz="18" w:space="0" w:color="auto"/>
              <w:bottom w:val="single" w:sz="18" w:space="0" w:color="auto"/>
            </w:tcBorders>
            <w:shd w:val="clear" w:color="auto" w:fill="auto"/>
          </w:tcPr>
          <w:p w:rsidR="00070FC5" w:rsidRPr="00CC73F3" w:rsidRDefault="00070FC5" w:rsidP="00D639F5">
            <w:pPr>
              <w:rPr>
                <w:rFonts w:eastAsia="Calibri"/>
              </w:rPr>
            </w:pPr>
            <w:r w:rsidRPr="00CC73F3">
              <w:rPr>
                <w:rFonts w:eastAsia="Calibri"/>
              </w:rPr>
              <w:t>You have been asked to review concepts for new products submitted by your customers to determine which ideas have the most potential to be profitable new products for your consumer goods firm.</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On the next several screens, your team will see 5 concepts for new products and asked to rate each one on several dimensions.</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For each product concept, you will see a visual mock-up, along with a brief description of the “problem” the product was designed to address and the “solution” it offers to that problem.</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 xml:space="preserve">As you complete this task, try to make decisions in line with your company’s approach to new product development.  </w:t>
            </w:r>
          </w:p>
          <w:p w:rsidR="00070FC5" w:rsidRPr="00CC73F3" w:rsidRDefault="00070FC5" w:rsidP="00D639F5">
            <w:pPr>
              <w:rPr>
                <w:rFonts w:eastAsia="Calibri"/>
              </w:rPr>
            </w:pPr>
          </w:p>
        </w:tc>
      </w:tr>
    </w:tbl>
    <w:p w:rsidR="00070FC5" w:rsidRPr="00CC73F3" w:rsidRDefault="00070FC5" w:rsidP="00D639F5">
      <w:pPr>
        <w:spacing w:line="480" w:lineRule="auto"/>
      </w:pPr>
    </w:p>
    <w:p w:rsidR="00070FC5" w:rsidRPr="00CC73F3" w:rsidRDefault="00070FC5" w:rsidP="00D639F5">
      <w:pPr>
        <w:spacing w:line="480" w:lineRule="auto"/>
      </w:pPr>
      <w:r w:rsidRPr="00CC73F3">
        <w:t xml:space="preserve">The firm manufactures consumer-submitted new product concepts across several consumer product categories including electronics, health and fitness, home and garden, kitchen, and travel and adventure. In this experiment, each product concept included an illustration of the proposed new product, as well as a description of the “problem” and the “solution” the product is designed to address. The order in which the 5 products appeared was randomized to avoid ordering effects in team decision-making. The product images and descriptions used are shown in Appendix 2. </w:t>
      </w:r>
    </w:p>
    <w:p w:rsidR="00070FC5" w:rsidRPr="00CC73F3" w:rsidRDefault="00070FC5" w:rsidP="00D639F5">
      <w:pPr>
        <w:spacing w:line="480" w:lineRule="auto"/>
      </w:pPr>
      <w:r w:rsidRPr="00CC73F3">
        <w:tab/>
        <w:t>Prior to conducting the survey, the principal researcher recruited a panel of 10 new product development experts to rate each idea on the dimensions of novelty, meaningfulness, and feasibility, following a similar procedure used by Poetz &amp; Schreier (2012). Their aggregate scores were used to establish criteria against which to judge team product selections. Similar variations of these dependent variables have been used in previous literature regarding both team innovativeness (Amabile et al., 2005; Franke et al., 2006; Kristensson et al., 2004; Moreau and Dahl, 2005) and comparing user-generated new product ideas with those of professional product developers (Poetz and Schreier 2012). The results of the statistical analysis used to determine agreement among the raters are discussed in Chapter 4.</w:t>
      </w:r>
    </w:p>
    <w:p w:rsidR="00070FC5" w:rsidRPr="00CC73F3" w:rsidRDefault="00070FC5" w:rsidP="00D639F5">
      <w:pPr>
        <w:spacing w:line="480" w:lineRule="auto"/>
      </w:pPr>
      <w:r w:rsidRPr="00CC73F3">
        <w:tab/>
        <w:t>After completing the main exercise for Study 1, groups continued on to a second experiment explained below in the description of Study 2. Once the studies were complete, each team was asked to complete several questions to check the experimental manipulations, and gather data used as control variables.</w:t>
      </w:r>
    </w:p>
    <w:p w:rsidR="00070FC5" w:rsidRPr="00CC73F3" w:rsidRDefault="00070FC5" w:rsidP="00D639F5">
      <w:pPr>
        <w:spacing w:line="480" w:lineRule="auto"/>
      </w:pPr>
      <w:r w:rsidRPr="00CC73F3">
        <w:tab/>
        <w:t>After completing the group portion of the survey, each group member was asked to individually respond to several questions related to demographics, individual chronic regulatory style, and positive/negative affect. Individual responses on these measures were averaged (Chan, 1998) to create an aggregate individual regulatory focus and an affect control variable for each team. The teams’ scores were calculated and cash payment was rendered based on their scores across Study 1 and Study 2.</w:t>
      </w:r>
    </w:p>
    <w:p w:rsidR="00070FC5" w:rsidRPr="00CC73F3" w:rsidRDefault="00070FC5" w:rsidP="00D639F5">
      <w:pPr>
        <w:pStyle w:val="Heading3"/>
      </w:pPr>
    </w:p>
    <w:p w:rsidR="00070FC5" w:rsidRPr="00CC73F3" w:rsidRDefault="00070FC5" w:rsidP="00D639F5">
      <w:pPr>
        <w:pStyle w:val="Heading3"/>
      </w:pPr>
      <w:bookmarkStart w:id="60" w:name="_Toc420572586"/>
      <w:r w:rsidRPr="00CC73F3">
        <w:t>Statistical Analysis for Study 1</w:t>
      </w:r>
      <w:bookmarkEnd w:id="60"/>
    </w:p>
    <w:p w:rsidR="00070FC5" w:rsidRPr="00CC73F3" w:rsidRDefault="00070FC5" w:rsidP="00D639F5">
      <w:pPr>
        <w:spacing w:line="480" w:lineRule="auto"/>
      </w:pPr>
      <w:r w:rsidRPr="00CC73F3">
        <w:tab/>
        <w:t>Analysis of the relationships between the independent variables (regulatory style and reflexivity) and the dependent variables (skill in assessing novelty, meaningfulness, and feasibility) for Study 1 was conducted by first conducting a profile deviation analysis (Venkatraman, 1990; Vorhies and Morgan, 2005) using group deviations from the scores of novelty, meaningfulness, and feasibility rated by the expert evaluators. Team’s assessments were compared against expert assessments on each of the products used in the analysis, and a Euclidean distance score assigned for novelty, meaningfulness, and feasibility. An analysis of covariance (ANCOVA) was then be used to determine if there are significant differences between groups in each condition based how far they deviated from expert ratings on each dimension. The covariates used included the individuals’ individual regulatory focus scores averaged across team members, individual positive/negative affects cores averaged across team members, how well teams knew one another prior to completing the experiment together, and their knowledge of the product categories into which the products they reviewed could be categorized.</w:t>
      </w:r>
    </w:p>
    <w:p w:rsidR="00070FC5" w:rsidRPr="00CC73F3" w:rsidRDefault="00070FC5" w:rsidP="00D639F5">
      <w:pPr>
        <w:spacing w:line="480" w:lineRule="auto"/>
      </w:pPr>
    </w:p>
    <w:p w:rsidR="00070FC5" w:rsidRPr="00CC73F3" w:rsidRDefault="00070FC5" w:rsidP="00D639F5">
      <w:pPr>
        <w:pStyle w:val="Heading2"/>
      </w:pPr>
      <w:bookmarkStart w:id="61" w:name="_Toc420572587"/>
      <w:r w:rsidRPr="00CC73F3">
        <w:t>Study 2</w:t>
      </w:r>
      <w:bookmarkEnd w:id="61"/>
    </w:p>
    <w:p w:rsidR="00070FC5" w:rsidRPr="00CC73F3" w:rsidRDefault="00070FC5" w:rsidP="00D639F5">
      <w:pPr>
        <w:spacing w:line="480" w:lineRule="auto"/>
      </w:pPr>
      <w:r w:rsidRPr="00CC73F3">
        <w:tab/>
        <w:t xml:space="preserve">To be successful, professional new product development teams need to have the ability to quickly recognize promising (e.g., ideas that create value for customers and the firm) and non-promising (i.e., ideas that don’t create value for customers and/or the firm) ideas from customers when they see them (Baron, 2004). Based on how regulatory focus has been conceptualized, it could be argued that promotion-oriented teams may have higher positive ‘hit’ rates (i.e., developing customer ideas for new products that are ultimately successful) because they are more risk-tolerant and take more products to market, thus increasing their chances of having at least some successful new products. This also implies however, that they may also have higher rates of false positive ‘misses' or developing customer-generated product ideas that are ultimately unsuccessful in the marketplace. </w:t>
      </w:r>
    </w:p>
    <w:p w:rsidR="00070FC5" w:rsidRPr="00CC73F3" w:rsidRDefault="00070FC5" w:rsidP="00D639F5">
      <w:pPr>
        <w:spacing w:line="480" w:lineRule="auto"/>
      </w:pPr>
      <w:r w:rsidRPr="00CC73F3">
        <w:tab/>
        <w:t>Conversely, regulatory focus theory also supports the argument that prevention-oriented teams have higher negative ‘hit’ rates (i.e., stopping development of customer ideas for new products that would have ultimately failed in the market) because they are more risk-averse and simply take fewer products to market, overall. This also implies, however, that they may have higher rates of false negative misses, or killing customer-generated product ideas that would have been successful in the market, had they been fully commercialized.</w:t>
      </w:r>
    </w:p>
    <w:p w:rsidR="00070FC5" w:rsidRPr="00CC73F3" w:rsidRDefault="00070FC5" w:rsidP="00D639F5">
      <w:pPr>
        <w:spacing w:line="480" w:lineRule="auto"/>
      </w:pPr>
      <w:r w:rsidRPr="00CC73F3">
        <w:tab/>
        <w:t xml:space="preserve">Study 2 addresses these issues by asking teams to make decisions about which customer-generated product concepts they think are most- </w:t>
      </w:r>
      <w:r w:rsidRPr="00CC73F3">
        <w:rPr>
          <w:i/>
        </w:rPr>
        <w:t>and</w:t>
      </w:r>
      <w:r w:rsidRPr="00CC73F3">
        <w:t xml:space="preserve"> least-likely to be successful in the marketplace. By doing so, it is possible to examine the effects of regulatory style and reflexivity on a team’s ability to both identify promising ideas from customers </w:t>
      </w:r>
      <w:r w:rsidRPr="00CC73F3">
        <w:rPr>
          <w:i/>
        </w:rPr>
        <w:t>and</w:t>
      </w:r>
      <w:r w:rsidRPr="00CC73F3">
        <w:t xml:space="preserve"> filter out ideas that don’t have strong profit potential.</w:t>
      </w:r>
    </w:p>
    <w:p w:rsidR="00070FC5" w:rsidRPr="00CC73F3" w:rsidRDefault="00070FC5" w:rsidP="00D639F5">
      <w:pPr>
        <w:spacing w:line="480" w:lineRule="auto"/>
      </w:pPr>
      <w:r w:rsidRPr="00CC73F3">
        <w:tab/>
        <w:t>Study 2 extends Study 1 by examining how well teams in the four experimental conditions make decisions that match up with actual market performance of the ideas for new products they choose, rather than just their novelty, meaningfulness, or feasibility. Study 2 is based on a 2 (promotion/prevention) x 2 (high/low reflexivity) between subjects design. The two dichotomous dependent variables used are the number of positive hits and number of negative hits. In this study, teams were asked to view several sets of three product ideas and rank the ideas in each set from best-selling (1) to worst-selling (3). Their choices were then compared to real sales data. Teams that correctly chose the best-seller for each set scored a positive hit and team that correctly chose the worst-seller for each set scored a negative hit. The dependent variables used were the number of positive hits and negative hits summed across each of the product sets.</w:t>
      </w:r>
    </w:p>
    <w:p w:rsidR="00070FC5" w:rsidRPr="00CC73F3" w:rsidRDefault="00070FC5" w:rsidP="00D639F5">
      <w:pPr>
        <w:spacing w:line="480" w:lineRule="auto"/>
      </w:pPr>
      <w:r w:rsidRPr="00CC73F3">
        <w:tab/>
      </w:r>
    </w:p>
    <w:p w:rsidR="00070FC5" w:rsidRPr="00CC73F3" w:rsidRDefault="00070FC5" w:rsidP="00D639F5">
      <w:pPr>
        <w:pStyle w:val="Heading3"/>
      </w:pPr>
      <w:bookmarkStart w:id="62" w:name="_Toc420572588"/>
      <w:r w:rsidRPr="00CC73F3">
        <w:t>Study 2 Procedure</w:t>
      </w:r>
      <w:bookmarkEnd w:id="62"/>
    </w:p>
    <w:p w:rsidR="00070FC5" w:rsidRPr="00CC73F3" w:rsidRDefault="00070FC5" w:rsidP="00D639F5">
      <w:pPr>
        <w:spacing w:line="480" w:lineRule="auto"/>
      </w:pPr>
      <w:r w:rsidRPr="00CC73F3">
        <w:tab/>
        <w:t xml:space="preserve">This experiment was conducted with the same teams as Study </w:t>
      </w:r>
      <w:proofErr w:type="gramStart"/>
      <w:r w:rsidRPr="00CC73F3">
        <w:t>1,</w:t>
      </w:r>
      <w:proofErr w:type="gramEnd"/>
      <w:r w:rsidRPr="00CC73F3">
        <w:t xml:space="preserve"> using the same experimental manipulations as in Study 1 (see Tables 7 and 8 above for the wording of the manipulations). Once teams had finished the main experimental task in Study 1, they were given a reminder to reinforce their priming for regulatory focus and reflexivity, </w:t>
      </w:r>
      <w:proofErr w:type="gramStart"/>
      <w:r w:rsidRPr="00CC73F3">
        <w:t>then</w:t>
      </w:r>
      <w:proofErr w:type="gramEnd"/>
      <w:r w:rsidRPr="00CC73F3">
        <w:t xml:space="preserve"> asked to continue on to Study 2.  Group members were blind to the actual market performance of each product presented in the experimental product sets they were asked to rank order and the product sets were presented in a random order to avoid any ordering effects. The instructions given for Study 2 are shown in Table 13. Each set of three choices contained a high-, moderate, and low- selling product concept based on the actual performance (units sold) of the product in its first six months on the market. Positive hits and negative hits were based on whether or not teams correctly ranked the “best-selling” or “worst-selling” products in each idea set.</w:t>
      </w:r>
    </w:p>
    <w:p w:rsidR="00070FC5" w:rsidRPr="00CC73F3" w:rsidRDefault="00070FC5" w:rsidP="00D639F5">
      <w:pPr>
        <w:pStyle w:val="Caption"/>
      </w:pPr>
    </w:p>
    <w:p w:rsidR="00070FC5" w:rsidRPr="00CC73F3" w:rsidRDefault="00070FC5" w:rsidP="00D639F5">
      <w:pPr>
        <w:pStyle w:val="Caption"/>
      </w:pPr>
      <w:bookmarkStart w:id="63" w:name="_Toc420570936"/>
      <w:proofErr w:type="gramStart"/>
      <w:r w:rsidRPr="00CC73F3">
        <w:t xml:space="preserve">Table </w:t>
      </w:r>
      <w:fldSimple w:instr=" SEQ Table \* ARABIC ">
        <w:r w:rsidRPr="00CC73F3">
          <w:rPr>
            <w:noProof/>
          </w:rPr>
          <w:t>11</w:t>
        </w:r>
      </w:fldSimple>
      <w:r w:rsidRPr="00CC73F3">
        <w:t>.</w:t>
      </w:r>
      <w:proofErr w:type="gramEnd"/>
      <w:r w:rsidRPr="00CC73F3">
        <w:t xml:space="preserve"> Main Experimental Scenario for Study 2</w:t>
      </w:r>
      <w:bookmarkEnd w:id="63"/>
    </w:p>
    <w:p w:rsidR="00070FC5" w:rsidRPr="00CC73F3" w:rsidRDefault="00070FC5" w:rsidP="00D639F5"/>
    <w:tbl>
      <w:tblPr>
        <w:tblW w:w="0" w:type="auto"/>
        <w:tblBorders>
          <w:top w:val="single" w:sz="18" w:space="0" w:color="auto"/>
          <w:bottom w:val="single" w:sz="18" w:space="0" w:color="auto"/>
        </w:tblBorders>
        <w:tblLook w:val="04A0" w:firstRow="1" w:lastRow="0" w:firstColumn="1" w:lastColumn="0" w:noHBand="0" w:noVBand="1"/>
      </w:tblPr>
      <w:tblGrid>
        <w:gridCol w:w="9576"/>
      </w:tblGrid>
      <w:tr w:rsidR="00070FC5" w:rsidRPr="00CC73F3" w:rsidTr="00D639F5">
        <w:tc>
          <w:tcPr>
            <w:tcW w:w="9576"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Main Experimental Instructions for Study 2</w:t>
            </w:r>
          </w:p>
        </w:tc>
      </w:tr>
      <w:tr w:rsidR="00070FC5" w:rsidRPr="00CC73F3" w:rsidTr="00D639F5">
        <w:tc>
          <w:tcPr>
            <w:tcW w:w="9576"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In this activity, you will see 4 sets of 3 product concepts that were created by end-user customers. For each set, carefully read and evaluate each concept, then drag and drop them to rank them in the order which you think will be the best-selling (1 = best-selling product, 3 = worst-selling product).</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As you complete this task, try to make decision in line with your company’s approach to new product development.</w:t>
            </w:r>
          </w:p>
          <w:p w:rsidR="00070FC5" w:rsidRPr="00CC73F3" w:rsidRDefault="00070FC5" w:rsidP="00D639F5">
            <w:pPr>
              <w:rPr>
                <w:rFonts w:eastAsia="Calibri"/>
              </w:rPr>
            </w:pPr>
          </w:p>
        </w:tc>
      </w:tr>
    </w:tbl>
    <w:p w:rsidR="00070FC5" w:rsidRPr="00CC73F3" w:rsidRDefault="00070FC5" w:rsidP="00D639F5">
      <w:pPr>
        <w:spacing w:line="480" w:lineRule="auto"/>
      </w:pPr>
      <w:r w:rsidRPr="00CC73F3">
        <w:tab/>
      </w:r>
    </w:p>
    <w:p w:rsidR="00070FC5" w:rsidRPr="00CC73F3" w:rsidRDefault="00070FC5" w:rsidP="00D639F5">
      <w:pPr>
        <w:spacing w:line="480" w:lineRule="auto"/>
      </w:pPr>
      <w:r w:rsidRPr="00CC73F3">
        <w:tab/>
        <w:t>Images and descriptions of the products in each idea set are shown in Appendix 3. The total number of positive hits and negative hits across the choice sets was be tallied for each team by the experimenter and used as the dependent variables.</w:t>
      </w:r>
    </w:p>
    <w:p w:rsidR="00070FC5" w:rsidRPr="00CC73F3" w:rsidRDefault="00070FC5" w:rsidP="00D639F5">
      <w:pPr>
        <w:spacing w:line="480" w:lineRule="auto"/>
      </w:pPr>
      <w:r w:rsidRPr="00CC73F3">
        <w:tab/>
        <w:t xml:space="preserve">Once Study 2 was complete, teams responded to several manipulation check questions, as well as individual demographic regulatory focus and positive negative affect questions, as described above in the discussion of the method for Study 1. </w:t>
      </w:r>
    </w:p>
    <w:p w:rsidR="00070FC5" w:rsidRPr="00CC73F3" w:rsidRDefault="00070FC5" w:rsidP="00D639F5">
      <w:pPr>
        <w:spacing w:line="480" w:lineRule="auto"/>
        <w:rPr>
          <w:b/>
        </w:rPr>
      </w:pPr>
    </w:p>
    <w:p w:rsidR="00070FC5" w:rsidRPr="00CC73F3" w:rsidRDefault="00070FC5" w:rsidP="00D639F5">
      <w:pPr>
        <w:pStyle w:val="Heading3"/>
      </w:pPr>
      <w:bookmarkStart w:id="64" w:name="_Toc420572589"/>
      <w:r w:rsidRPr="00CC73F3">
        <w:t>Statistical Analysis for Study 2</w:t>
      </w:r>
      <w:bookmarkEnd w:id="64"/>
    </w:p>
    <w:p w:rsidR="00070FC5" w:rsidRPr="00CC73F3" w:rsidRDefault="00070FC5" w:rsidP="00D639F5">
      <w:pPr>
        <w:spacing w:line="480" w:lineRule="auto"/>
      </w:pPr>
      <w:r w:rsidRPr="00CC73F3">
        <w:tab/>
        <w:t>Since the primary dependent variables in Study 2 are based on actual performance data, analysis of Study 2 will be conducted using the counts of positive hits and negative hits in two separate statistical models. An ANCOVA will be used to determine if significant differences exist between the groups in each condition for the number of positive hits and the number of negative hits, run as separate statistical tests. Since Study 2 also replicates the dependent variable from Study 1, the same procedure used in Study 1 will be utilized, comparing groups’ deviation from expert ratings of novelty, meaningfulness, and feasibility, and looking for significant differences across conditions.</w:t>
      </w:r>
    </w:p>
    <w:p w:rsidR="00070FC5" w:rsidRPr="00CC73F3" w:rsidRDefault="00070FC5" w:rsidP="00D639F5">
      <w:pPr>
        <w:pStyle w:val="Heading2"/>
      </w:pPr>
    </w:p>
    <w:p w:rsidR="00070FC5" w:rsidRPr="00CC73F3" w:rsidRDefault="00070FC5" w:rsidP="00D639F5">
      <w:pPr>
        <w:pStyle w:val="Heading2"/>
      </w:pPr>
      <w:bookmarkStart w:id="65" w:name="_Toc420572590"/>
      <w:r w:rsidRPr="00CC73F3">
        <w:t>Study 1 and 2 Scale Reliability</w:t>
      </w:r>
      <w:bookmarkEnd w:id="65"/>
    </w:p>
    <w:p w:rsidR="00070FC5" w:rsidRPr="00CC73F3" w:rsidRDefault="00070FC5" w:rsidP="00D639F5">
      <w:pPr>
        <w:spacing w:line="480" w:lineRule="auto"/>
      </w:pPr>
      <w:r w:rsidRPr="00CC73F3">
        <w:tab/>
        <w:t xml:space="preserve">Since several of the scales used in Study 1 and Study 2 are adapted from slightly different marketing and innovation contexts and entail varying degrees of rewording, a pretest was conducted to check that each scale has a Cronbach’s alpha of .7 or greater. Based on standard scale purification procedures </w:t>
      </w:r>
      <w:r w:rsidRPr="00CC73F3">
        <w:rPr>
          <w:noProof/>
        </w:rPr>
        <w:t>(Churchill Jr, 1979; Hinkin, 1995)</w:t>
      </w:r>
      <w:r w:rsidRPr="00CC73F3">
        <w:t>, items were dropped and/or reworded and the scale re-administered in a series of pretests until alpha reliabilities had reached or exceeded the .7 threshold. The scale items, including manipulation checks, are shown in Appendix 1. The statistical properties of the measures used, including statistical results from each pretest are discussed in the next chapter.</w:t>
      </w:r>
    </w:p>
    <w:p w:rsidR="00070FC5" w:rsidRPr="00CC73F3" w:rsidRDefault="00070FC5" w:rsidP="00D639F5">
      <w:pPr>
        <w:pStyle w:val="Heading2"/>
      </w:pPr>
    </w:p>
    <w:p w:rsidR="00070FC5" w:rsidRPr="00CC73F3" w:rsidRDefault="00070FC5" w:rsidP="00D639F5">
      <w:pPr>
        <w:pStyle w:val="Heading2"/>
      </w:pPr>
      <w:bookmarkStart w:id="66" w:name="_Toc420572591"/>
      <w:r w:rsidRPr="00CC73F3">
        <w:t>Study 3</w:t>
      </w:r>
      <w:bookmarkEnd w:id="66"/>
    </w:p>
    <w:p w:rsidR="00070FC5" w:rsidRPr="00CC73F3" w:rsidRDefault="00070FC5" w:rsidP="00D639F5">
      <w:pPr>
        <w:spacing w:line="480" w:lineRule="auto"/>
      </w:pPr>
      <w:r w:rsidRPr="00CC73F3">
        <w:tab/>
        <w:t>Study 3 entailed conducting a virtual ethnography using video footage. The footage was taken from a firm’s development meetings in which they evaluate and select which ideas submitted by customers should be taken into development and commercialization for their online, direct-to-consumer retail channel. The video footage used in this analysis included content from 27 hours of evaluation and selection meetings in which 186 concepts were evaluated. Of those evaluated, 85 resulted in a “yes” development decision. The discussion time for each product concept ranged from approximately just under 2 minutes to just under 11 minutes. The discussion for each product was coded by the principal researcher and an independent coder, blind to the purpose of the study.</w:t>
      </w:r>
    </w:p>
    <w:p w:rsidR="00070FC5" w:rsidRPr="00CC73F3" w:rsidRDefault="00070FC5" w:rsidP="00D639F5">
      <w:pPr>
        <w:spacing w:line="480" w:lineRule="auto"/>
      </w:pPr>
      <w:r w:rsidRPr="00CC73F3">
        <w:tab/>
        <w:t xml:space="preserve">The firm used in this study is designed around a business model in which they only manufacture products submitted to the company through their user community, thus very accurate evaluation and selection of customers’ new product concepts is a key part of their success or failure. The company holds public evaluation and selection meetings on a weekly basis to choose which products submitted to their online user community should be taken into full development and publically broadcasts these meetings online. This company is ideal because the products they manufacture come exclusively from their user community, and the types of products submitted span a variety of product categories (e.g., electronics, health and fitness, home and garden, kitchen, and travel and adventure). Further, this firm is a small company so the development process and personnel involved are not likely to vary as much as they would in a large company with multiple SBUs, resulting in less noise due variance in these factors. In each meeting, a top company executive, usually the </w:t>
      </w:r>
      <w:proofErr w:type="gramStart"/>
      <w:r w:rsidRPr="00CC73F3">
        <w:t>CEO,</w:t>
      </w:r>
      <w:proofErr w:type="gramEnd"/>
      <w:r w:rsidRPr="00CC73F3">
        <w:t xml:space="preserve"> moderated a discussion among a panel of firm employees from sales, marketing, design, IT, operations, engineering, accounting, and finance, as well as guest panelists who are subject matter experts. In the audience during this meeting were firm employees and members of the development community, who were allowed to ask questions and participated in the final vote after each new product concept was discussed. In addition, each product under consideration was assigned an “innovation ambassador” who presented a brief overview of the product and its features and benefits, and acted as an advocate on behalf of the inventor. Innovation ambassadors often did extensive background investigation into the market potential for the products for which they advocated. Once a product was, it went before the meeting participants for a vote. If more than half of those in attendance gave a product a “yes” vote, or if the group decided to explore an idea further, the product went into the firm’s development and commercialization process. If less than half of the participants gave a product a “yes” vote, the product was dropped from further consideration. </w:t>
      </w:r>
    </w:p>
    <w:p w:rsidR="00070FC5" w:rsidRPr="00CC73F3" w:rsidRDefault="00070FC5" w:rsidP="00D639F5">
      <w:pPr>
        <w:spacing w:line="480" w:lineRule="auto"/>
      </w:pPr>
      <w:r w:rsidRPr="00CC73F3">
        <w:tab/>
        <w:t xml:space="preserve">Being accepted in one of these meetings doesn’t ensure a product will ultimately go to market, but it does mean that the firm will commit time and financial resources to developing the product. As such, they should be highly motivated to be accurate in their selections. This is an ideal setting to further test the conceptual model for this research for several reasons. First, it represents a variety of functional areas that are likely to be involved in any firm’s development teams. Second, from a knowledge diversity perspective, this represents a highly relevant setting for investigating development team reflexive practices in cocreation. Because of the functional diversity involved in these meetings, as well as individuals who are assigned to collect additional data and advocate on behalf of product inventors, the knowledge base is diverse enough that teams should benefit from being reflexive. This represents a sufficiently complex process to suggest that reflexivity will be beneficial to the quality of their team decisions </w:t>
      </w:r>
      <w:r w:rsidRPr="00CC73F3">
        <w:rPr>
          <w:noProof/>
        </w:rPr>
        <w:t>(Schippers, West, &amp; Dawson, 2012)</w:t>
      </w:r>
      <w:r w:rsidRPr="00CC73F3">
        <w:t>.</w:t>
      </w:r>
    </w:p>
    <w:p w:rsidR="00070FC5" w:rsidRPr="00CC73F3" w:rsidRDefault="00070FC5" w:rsidP="00D639F5">
      <w:pPr>
        <w:spacing w:line="480" w:lineRule="auto"/>
      </w:pPr>
    </w:p>
    <w:p w:rsidR="00070FC5" w:rsidRPr="00CC73F3" w:rsidRDefault="00070FC5" w:rsidP="00D639F5">
      <w:pPr>
        <w:pStyle w:val="Heading3"/>
      </w:pPr>
      <w:bookmarkStart w:id="67" w:name="_Toc420572592"/>
      <w:r w:rsidRPr="00CC73F3">
        <w:t>Study 3 Dependent Variables</w:t>
      </w:r>
      <w:bookmarkEnd w:id="67"/>
    </w:p>
    <w:p w:rsidR="00070FC5" w:rsidRPr="00CC73F3" w:rsidRDefault="00070FC5" w:rsidP="00D639F5">
      <w:pPr>
        <w:spacing w:line="480" w:lineRule="auto"/>
      </w:pPr>
      <w:r w:rsidRPr="00CC73F3">
        <w:tab/>
        <w:t xml:space="preserve">At the time of this dissertation’s writing, there was not any sales data available for any of the products discussed in the video footage, thus an alternative dependent variable was used to determine how successful the firm’s choices were for each product. To analyze the accuracy of group choices, the entire set of 186 products reviewed was rated by a consumer panel on their willingness to consider purchasing the proposed new product. Consumers in this panel were be presented with a written description of several of the products discussed in the video footage, and asked to rate each concept on a scale of 1 to 7 for the purchase intentions scale created by </w:t>
      </w:r>
      <w:r w:rsidRPr="00CC73F3">
        <w:rPr>
          <w:noProof/>
        </w:rPr>
        <w:t>(Berens, Riel, &amp; Bruggen, 2005)</w:t>
      </w:r>
      <w:r w:rsidRPr="00CC73F3">
        <w:t xml:space="preserve">, as shown in Appendix 1. To prevent task fatigue, each respondent was only asked to rate a 5-product subset of the 186 product concepts, and the products were randomly and equally displayed to the consumer raters. </w:t>
      </w:r>
    </w:p>
    <w:p w:rsidR="00070FC5" w:rsidRPr="00CC73F3" w:rsidRDefault="00070FC5" w:rsidP="00D639F5">
      <w:pPr>
        <w:spacing w:line="480" w:lineRule="auto"/>
      </w:pPr>
      <w:r w:rsidRPr="00CC73F3">
        <w:tab/>
        <w:t xml:space="preserve">Using the willingness to consider purchase ratings from a panel of 1,870 respondents, positive and negative hits were constructed. </w:t>
      </w:r>
      <w:r w:rsidRPr="00CC73F3">
        <w:rPr>
          <w:i/>
        </w:rPr>
        <w:t>Positive hits</w:t>
      </w:r>
      <w:r w:rsidRPr="00CC73F3">
        <w:t xml:space="preserve"> were measured as a categorical variable. If a firm chose to develop a product, and the product was rated in the 51st percentile or higher by a consumer panel on a willingness to consider purchase instrument, the value was coded as 1, otherwise 0. </w:t>
      </w:r>
      <w:r w:rsidRPr="00CC73F3">
        <w:rPr>
          <w:i/>
        </w:rPr>
        <w:t>Negative hits</w:t>
      </w:r>
      <w:r w:rsidRPr="00CC73F3">
        <w:t xml:space="preserve"> were also measured as a categorical variable. If a firm chose not to develop a product, and the product was rated in the 49th percentile or lower by a consumer panel on a willingness to consider purchase instrument, the value was coded as 1, otherwise 0.</w:t>
      </w:r>
    </w:p>
    <w:p w:rsidR="00070FC5" w:rsidRPr="00CC73F3" w:rsidRDefault="00070FC5" w:rsidP="00D639F5">
      <w:pPr>
        <w:spacing w:line="480" w:lineRule="auto"/>
      </w:pPr>
    </w:p>
    <w:p w:rsidR="00070FC5" w:rsidRPr="00CC73F3" w:rsidRDefault="00070FC5" w:rsidP="00D639F5">
      <w:pPr>
        <w:pStyle w:val="Heading3"/>
      </w:pPr>
      <w:bookmarkStart w:id="68" w:name="_Toc420572593"/>
      <w:r w:rsidRPr="00CC73F3">
        <w:t>Study 3 Independent Variables</w:t>
      </w:r>
      <w:bookmarkEnd w:id="68"/>
    </w:p>
    <w:p w:rsidR="00070FC5" w:rsidRPr="00CC73F3" w:rsidRDefault="00070FC5" w:rsidP="00D639F5">
      <w:pPr>
        <w:spacing w:line="480" w:lineRule="auto"/>
      </w:pPr>
      <w:r w:rsidRPr="00CC73F3">
        <w:tab/>
        <w:t xml:space="preserve">The independent variables in this study include team regulatory style and team reflexivity. Reflexivity was operationalized by coding the specific discussion topics used over the course of the 186 product discussions. The continuous variable was calculated as the number of total comments made divided by the unique topics discussed. For example, if three people make a comment about whether or not a product would actually sell, their comments would represent three total comments, but only one unique topic. Measured in this way, both the depth and the breadth of knowledge processing are captured, which fits with the conceptual definition of reflexivity developed in past research (e.g. DeDreu, 2002; Schippers et al., 2010). </w:t>
      </w:r>
    </w:p>
    <w:p w:rsidR="00070FC5" w:rsidRPr="00CC73F3" w:rsidRDefault="00070FC5" w:rsidP="00D639F5">
      <w:pPr>
        <w:spacing w:line="480" w:lineRule="auto"/>
      </w:pPr>
      <w:r w:rsidRPr="00CC73F3">
        <w:tab/>
        <w:t>Regulatory style was measured as a continuous variable considering whether the “voice of promotion” or “voice of prevention” was more dominate in the discussion for each product. Two raters sorted each comment topic category from the coded comments into prevention-focused topics, promotion-focused topics, or neutral topics. To create the continuous variable, the ratio of promotion comments to prevention comments was calculated, with higher values representing a promotion focus and lower values a prevention focus.</w:t>
      </w:r>
    </w:p>
    <w:p w:rsidR="00070FC5" w:rsidRPr="00CC73F3" w:rsidRDefault="00070FC5" w:rsidP="00D639F5">
      <w:pPr>
        <w:spacing w:line="480" w:lineRule="auto"/>
      </w:pPr>
      <w:r w:rsidRPr="00CC73F3">
        <w:tab/>
        <w:t>Inventor Expertise was measured based on information pulled from the firm’s website for each inventor at the time his or her product was evaluated, and was measured as the total number of followers an inventor had.</w:t>
      </w:r>
    </w:p>
    <w:p w:rsidR="00070FC5" w:rsidRPr="00CC73F3" w:rsidRDefault="00070FC5" w:rsidP="00D639F5">
      <w:pPr>
        <w:spacing w:line="480" w:lineRule="auto"/>
        <w:rPr>
          <w:i/>
        </w:rPr>
      </w:pPr>
    </w:p>
    <w:p w:rsidR="00070FC5" w:rsidRPr="00CC73F3" w:rsidRDefault="00070FC5" w:rsidP="00D639F5">
      <w:pPr>
        <w:pStyle w:val="Heading3"/>
      </w:pPr>
      <w:bookmarkStart w:id="69" w:name="_Toc420572594"/>
      <w:r w:rsidRPr="00CC73F3">
        <w:t>Study 3 Control Variables</w:t>
      </w:r>
      <w:bookmarkEnd w:id="69"/>
    </w:p>
    <w:p w:rsidR="00070FC5" w:rsidRPr="00CC73F3" w:rsidRDefault="00070FC5" w:rsidP="00D639F5">
      <w:pPr>
        <w:spacing w:line="480" w:lineRule="auto"/>
      </w:pPr>
      <w:r w:rsidRPr="00CC73F3">
        <w:tab/>
        <w:t xml:space="preserve">Several control variables were used in this study. First, the length of time each product was discussed, in seconds was recorded. Second, since past research has found hedonic products are often more difficult to judge on quality and functionality </w:t>
      </w:r>
      <w:r w:rsidRPr="00CC73F3">
        <w:rPr>
          <w:noProof/>
        </w:rPr>
        <w:t>(Huang, Lurie, &amp; Mitra, 2009)</w:t>
      </w:r>
      <w:r w:rsidRPr="00CC73F3">
        <w:t xml:space="preserve"> the product type (hedonic or utilitarian) was measured by creating a categorical product type variable based on the evaluations of 5 independent judges who viewed each product and rated them on a hedonic/utilitarian semantic differential scale. The items for this scale are shown in Appendix 1 and the statistical results of the judges’ evaluations are discussed in the next chapter. Third, to account for any evaluation effects resulting from group fatigue, the order in which every product was discussed during the meeting in which it was evaluated was recorded. Finally, the number of other inventor’s products each product inventor had interacted with in the online community (e.g., posting comments, suggestions, etc. to other inventors’ product concepts</w:t>
      </w:r>
    </w:p>
    <w:p w:rsidR="00070FC5" w:rsidRPr="00CC73F3" w:rsidRDefault="00070FC5" w:rsidP="00D639F5">
      <w:pPr>
        <w:spacing w:line="480" w:lineRule="auto"/>
      </w:pPr>
      <w:r w:rsidRPr="00CC73F3">
        <w:tab/>
        <w:t xml:space="preserve"> </w:t>
      </w:r>
    </w:p>
    <w:p w:rsidR="00070FC5" w:rsidRPr="00CC73F3" w:rsidRDefault="00070FC5" w:rsidP="00D639F5">
      <w:pPr>
        <w:pStyle w:val="Caption"/>
      </w:pPr>
      <w:bookmarkStart w:id="70" w:name="_Toc420570937"/>
      <w:proofErr w:type="gramStart"/>
      <w:r w:rsidRPr="00CC73F3">
        <w:t xml:space="preserve">Table </w:t>
      </w:r>
      <w:fldSimple w:instr=" SEQ Table \* ARABIC ">
        <w:r w:rsidRPr="00CC73F3">
          <w:rPr>
            <w:noProof/>
          </w:rPr>
          <w:t>12</w:t>
        </w:r>
      </w:fldSimple>
      <w:r w:rsidRPr="00CC73F3">
        <w:t>.</w:t>
      </w:r>
      <w:proofErr w:type="gramEnd"/>
      <w:r w:rsidRPr="00CC73F3">
        <w:t xml:space="preserve"> Operationalization of Main IVs and DVs in Study 3</w:t>
      </w:r>
      <w:bookmarkEnd w:id="70"/>
    </w:p>
    <w:p w:rsidR="00070FC5" w:rsidRPr="00CC73F3" w:rsidRDefault="00070FC5" w:rsidP="00D639F5"/>
    <w:tbl>
      <w:tblPr>
        <w:tblW w:w="0" w:type="auto"/>
        <w:tblLook w:val="04A0" w:firstRow="1" w:lastRow="0" w:firstColumn="1" w:lastColumn="0" w:noHBand="0" w:noVBand="1"/>
      </w:tblPr>
      <w:tblGrid>
        <w:gridCol w:w="5058"/>
        <w:gridCol w:w="4518"/>
      </w:tblGrid>
      <w:tr w:rsidR="00070FC5" w:rsidRPr="00CC73F3" w:rsidTr="00D639F5">
        <w:tc>
          <w:tcPr>
            <w:tcW w:w="5058"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Variables</w:t>
            </w:r>
          </w:p>
        </w:tc>
        <w:tc>
          <w:tcPr>
            <w:tcW w:w="4518"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Operationalization</w:t>
            </w:r>
          </w:p>
        </w:tc>
      </w:tr>
      <w:tr w:rsidR="00070FC5" w:rsidRPr="00CC73F3" w:rsidTr="00D639F5">
        <w:tc>
          <w:tcPr>
            <w:tcW w:w="5058" w:type="dxa"/>
            <w:tcBorders>
              <w:top w:val="single" w:sz="18" w:space="0" w:color="auto"/>
            </w:tcBorders>
            <w:shd w:val="clear" w:color="auto" w:fill="auto"/>
          </w:tcPr>
          <w:p w:rsidR="00070FC5" w:rsidRPr="00CC73F3" w:rsidRDefault="00070FC5" w:rsidP="00D639F5">
            <w:pPr>
              <w:rPr>
                <w:rFonts w:eastAsia="Calibri"/>
                <w:b/>
              </w:rPr>
            </w:pPr>
            <w:r w:rsidRPr="00CC73F3">
              <w:rPr>
                <w:rFonts w:eastAsia="Calibri"/>
                <w:b/>
              </w:rPr>
              <w:t>Team Characteristics</w:t>
            </w:r>
          </w:p>
        </w:tc>
        <w:tc>
          <w:tcPr>
            <w:tcW w:w="4518" w:type="dxa"/>
            <w:tcBorders>
              <w:top w:val="single" w:sz="18" w:space="0" w:color="auto"/>
            </w:tcBorders>
            <w:shd w:val="clear" w:color="auto" w:fill="auto"/>
          </w:tcPr>
          <w:p w:rsidR="00070FC5" w:rsidRPr="00CC73F3" w:rsidRDefault="00070FC5" w:rsidP="00D639F5">
            <w:pPr>
              <w:rPr>
                <w:rFonts w:eastAsia="Calibri"/>
                <w:b/>
              </w:rPr>
            </w:pPr>
          </w:p>
        </w:tc>
      </w:tr>
      <w:tr w:rsidR="00070FC5" w:rsidRPr="00CC73F3" w:rsidTr="00D639F5">
        <w:tc>
          <w:tcPr>
            <w:tcW w:w="5058" w:type="dxa"/>
            <w:shd w:val="clear" w:color="auto" w:fill="auto"/>
          </w:tcPr>
          <w:p w:rsidR="00070FC5" w:rsidRPr="00CC73F3" w:rsidRDefault="00070FC5" w:rsidP="00D639F5">
            <w:pPr>
              <w:jc w:val="right"/>
              <w:rPr>
                <w:rFonts w:eastAsia="Calibri"/>
                <w:i/>
              </w:rPr>
            </w:pPr>
            <w:r w:rsidRPr="00CC73F3">
              <w:rPr>
                <w:rFonts w:eastAsia="Calibri"/>
                <w:i/>
              </w:rPr>
              <w:t>Team Regulatory Style</w:t>
            </w:r>
          </w:p>
        </w:tc>
        <w:tc>
          <w:tcPr>
            <w:tcW w:w="4518" w:type="dxa"/>
            <w:shd w:val="clear" w:color="auto" w:fill="auto"/>
          </w:tcPr>
          <w:p w:rsidR="00070FC5" w:rsidRPr="00CC73F3" w:rsidRDefault="00070FC5" w:rsidP="00D639F5">
            <w:pPr>
              <w:rPr>
                <w:rFonts w:eastAsia="Calibri"/>
              </w:rPr>
            </w:pPr>
            <w:r w:rsidRPr="00CC73F3">
              <w:rPr>
                <w:rFonts w:eastAsia="Calibri"/>
              </w:rPr>
              <w:t>Calculated as a continuous variable by dividing the number of promotion-focused comments by the number of prevention-focused comments. Higher values indicate a promotion focus; lower values indicate a prevention focus.</w:t>
            </w:r>
          </w:p>
          <w:p w:rsidR="00070FC5" w:rsidRPr="00CC73F3" w:rsidRDefault="00070FC5" w:rsidP="00D639F5">
            <w:pPr>
              <w:rPr>
                <w:rFonts w:eastAsia="Calibri"/>
              </w:rPr>
            </w:pPr>
          </w:p>
          <w:p w:rsidR="00070FC5" w:rsidRPr="00CC73F3" w:rsidRDefault="00070FC5" w:rsidP="00D639F5">
            <w:pPr>
              <w:rPr>
                <w:rFonts w:eastAsia="Calibri"/>
              </w:rPr>
            </w:pPr>
          </w:p>
          <w:p w:rsidR="00070FC5" w:rsidRPr="00CC73F3" w:rsidRDefault="00070FC5" w:rsidP="00D639F5">
            <w:pPr>
              <w:rPr>
                <w:rFonts w:eastAsia="Calibri"/>
              </w:rPr>
            </w:pPr>
          </w:p>
          <w:p w:rsidR="00070FC5" w:rsidRPr="00CC73F3" w:rsidRDefault="00070FC5" w:rsidP="00D639F5">
            <w:pPr>
              <w:rPr>
                <w:rFonts w:eastAsia="Calibri"/>
              </w:rPr>
            </w:pPr>
          </w:p>
          <w:p w:rsidR="00070FC5" w:rsidRPr="00CC73F3" w:rsidRDefault="00070FC5" w:rsidP="00D639F5">
            <w:pPr>
              <w:rPr>
                <w:rFonts w:eastAsia="Calibri"/>
              </w:rPr>
            </w:pPr>
          </w:p>
          <w:p w:rsidR="00070FC5" w:rsidRPr="00CC73F3" w:rsidRDefault="00070FC5" w:rsidP="00D639F5">
            <w:pPr>
              <w:rPr>
                <w:rFonts w:eastAsia="Calibri"/>
              </w:rPr>
            </w:pPr>
          </w:p>
        </w:tc>
      </w:tr>
      <w:tr w:rsidR="00070FC5" w:rsidRPr="00CC73F3" w:rsidTr="00D639F5">
        <w:tc>
          <w:tcPr>
            <w:tcW w:w="5058" w:type="dxa"/>
            <w:shd w:val="clear" w:color="auto" w:fill="auto"/>
          </w:tcPr>
          <w:p w:rsidR="00070FC5" w:rsidRPr="00CC73F3" w:rsidRDefault="00070FC5" w:rsidP="00D639F5">
            <w:pPr>
              <w:jc w:val="right"/>
              <w:rPr>
                <w:rFonts w:eastAsia="Calibri"/>
                <w:i/>
              </w:rPr>
            </w:pPr>
            <w:r w:rsidRPr="00CC73F3">
              <w:rPr>
                <w:rFonts w:eastAsia="Calibri"/>
                <w:i/>
              </w:rPr>
              <w:t>Team Reflexivity</w:t>
            </w:r>
          </w:p>
        </w:tc>
        <w:tc>
          <w:tcPr>
            <w:tcW w:w="4518" w:type="dxa"/>
            <w:shd w:val="clear" w:color="auto" w:fill="auto"/>
          </w:tcPr>
          <w:p w:rsidR="00070FC5" w:rsidRPr="00CC73F3" w:rsidRDefault="00070FC5" w:rsidP="00D639F5">
            <w:pPr>
              <w:rPr>
                <w:rFonts w:eastAsia="Calibri"/>
              </w:rPr>
            </w:pPr>
            <w:r w:rsidRPr="00CC73F3">
              <w:rPr>
                <w:rFonts w:eastAsia="Calibri"/>
              </w:rPr>
              <w:t>Calculated as a continuous variable by dividing the total number of comment types (depth of discussion) by the number of unique comment types (breadth of discussion).</w:t>
            </w:r>
          </w:p>
          <w:p w:rsidR="00070FC5" w:rsidRPr="00CC73F3" w:rsidRDefault="00070FC5" w:rsidP="00D639F5">
            <w:pPr>
              <w:rPr>
                <w:rFonts w:eastAsia="Calibri"/>
              </w:rPr>
            </w:pPr>
          </w:p>
        </w:tc>
      </w:tr>
      <w:tr w:rsidR="00070FC5" w:rsidRPr="00CC73F3" w:rsidTr="00D639F5">
        <w:tc>
          <w:tcPr>
            <w:tcW w:w="5058" w:type="dxa"/>
            <w:shd w:val="clear" w:color="auto" w:fill="auto"/>
          </w:tcPr>
          <w:p w:rsidR="00070FC5" w:rsidRPr="00CC73F3" w:rsidRDefault="00070FC5" w:rsidP="00D639F5">
            <w:pPr>
              <w:rPr>
                <w:rFonts w:eastAsia="Calibri"/>
                <w:b/>
              </w:rPr>
            </w:pPr>
            <w:r w:rsidRPr="00CC73F3">
              <w:rPr>
                <w:rFonts w:eastAsia="Calibri"/>
                <w:b/>
              </w:rPr>
              <w:t>Consumer Characteristics</w:t>
            </w:r>
          </w:p>
        </w:tc>
        <w:tc>
          <w:tcPr>
            <w:tcW w:w="4518" w:type="dxa"/>
            <w:shd w:val="clear" w:color="auto" w:fill="auto"/>
          </w:tcPr>
          <w:p w:rsidR="00070FC5" w:rsidRPr="00CC73F3" w:rsidRDefault="00070FC5" w:rsidP="00D639F5">
            <w:pPr>
              <w:rPr>
                <w:rFonts w:eastAsia="Calibri"/>
              </w:rPr>
            </w:pPr>
          </w:p>
        </w:tc>
      </w:tr>
      <w:tr w:rsidR="00070FC5" w:rsidRPr="00CC73F3" w:rsidTr="00D639F5">
        <w:tc>
          <w:tcPr>
            <w:tcW w:w="5058" w:type="dxa"/>
            <w:shd w:val="clear" w:color="auto" w:fill="auto"/>
          </w:tcPr>
          <w:p w:rsidR="00070FC5" w:rsidRPr="00CC73F3" w:rsidRDefault="00070FC5" w:rsidP="00D639F5">
            <w:pPr>
              <w:jc w:val="right"/>
              <w:rPr>
                <w:rFonts w:eastAsia="Calibri"/>
                <w:i/>
              </w:rPr>
            </w:pPr>
            <w:r w:rsidRPr="00CC73F3">
              <w:rPr>
                <w:rFonts w:eastAsia="Calibri"/>
                <w:i/>
              </w:rPr>
              <w:t>Inventor Expertise</w:t>
            </w:r>
          </w:p>
        </w:tc>
        <w:tc>
          <w:tcPr>
            <w:tcW w:w="4518" w:type="dxa"/>
            <w:shd w:val="clear" w:color="auto" w:fill="auto"/>
          </w:tcPr>
          <w:p w:rsidR="00070FC5" w:rsidRPr="00CC73F3" w:rsidRDefault="00070FC5" w:rsidP="00D639F5">
            <w:pPr>
              <w:rPr>
                <w:rFonts w:eastAsia="Calibri"/>
              </w:rPr>
            </w:pPr>
            <w:r w:rsidRPr="00CC73F3">
              <w:rPr>
                <w:rFonts w:eastAsia="Calibri"/>
              </w:rPr>
              <w:t>Taken directly from the video footage, this variable is the number of followers the inventor of each product had at the time of product evaluation.</w:t>
            </w:r>
          </w:p>
          <w:p w:rsidR="00070FC5" w:rsidRPr="00CC73F3" w:rsidRDefault="00070FC5" w:rsidP="00D639F5">
            <w:pPr>
              <w:rPr>
                <w:rFonts w:eastAsia="Calibri"/>
              </w:rPr>
            </w:pPr>
          </w:p>
        </w:tc>
      </w:tr>
      <w:tr w:rsidR="00070FC5" w:rsidRPr="00CC73F3" w:rsidTr="00D639F5">
        <w:tc>
          <w:tcPr>
            <w:tcW w:w="5058" w:type="dxa"/>
            <w:shd w:val="clear" w:color="auto" w:fill="auto"/>
          </w:tcPr>
          <w:p w:rsidR="00070FC5" w:rsidRPr="00CC73F3" w:rsidRDefault="00070FC5" w:rsidP="00D639F5">
            <w:pPr>
              <w:rPr>
                <w:rFonts w:eastAsia="Calibri"/>
                <w:b/>
              </w:rPr>
            </w:pPr>
            <w:r w:rsidRPr="00CC73F3">
              <w:rPr>
                <w:rFonts w:eastAsia="Calibri"/>
                <w:b/>
              </w:rPr>
              <w:t>Dependent Variables</w:t>
            </w:r>
          </w:p>
        </w:tc>
        <w:tc>
          <w:tcPr>
            <w:tcW w:w="4518" w:type="dxa"/>
            <w:shd w:val="clear" w:color="auto" w:fill="auto"/>
          </w:tcPr>
          <w:p w:rsidR="00070FC5" w:rsidRPr="00CC73F3" w:rsidRDefault="00070FC5" w:rsidP="00D639F5">
            <w:pPr>
              <w:rPr>
                <w:rFonts w:eastAsia="Calibri"/>
              </w:rPr>
            </w:pPr>
          </w:p>
        </w:tc>
      </w:tr>
      <w:tr w:rsidR="00070FC5" w:rsidRPr="00CC73F3" w:rsidTr="00D639F5">
        <w:tc>
          <w:tcPr>
            <w:tcW w:w="5058" w:type="dxa"/>
            <w:shd w:val="clear" w:color="auto" w:fill="auto"/>
          </w:tcPr>
          <w:p w:rsidR="00070FC5" w:rsidRPr="00CC73F3" w:rsidRDefault="00070FC5" w:rsidP="00D639F5">
            <w:pPr>
              <w:jc w:val="right"/>
              <w:rPr>
                <w:rFonts w:eastAsia="Calibri"/>
                <w:i/>
              </w:rPr>
            </w:pPr>
            <w:r w:rsidRPr="00CC73F3">
              <w:rPr>
                <w:rFonts w:eastAsia="Calibri"/>
                <w:i/>
              </w:rPr>
              <w:t>Positive Hits</w:t>
            </w:r>
          </w:p>
          <w:p w:rsidR="00070FC5" w:rsidRPr="00CC73F3" w:rsidRDefault="00070FC5" w:rsidP="00D639F5">
            <w:pPr>
              <w:jc w:val="right"/>
              <w:rPr>
                <w:rFonts w:eastAsia="Calibri"/>
                <w:i/>
              </w:rPr>
            </w:pPr>
          </w:p>
          <w:p w:rsidR="00070FC5" w:rsidRPr="00CC73F3" w:rsidRDefault="00070FC5" w:rsidP="00D639F5">
            <w:pPr>
              <w:jc w:val="right"/>
              <w:rPr>
                <w:rFonts w:eastAsia="Calibri"/>
                <w:i/>
              </w:rPr>
            </w:pPr>
          </w:p>
          <w:p w:rsidR="00070FC5" w:rsidRPr="00CC73F3" w:rsidRDefault="00070FC5" w:rsidP="00D639F5">
            <w:pPr>
              <w:jc w:val="right"/>
              <w:rPr>
                <w:rFonts w:eastAsia="Calibri"/>
                <w:i/>
              </w:rPr>
            </w:pPr>
          </w:p>
        </w:tc>
        <w:tc>
          <w:tcPr>
            <w:tcW w:w="4518" w:type="dxa"/>
            <w:shd w:val="clear" w:color="auto" w:fill="auto"/>
          </w:tcPr>
          <w:p w:rsidR="00070FC5" w:rsidRPr="00CC73F3" w:rsidRDefault="00070FC5" w:rsidP="00D639F5">
            <w:pPr>
              <w:rPr>
                <w:rFonts w:eastAsia="Calibri"/>
              </w:rPr>
            </w:pPr>
            <w:r w:rsidRPr="00CC73F3">
              <w:rPr>
                <w:rFonts w:eastAsia="Calibri"/>
              </w:rPr>
              <w:t>Measured as a categorical variable. If a firm chose to develop a product, and the product was rated in the 51</w:t>
            </w:r>
            <w:r w:rsidRPr="00CC73F3">
              <w:rPr>
                <w:rFonts w:eastAsia="Calibri"/>
                <w:vertAlign w:val="superscript"/>
              </w:rPr>
              <w:t>st</w:t>
            </w:r>
            <w:r w:rsidRPr="00CC73F3">
              <w:rPr>
                <w:rFonts w:eastAsia="Calibri"/>
              </w:rPr>
              <w:t xml:space="preserve"> percentile or higher by a consumer panel on a willingness to consider purchase instrument, the value is 1, otherwise 0.</w:t>
            </w:r>
          </w:p>
          <w:p w:rsidR="00070FC5" w:rsidRPr="00CC73F3" w:rsidRDefault="00070FC5" w:rsidP="00D639F5">
            <w:pPr>
              <w:rPr>
                <w:rFonts w:eastAsia="Calibri"/>
              </w:rPr>
            </w:pPr>
          </w:p>
        </w:tc>
      </w:tr>
      <w:tr w:rsidR="00070FC5" w:rsidRPr="00CC73F3" w:rsidTr="00D639F5">
        <w:tc>
          <w:tcPr>
            <w:tcW w:w="5058" w:type="dxa"/>
            <w:tcBorders>
              <w:bottom w:val="single" w:sz="18" w:space="0" w:color="auto"/>
            </w:tcBorders>
            <w:shd w:val="clear" w:color="auto" w:fill="auto"/>
          </w:tcPr>
          <w:p w:rsidR="00070FC5" w:rsidRPr="00CC73F3" w:rsidRDefault="00070FC5" w:rsidP="00D639F5">
            <w:pPr>
              <w:jc w:val="right"/>
              <w:rPr>
                <w:rFonts w:eastAsia="Calibri"/>
                <w:i/>
              </w:rPr>
            </w:pPr>
            <w:r w:rsidRPr="00CC73F3">
              <w:rPr>
                <w:rFonts w:eastAsia="Calibri"/>
                <w:i/>
              </w:rPr>
              <w:t>Negative Hits</w:t>
            </w:r>
          </w:p>
        </w:tc>
        <w:tc>
          <w:tcPr>
            <w:tcW w:w="4518" w:type="dxa"/>
            <w:tcBorders>
              <w:bottom w:val="single" w:sz="18" w:space="0" w:color="auto"/>
            </w:tcBorders>
            <w:shd w:val="clear" w:color="auto" w:fill="auto"/>
          </w:tcPr>
          <w:p w:rsidR="00070FC5" w:rsidRPr="00CC73F3" w:rsidRDefault="00070FC5" w:rsidP="00D639F5">
            <w:pPr>
              <w:rPr>
                <w:rFonts w:eastAsia="Calibri"/>
              </w:rPr>
            </w:pPr>
            <w:r w:rsidRPr="00CC73F3">
              <w:rPr>
                <w:rFonts w:eastAsia="Calibri"/>
              </w:rPr>
              <w:t xml:space="preserve">Measured as a categorical variable. If a firm chose </w:t>
            </w:r>
            <w:r w:rsidRPr="00CC73F3">
              <w:rPr>
                <w:rFonts w:eastAsia="Calibri"/>
                <w:i/>
              </w:rPr>
              <w:t>not</w:t>
            </w:r>
            <w:r w:rsidRPr="00CC73F3">
              <w:rPr>
                <w:rFonts w:eastAsia="Calibri"/>
              </w:rPr>
              <w:t xml:space="preserve"> to develop a product, and the product was rated in the 49th percentile or lower by a consumer panel on a willingness to consider purchase instrument, the value is 1, otherwise 0.</w:t>
            </w:r>
          </w:p>
          <w:p w:rsidR="00070FC5" w:rsidRPr="00CC73F3" w:rsidRDefault="00070FC5" w:rsidP="00D639F5">
            <w:pPr>
              <w:rPr>
                <w:rFonts w:eastAsia="Calibri"/>
              </w:rPr>
            </w:pPr>
          </w:p>
        </w:tc>
      </w:tr>
    </w:tbl>
    <w:p w:rsidR="00070FC5" w:rsidRPr="00CC73F3" w:rsidRDefault="00070FC5" w:rsidP="00D639F5">
      <w:pPr>
        <w:spacing w:line="480" w:lineRule="auto"/>
        <w:rPr>
          <w:i/>
        </w:rPr>
      </w:pPr>
      <w:r w:rsidRPr="00CC73F3">
        <w:rPr>
          <w:i/>
        </w:rPr>
        <w:tab/>
      </w:r>
    </w:p>
    <w:p w:rsidR="00070FC5" w:rsidRPr="00CC73F3" w:rsidRDefault="00070FC5" w:rsidP="00D639F5">
      <w:pPr>
        <w:spacing w:line="480" w:lineRule="auto"/>
      </w:pPr>
      <w:proofErr w:type="gramStart"/>
      <w:r w:rsidRPr="00CC73F3">
        <w:t>online</w:t>
      </w:r>
      <w:proofErr w:type="gramEnd"/>
      <w:r w:rsidRPr="00CC73F3">
        <w:t>) was recorded. Past research has supported the idea that interacting with ideas outside of one’s own might make an inventor better able to develop new product ideas (Bayus, 2013), so this was controlled for in the current dataset.</w:t>
      </w:r>
    </w:p>
    <w:p w:rsidR="00070FC5" w:rsidRPr="00CC73F3" w:rsidRDefault="00070FC5" w:rsidP="00D639F5">
      <w:pPr>
        <w:spacing w:line="480" w:lineRule="auto"/>
      </w:pPr>
    </w:p>
    <w:p w:rsidR="00070FC5" w:rsidRPr="00CC73F3" w:rsidRDefault="00070FC5" w:rsidP="00D639F5">
      <w:pPr>
        <w:pStyle w:val="Heading3"/>
      </w:pPr>
      <w:bookmarkStart w:id="71" w:name="_Toc420572595"/>
      <w:r w:rsidRPr="00CC73F3">
        <w:t>Statistical Analysis for Study 3</w:t>
      </w:r>
      <w:bookmarkEnd w:id="71"/>
    </w:p>
    <w:p w:rsidR="00070FC5" w:rsidRPr="00CC73F3" w:rsidRDefault="00070FC5" w:rsidP="00D639F5">
      <w:pPr>
        <w:spacing w:line="480" w:lineRule="auto"/>
      </w:pPr>
      <w:r w:rsidRPr="00CC73F3">
        <w:tab/>
        <w:t xml:space="preserve">Since Study 3 uses binary categorical variables as dependent variables, analysis was conducted using binomial logistic regression. Similar studies investigating idea selection processes have used a logit models with a binary dependent variable (idea accepted/idea not accepted (Bayus, 2013). A concern with using discriminate functions and logistic regression equations is that the model may over fit to the data, resulting in model fit that is unstable </w:t>
      </w:r>
      <w:r w:rsidRPr="00CC73F3">
        <w:rPr>
          <w:noProof/>
        </w:rPr>
        <w:t>(Hair, Black, Babin, &amp; Anderson, 2010)</w:t>
      </w:r>
      <w:r w:rsidRPr="00CC73F3">
        <w:t xml:space="preserve">. To address this concern, a training and holdout sample were used to validate the results. There are no strict criteria in the literature for what percentage of observations should be held out to create a holdout sample. Since there were relatively few observations in the data, an 80%/20% split was used. Eighty percent of the observations were randomly chosen as a training sample, </w:t>
      </w:r>
      <w:proofErr w:type="gramStart"/>
      <w:r w:rsidRPr="00CC73F3">
        <w:t>then</w:t>
      </w:r>
      <w:proofErr w:type="gramEnd"/>
      <w:r w:rsidRPr="00CC73F3">
        <w:t xml:space="preserve"> the parameter estimates were applied to the remaining 20% of the observations which had been left out to validate the training sample. This 80/20 split is consistent with other logistic regression analyses reported in the marketing strategy and strategic management literature (e.g., Mittal, Kamakura, &amp; Govind, 2004; Swamidass, Nair, and Mistry, 1999). </w:t>
      </w:r>
    </w:p>
    <w:p w:rsidR="00070FC5" w:rsidRPr="00CC73F3" w:rsidRDefault="00070FC5" w:rsidP="00D639F5">
      <w:pPr>
        <w:spacing w:line="480" w:lineRule="auto"/>
        <w:rPr>
          <w:b/>
        </w:rPr>
      </w:pPr>
      <w:r w:rsidRPr="00CC73F3">
        <w:t xml:space="preserve"> </w:t>
      </w:r>
    </w:p>
    <w:p w:rsidR="00070FC5" w:rsidRPr="00CC73F3" w:rsidRDefault="00070FC5" w:rsidP="00D639F5">
      <w:pPr>
        <w:pStyle w:val="Heading2"/>
      </w:pPr>
      <w:bookmarkStart w:id="72" w:name="_Toc420572596"/>
      <w:r w:rsidRPr="00CC73F3">
        <w:t>Overview of Chapter 3</w:t>
      </w:r>
      <w:bookmarkEnd w:id="72"/>
    </w:p>
    <w:p w:rsidR="00070FC5" w:rsidRPr="00CC73F3" w:rsidRDefault="00070FC5" w:rsidP="00D639F5">
      <w:pPr>
        <w:spacing w:line="480" w:lineRule="auto"/>
      </w:pPr>
      <w:r w:rsidRPr="00CC73F3">
        <w:tab/>
        <w:t>This chapter presented a review of methodology and analysis for the two experiments and the virtual ethnography that were conducted in this dissertation research. Study 1 consists of a 2 x 2 between subjects lab experiment using college student teams as subjects. Study 2 consists of a 2 x 2 between-subjects model that uses positive hits and negative hits, based on actual product performance data, as the dependent variable. Finally, Study 3 adds a moderator related to the expertise of the inventor of each idea. Study 3 also represents a field investigation of the relationships explored in the lab in Studies 1 and 2.</w:t>
      </w:r>
    </w:p>
    <w:p w:rsidR="00070FC5" w:rsidRPr="00CC73F3" w:rsidRDefault="00070FC5" w:rsidP="00D639F5">
      <w:pPr>
        <w:pStyle w:val="Heading1"/>
      </w:pPr>
      <w:r w:rsidRPr="00CC73F3">
        <w:br w:type="page"/>
      </w:r>
      <w:bookmarkStart w:id="73" w:name="_Toc420572597"/>
      <w:r w:rsidRPr="00CC73F3">
        <w:t xml:space="preserve">Chapter 4 </w:t>
      </w:r>
      <w:r w:rsidRPr="00CC73F3">
        <w:br/>
        <w:t>Results</w:t>
      </w:r>
      <w:bookmarkEnd w:id="73"/>
      <w:r w:rsidRPr="00CC73F3">
        <w:t xml:space="preserve"> </w:t>
      </w:r>
    </w:p>
    <w:p w:rsidR="00070FC5" w:rsidRPr="00CC73F3" w:rsidRDefault="00070FC5" w:rsidP="00D639F5">
      <w:pPr>
        <w:pStyle w:val="Heading2"/>
      </w:pPr>
      <w:bookmarkStart w:id="74" w:name="_Toc420572598"/>
      <w:r w:rsidRPr="00CC73F3">
        <w:t>Overview of Studies</w:t>
      </w:r>
      <w:bookmarkEnd w:id="74"/>
    </w:p>
    <w:p w:rsidR="00070FC5" w:rsidRPr="00CC73F3" w:rsidRDefault="00070FC5" w:rsidP="00D639F5">
      <w:pPr>
        <w:spacing w:line="480" w:lineRule="auto"/>
        <w:rPr>
          <w:rFonts w:eastAsia="Calibri"/>
          <w:szCs w:val="22"/>
        </w:rPr>
      </w:pPr>
      <w:r w:rsidRPr="00CC73F3">
        <w:rPr>
          <w:rFonts w:eastAsia="Calibri"/>
          <w:szCs w:val="22"/>
        </w:rPr>
        <w:tab/>
        <w:t xml:space="preserve">In this chapter the data collection procedure and results from each of the three studies are discussed. Studies 1 and 2 were conducted consecutively using the same sample, and the same experimental manipulations (i.e., the teams were primed in one of the four conditions, </w:t>
      </w:r>
      <w:proofErr w:type="gramStart"/>
      <w:r w:rsidRPr="00CC73F3">
        <w:rPr>
          <w:rFonts w:eastAsia="Calibri"/>
          <w:szCs w:val="22"/>
        </w:rPr>
        <w:t>then</w:t>
      </w:r>
      <w:proofErr w:type="gramEnd"/>
      <w:r w:rsidRPr="00CC73F3">
        <w:rPr>
          <w:rFonts w:eastAsia="Calibri"/>
          <w:szCs w:val="22"/>
        </w:rPr>
        <w:t xml:space="preserve"> asked to complete two studies). As such the combined pretest for Study 1 and Study 2 is presented, followed by a discussion of the analysis and results for each study individually. After each study a short summary of the findings is presented before discussing the subsequent study, and the findings from all three studies are presented at the end of the chapter.</w:t>
      </w:r>
    </w:p>
    <w:p w:rsidR="00070FC5" w:rsidRPr="00CC73F3" w:rsidRDefault="00070FC5" w:rsidP="00D639F5">
      <w:pPr>
        <w:spacing w:line="480" w:lineRule="auto"/>
        <w:rPr>
          <w:rFonts w:eastAsia="Calibri"/>
          <w:b/>
          <w:szCs w:val="22"/>
        </w:rPr>
      </w:pPr>
    </w:p>
    <w:p w:rsidR="00070FC5" w:rsidRPr="00CC73F3" w:rsidRDefault="00070FC5" w:rsidP="00D639F5">
      <w:pPr>
        <w:pStyle w:val="Heading2"/>
      </w:pPr>
      <w:bookmarkStart w:id="75" w:name="_Toc420572599"/>
      <w:r w:rsidRPr="00CC73F3">
        <w:t>Study 1</w:t>
      </w:r>
      <w:bookmarkEnd w:id="75"/>
    </w:p>
    <w:p w:rsidR="00070FC5" w:rsidRPr="00CC73F3" w:rsidRDefault="00070FC5" w:rsidP="00D639F5">
      <w:pPr>
        <w:spacing w:line="480" w:lineRule="auto"/>
        <w:rPr>
          <w:rFonts w:eastAsia="Calibri"/>
        </w:rPr>
      </w:pPr>
      <w:r w:rsidRPr="00CC73F3">
        <w:rPr>
          <w:rFonts w:eastAsia="Calibri"/>
        </w:rPr>
        <w:tab/>
        <w:t xml:space="preserve">Study 1 was a 2 x 2 between subjects design with two two-level factors, </w:t>
      </w:r>
      <w:r w:rsidRPr="00CC73F3">
        <w:rPr>
          <w:rFonts w:eastAsia="Calibri"/>
          <w:i/>
        </w:rPr>
        <w:t>Group Reflexivity</w:t>
      </w:r>
      <w:r w:rsidRPr="00CC73F3">
        <w:rPr>
          <w:rFonts w:eastAsia="Calibri"/>
        </w:rPr>
        <w:t xml:space="preserve"> (high/low) and </w:t>
      </w:r>
      <w:r w:rsidRPr="00CC73F3">
        <w:rPr>
          <w:rFonts w:eastAsia="Calibri"/>
          <w:i/>
        </w:rPr>
        <w:t>Group Regulatory Focus</w:t>
      </w:r>
      <w:r w:rsidRPr="00CC73F3">
        <w:rPr>
          <w:rFonts w:eastAsia="Calibri"/>
        </w:rPr>
        <w:t xml:space="preserve"> (prevention/promotion). The unit of analysis was the team decision. Teams were primed to exhibit a prevention or promotion decision-making orientation and to exhibit high or low reflexivity in their information processing before making a team decision. They were presented with 5 cocreated new product concepts and asked to rate them on the dimensions on novelty, meaningfulness, and feasibility, and their responses were compared against the ratings of experts on the same dimensions for each product. The dependent variables were the distance each team scored from the experts across all of the products on novelty, meaningfulness, and feasibility.</w:t>
      </w:r>
    </w:p>
    <w:p w:rsidR="00070FC5" w:rsidRPr="00CC73F3" w:rsidRDefault="00070FC5" w:rsidP="00D639F5">
      <w:pPr>
        <w:rPr>
          <w:rFonts w:eastAsia="Calibri"/>
        </w:rPr>
      </w:pPr>
    </w:p>
    <w:p w:rsidR="00070FC5" w:rsidRPr="00CC73F3" w:rsidRDefault="00070FC5" w:rsidP="00D639F5">
      <w:pPr>
        <w:pStyle w:val="Heading3"/>
      </w:pPr>
      <w:bookmarkStart w:id="76" w:name="_Toc420572600"/>
      <w:r w:rsidRPr="00CC73F3">
        <w:t>Pretesting the Manipulated Variables for Study 1 and Study 2</w:t>
      </w:r>
      <w:bookmarkEnd w:id="76"/>
    </w:p>
    <w:p w:rsidR="00070FC5" w:rsidRPr="00CC73F3" w:rsidRDefault="00070FC5" w:rsidP="00D639F5">
      <w:pPr>
        <w:spacing w:line="480" w:lineRule="auto"/>
        <w:rPr>
          <w:rFonts w:eastAsia="Calibri"/>
          <w:szCs w:val="22"/>
        </w:rPr>
      </w:pPr>
      <w:r w:rsidRPr="00CC73F3">
        <w:rPr>
          <w:rFonts w:eastAsia="Calibri"/>
          <w:szCs w:val="22"/>
        </w:rPr>
        <w:tab/>
        <w:t>The products teams were asked to rate in Study 1 were chosen from among several hundred products submitted to the ideation portal of Quirky, a firm that manufactures and sells products invented by end-users. Five different products were selected based on the fact that they were trending as favorable on the ideation portal – a chicken drumstick holder, a body motion powered mobile device charger, a video-enabled toy submarine, an under-chair drawer attachment, and a smoke detector that silenced the low battery chirp at night or in the absence of light. Trending products were chosen to help ensure that each product concept was at least moderately challenging to evaluate, and so that evaluation was not easy enough that there were no differences in the accuracy of each experimental condition. Prior to conducting a pretest, the survey was administered to 3 pairs of individuals who were blind to the hypotheses being tested to get feedback on the logical flow of the experimental exercises, the clarity of the directions in the manipulations and exercises, and the total time required to complete the studies.</w:t>
      </w:r>
    </w:p>
    <w:p w:rsidR="00070FC5" w:rsidRPr="00CC73F3" w:rsidRDefault="00070FC5" w:rsidP="00D639F5">
      <w:pPr>
        <w:spacing w:line="480" w:lineRule="auto"/>
        <w:rPr>
          <w:rFonts w:eastAsia="Calibri"/>
          <w:szCs w:val="22"/>
        </w:rPr>
      </w:pPr>
      <w:r w:rsidRPr="00CC73F3">
        <w:rPr>
          <w:rFonts w:eastAsia="Calibri"/>
          <w:szCs w:val="22"/>
        </w:rPr>
        <w:tab/>
        <w:t xml:space="preserve">Next, the survey was pretested with a sample of 94 undergraduate and graduate business students from marketing and supply chain management courses to check the manipulations and scale reliabilities for the manipulated variables. The initial manipulation check for the high/low reflexivity condition and the prevention/promotion group regulatory focus conditions were not significant. The composite reflexivity manipulation check score of high reflexivity condition was not significantly different than the composite score of the low reflexivity condition and the composite regulatory focus score for the promotion group was not significantly different from the composite score of the prevention group. As such, the wording of the manipulations was modified and the scales were adapted to better fit the context of the lab experiment. Specifically, the manipulation for regulatory focus was altered to add a pay for performance component, following a similar experimental manipulation of group regulatory focus conducted by </w:t>
      </w:r>
      <w:r w:rsidRPr="00CC73F3">
        <w:rPr>
          <w:rFonts w:eastAsia="Calibri"/>
          <w:noProof/>
          <w:szCs w:val="22"/>
        </w:rPr>
        <w:t>(Florack &amp; Hartmann, 2007)</w:t>
      </w:r>
      <w:r w:rsidRPr="00CC73F3">
        <w:rPr>
          <w:rFonts w:eastAsia="Calibri"/>
          <w:szCs w:val="22"/>
        </w:rPr>
        <w:t xml:space="preserve">. For reflexivity, the groups were given specific questions to discuss pertaining to the product selection tasks, which included, thinking about target markets, product functionality and market/sales potential. </w:t>
      </w:r>
    </w:p>
    <w:p w:rsidR="00070FC5" w:rsidRPr="00CC73F3" w:rsidRDefault="00070FC5" w:rsidP="00D639F5">
      <w:pPr>
        <w:spacing w:line="480" w:lineRule="auto"/>
        <w:rPr>
          <w:rFonts w:eastAsia="Calibri"/>
          <w:szCs w:val="22"/>
        </w:rPr>
      </w:pPr>
      <w:r w:rsidRPr="00CC73F3">
        <w:rPr>
          <w:rFonts w:eastAsia="Calibri"/>
          <w:szCs w:val="22"/>
        </w:rPr>
        <w:tab/>
        <w:t xml:space="preserve">Based on the changes implemented to the experimental survey instrument after Pretest 1, a second pretest was administered to both </w:t>
      </w:r>
      <w:proofErr w:type="gramStart"/>
      <w:r w:rsidRPr="00CC73F3">
        <w:rPr>
          <w:rFonts w:eastAsia="Calibri"/>
          <w:szCs w:val="22"/>
        </w:rPr>
        <w:t>check</w:t>
      </w:r>
      <w:proofErr w:type="gramEnd"/>
      <w:r w:rsidRPr="00CC73F3">
        <w:rPr>
          <w:rFonts w:eastAsia="Calibri"/>
          <w:szCs w:val="22"/>
        </w:rPr>
        <w:t xml:space="preserve"> the effectiveness of the experimental manipulations and the reliability of the scales used in the manipulation check. A sample of 92 teams of undergraduate students in a marketing and supply chain course were used. For the second pretest, both of the scales used in the manipulation check showed levels of alpha reliability above the .70 guideline suggested by </w:t>
      </w:r>
      <w:r w:rsidRPr="00CC73F3">
        <w:rPr>
          <w:rFonts w:eastAsia="Calibri"/>
          <w:noProof/>
          <w:szCs w:val="22"/>
        </w:rPr>
        <w:t>Nunnally (1978)</w:t>
      </w:r>
      <w:r w:rsidRPr="00CC73F3">
        <w:rPr>
          <w:rFonts w:eastAsia="Calibri"/>
          <w:szCs w:val="22"/>
        </w:rPr>
        <w:t>. The Cronbach’s alpha for the Group Regulatory Focus scale in the pretest was .88, and the Cronbach’s alpha for the Reflexivity scale in the pretest was .78. The final measures used are shown in Appendix 1 and discussed later in this chapter.</w:t>
      </w:r>
    </w:p>
    <w:p w:rsidR="00070FC5" w:rsidRPr="00CC73F3" w:rsidRDefault="00070FC5" w:rsidP="00D639F5">
      <w:pPr>
        <w:spacing w:line="480" w:lineRule="auto"/>
        <w:rPr>
          <w:rFonts w:eastAsia="Calibri"/>
          <w:szCs w:val="22"/>
        </w:rPr>
      </w:pPr>
      <w:r w:rsidRPr="00CC73F3">
        <w:rPr>
          <w:rFonts w:eastAsia="Calibri"/>
          <w:szCs w:val="22"/>
        </w:rPr>
        <w:tab/>
        <w:t>The manipulation check for the second round of pretest data showed that the high and low reflexivity conditions differed significantly on the reflexivity manipulation check (</w:t>
      </w:r>
      <w:r w:rsidRPr="00CC73F3">
        <w:rPr>
          <w:rFonts w:eastAsia="Calibri"/>
          <w:i/>
          <w:szCs w:val="22"/>
        </w:rPr>
        <w:t>t</w:t>
      </w:r>
      <w:r w:rsidRPr="00CC73F3">
        <w:rPr>
          <w:rFonts w:eastAsia="Calibri"/>
          <w:szCs w:val="22"/>
        </w:rPr>
        <w:t xml:space="preserve">(90) = 5.24, </w:t>
      </w:r>
      <w:r w:rsidRPr="00CC73F3">
        <w:rPr>
          <w:rFonts w:eastAsia="Calibri"/>
          <w:i/>
          <w:szCs w:val="22"/>
        </w:rPr>
        <w:t>p</w:t>
      </w:r>
      <w:r w:rsidRPr="00CC73F3">
        <w:rPr>
          <w:rFonts w:eastAsia="Calibri"/>
          <w:szCs w:val="22"/>
        </w:rPr>
        <w:t xml:space="preserve"> &lt; .001). The manipulation check for the prevention and promotion Group Regulatory Focus groups also differed significantly form one another on the manipulation check measure of regulatory focus (</w:t>
      </w:r>
      <w:proofErr w:type="gramStart"/>
      <w:r w:rsidRPr="00CC73F3">
        <w:rPr>
          <w:rFonts w:eastAsia="Calibri"/>
          <w:i/>
          <w:szCs w:val="22"/>
        </w:rPr>
        <w:t>t</w:t>
      </w:r>
      <w:r w:rsidRPr="00CC73F3">
        <w:rPr>
          <w:rFonts w:eastAsia="Calibri"/>
          <w:szCs w:val="22"/>
        </w:rPr>
        <w:t>(</w:t>
      </w:r>
      <w:proofErr w:type="gramEnd"/>
      <w:r w:rsidRPr="00CC73F3">
        <w:rPr>
          <w:rFonts w:eastAsia="Calibri"/>
          <w:szCs w:val="22"/>
        </w:rPr>
        <w:t xml:space="preserve">90) = 5.29, </w:t>
      </w:r>
      <w:r w:rsidRPr="00CC73F3">
        <w:rPr>
          <w:rFonts w:eastAsia="Calibri"/>
          <w:i/>
          <w:szCs w:val="22"/>
        </w:rPr>
        <w:t>p</w:t>
      </w:r>
      <w:r w:rsidRPr="00CC73F3">
        <w:rPr>
          <w:rFonts w:eastAsia="Calibri"/>
          <w:szCs w:val="22"/>
        </w:rPr>
        <w:t xml:space="preserve"> &lt; .001). The final wording of the experimental manipulations for both regulatory focus and reflexivity are shown in Table 13 and Table 14.</w:t>
      </w: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p>
    <w:p w:rsidR="00070FC5" w:rsidRPr="00CC73F3" w:rsidRDefault="00070FC5" w:rsidP="00D639F5">
      <w:pPr>
        <w:pStyle w:val="Caption"/>
        <w:rPr>
          <w:rFonts w:eastAsia="Calibri"/>
        </w:rPr>
      </w:pPr>
      <w:bookmarkStart w:id="77" w:name="_Toc420570938"/>
      <w:proofErr w:type="gramStart"/>
      <w:r w:rsidRPr="00CC73F3">
        <w:t xml:space="preserve">Table </w:t>
      </w:r>
      <w:fldSimple w:instr=" SEQ Table \* ARABIC ">
        <w:r w:rsidRPr="00CC73F3">
          <w:rPr>
            <w:noProof/>
          </w:rPr>
          <w:t>13</w:t>
        </w:r>
      </w:fldSimple>
      <w:r w:rsidRPr="00CC73F3">
        <w:rPr>
          <w:rFonts w:eastAsia="Calibri"/>
        </w:rPr>
        <w:t>.</w:t>
      </w:r>
      <w:proofErr w:type="gramEnd"/>
      <w:r w:rsidRPr="00CC73F3">
        <w:rPr>
          <w:rFonts w:eastAsia="Calibri"/>
        </w:rPr>
        <w:t xml:space="preserve"> Group Regulatory Focus Experimental Manipulations</w:t>
      </w:r>
      <w:bookmarkEnd w:id="77"/>
    </w:p>
    <w:p w:rsidR="00070FC5" w:rsidRPr="00CC73F3" w:rsidRDefault="00070FC5" w:rsidP="00D639F5">
      <w:pPr>
        <w:rPr>
          <w:rFonts w:eastAsia="Calibri"/>
        </w:rPr>
      </w:pPr>
    </w:p>
    <w:tbl>
      <w:tblPr>
        <w:tblW w:w="0" w:type="auto"/>
        <w:tblLook w:val="04A0" w:firstRow="1" w:lastRow="0" w:firstColumn="1" w:lastColumn="0" w:noHBand="0" w:noVBand="1"/>
      </w:tblPr>
      <w:tblGrid>
        <w:gridCol w:w="2268"/>
        <w:gridCol w:w="7308"/>
      </w:tblGrid>
      <w:tr w:rsidR="00070FC5" w:rsidRPr="00CC73F3" w:rsidTr="00D639F5">
        <w:tc>
          <w:tcPr>
            <w:tcW w:w="2268" w:type="dxa"/>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Manipulation</w:t>
            </w:r>
          </w:p>
        </w:tc>
        <w:tc>
          <w:tcPr>
            <w:tcW w:w="7308"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Wording</w:t>
            </w:r>
          </w:p>
        </w:tc>
      </w:tr>
      <w:tr w:rsidR="00070FC5" w:rsidRPr="00CC73F3" w:rsidTr="00D639F5">
        <w:tc>
          <w:tcPr>
            <w:tcW w:w="2268" w:type="dxa"/>
            <w:tcBorders>
              <w:top w:val="single" w:sz="18"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Prevention</w:t>
            </w:r>
          </w:p>
        </w:tc>
        <w:tc>
          <w:tcPr>
            <w:tcW w:w="7308"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Imagine that you are in charge of overseeing new product development for a company that manufactures products for consumer markets and solicits new product ideas directly from customers.</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Please take a moment to familiarize yourself with the following information about your firm:</w:t>
            </w:r>
          </w:p>
          <w:p w:rsidR="00070FC5" w:rsidRPr="00CC73F3" w:rsidRDefault="00070FC5" w:rsidP="00D639F5">
            <w:pPr>
              <w:numPr>
                <w:ilvl w:val="0"/>
                <w:numId w:val="39"/>
              </w:numPr>
              <w:contextualSpacing/>
              <w:rPr>
                <w:rFonts w:eastAsia="Calibri"/>
              </w:rPr>
            </w:pPr>
            <w:r w:rsidRPr="00CC73F3">
              <w:rPr>
                <w:rFonts w:eastAsia="Calibri"/>
              </w:rPr>
              <w:t xml:space="preserve">Your company is very vigilant about finding and commercializing new ideas, does not like to take risks, and always tries to go with the “safe bet” in new product endeavors. </w:t>
            </w:r>
          </w:p>
          <w:p w:rsidR="00070FC5" w:rsidRPr="00CC73F3" w:rsidRDefault="00070FC5" w:rsidP="00D639F5">
            <w:pPr>
              <w:numPr>
                <w:ilvl w:val="0"/>
                <w:numId w:val="39"/>
              </w:numPr>
              <w:contextualSpacing/>
              <w:rPr>
                <w:rFonts w:eastAsia="Calibri"/>
              </w:rPr>
            </w:pPr>
            <w:r w:rsidRPr="00CC73F3">
              <w:rPr>
                <w:rFonts w:eastAsia="Calibri"/>
              </w:rPr>
              <w:t xml:space="preserve">People in your firm who have made poor decisions in the past have been fired or demoted. </w:t>
            </w:r>
          </w:p>
          <w:p w:rsidR="00070FC5" w:rsidRPr="00CC73F3" w:rsidRDefault="00070FC5" w:rsidP="00D639F5">
            <w:pPr>
              <w:numPr>
                <w:ilvl w:val="0"/>
                <w:numId w:val="39"/>
              </w:numPr>
              <w:contextualSpacing/>
              <w:rPr>
                <w:rFonts w:eastAsia="Calibri"/>
              </w:rPr>
            </w:pPr>
            <w:r w:rsidRPr="00CC73F3">
              <w:rPr>
                <w:rFonts w:eastAsia="Calibri"/>
              </w:rPr>
              <w:t>In your decision process, you should adopt a vigilant evaluation approach, in line with how your company is run.</w:t>
            </w:r>
          </w:p>
          <w:p w:rsidR="00070FC5" w:rsidRPr="00CC73F3" w:rsidRDefault="00070FC5" w:rsidP="00D639F5">
            <w:pPr>
              <w:numPr>
                <w:ilvl w:val="0"/>
                <w:numId w:val="39"/>
              </w:numPr>
              <w:contextualSpacing/>
              <w:rPr>
                <w:rFonts w:eastAsia="Calibri"/>
              </w:rPr>
            </w:pPr>
            <w:r w:rsidRPr="00CC73F3">
              <w:rPr>
                <w:rFonts w:eastAsia="Calibri"/>
              </w:rPr>
              <w:t xml:space="preserve">You will be asked to make a series of evaluations and choices about new product concepts. Your starting compensation for participating in this exercise is $10. </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However, for each product you inaccurately evaluate (based on the real market performance of these products and/or expert evaluations of each product), you will be penalized 50 cents, up to a maximum loss of $5 per person. Your potential total earning is between $10 and $5 per person.</w:t>
            </w:r>
          </w:p>
          <w:p w:rsidR="00070FC5" w:rsidRPr="00CC73F3" w:rsidRDefault="00070FC5" w:rsidP="00D639F5">
            <w:pPr>
              <w:rPr>
                <w:rFonts w:eastAsia="Calibri"/>
                <w:b/>
              </w:rPr>
            </w:pPr>
          </w:p>
        </w:tc>
      </w:tr>
      <w:tr w:rsidR="00070FC5" w:rsidRPr="00CC73F3" w:rsidTr="00D639F5">
        <w:tc>
          <w:tcPr>
            <w:tcW w:w="2268" w:type="dxa"/>
            <w:tcBorders>
              <w:bottom w:val="single" w:sz="18"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Promotion</w:t>
            </w:r>
          </w:p>
        </w:tc>
        <w:tc>
          <w:tcPr>
            <w:tcW w:w="7308" w:type="dxa"/>
            <w:tcBorders>
              <w:bottom w:val="single" w:sz="18" w:space="0" w:color="auto"/>
            </w:tcBorders>
            <w:shd w:val="clear" w:color="auto" w:fill="auto"/>
          </w:tcPr>
          <w:p w:rsidR="00070FC5" w:rsidRPr="00CC73F3" w:rsidRDefault="00070FC5" w:rsidP="00D639F5">
            <w:pPr>
              <w:rPr>
                <w:rFonts w:eastAsia="Calibri"/>
              </w:rPr>
            </w:pPr>
            <w:r w:rsidRPr="00CC73F3">
              <w:rPr>
                <w:rFonts w:eastAsia="Calibri"/>
              </w:rPr>
              <w:t>Imagine that you are in charge of overseeing new product development for a company that manufactures products for consumer markets and solicits new product ideas directly from customers.</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 xml:space="preserve">Please take a moment to familiarize yourself with the following information about your firm: </w:t>
            </w:r>
          </w:p>
          <w:p w:rsidR="00070FC5" w:rsidRPr="00CC73F3" w:rsidRDefault="00070FC5" w:rsidP="00D639F5">
            <w:pPr>
              <w:rPr>
                <w:rFonts w:eastAsia="Calibri"/>
              </w:rPr>
            </w:pPr>
            <w:r w:rsidRPr="00CC73F3">
              <w:rPr>
                <w:rFonts w:eastAsia="Calibri"/>
              </w:rPr>
              <w:t xml:space="preserve"> Your company is very eager to find and commercialize new ideas, likes to take risks, and always tries to be on the “cutting edge” in new product endeavors. </w:t>
            </w:r>
          </w:p>
          <w:p w:rsidR="00070FC5" w:rsidRPr="00CC73F3" w:rsidRDefault="00070FC5" w:rsidP="00D639F5">
            <w:pPr>
              <w:numPr>
                <w:ilvl w:val="0"/>
                <w:numId w:val="38"/>
              </w:numPr>
              <w:contextualSpacing/>
              <w:rPr>
                <w:rFonts w:eastAsia="Calibri"/>
              </w:rPr>
            </w:pPr>
            <w:r w:rsidRPr="00CC73F3">
              <w:rPr>
                <w:rFonts w:eastAsia="Calibri"/>
              </w:rPr>
              <w:t>People in your firm who have taken risks with new product innovations in the past, have been given promotions and/or raises.</w:t>
            </w:r>
          </w:p>
          <w:p w:rsidR="00070FC5" w:rsidRPr="00CC73F3" w:rsidRDefault="00070FC5" w:rsidP="00D639F5">
            <w:pPr>
              <w:numPr>
                <w:ilvl w:val="0"/>
                <w:numId w:val="38"/>
              </w:numPr>
              <w:contextualSpacing/>
              <w:rPr>
                <w:rFonts w:eastAsia="Calibri"/>
              </w:rPr>
            </w:pPr>
            <w:r w:rsidRPr="00CC73F3">
              <w:rPr>
                <w:rFonts w:eastAsia="Calibri"/>
              </w:rPr>
              <w:t xml:space="preserve">In your decision process, you should adopt an eager evaluation approach, in line with how your company is run.   </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 xml:space="preserve">You will be asked to make a series of evaluations of new product concepts. Your starting compensation for participating in this exercise is $5. However, for each product you accurately evaluate (based on the real market performance of these products and/or expert evaluations), you will earn a 50 cent reward, up to a maximum gain of $5 extra per person.  </w:t>
            </w:r>
          </w:p>
          <w:p w:rsidR="00070FC5" w:rsidRPr="00CC73F3" w:rsidRDefault="00070FC5" w:rsidP="00D639F5">
            <w:pPr>
              <w:rPr>
                <w:rFonts w:eastAsia="Calibri"/>
              </w:rPr>
            </w:pPr>
            <w:r w:rsidRPr="00CC73F3">
              <w:rPr>
                <w:rFonts w:eastAsia="Calibri"/>
              </w:rPr>
              <w:t>Your potential total earning is between $5 and $10 per person.</w:t>
            </w:r>
          </w:p>
        </w:tc>
      </w:tr>
    </w:tbl>
    <w:p w:rsidR="00070FC5" w:rsidRPr="00CC73F3" w:rsidRDefault="00070FC5" w:rsidP="00D639F5">
      <w:pPr>
        <w:pStyle w:val="Caption"/>
      </w:pPr>
    </w:p>
    <w:p w:rsidR="00070FC5" w:rsidRPr="00CC73F3" w:rsidRDefault="00070FC5" w:rsidP="00D639F5">
      <w:pPr>
        <w:pStyle w:val="Caption"/>
        <w:rPr>
          <w:rFonts w:eastAsia="Calibri"/>
        </w:rPr>
      </w:pPr>
      <w:bookmarkStart w:id="78" w:name="_Toc420570939"/>
      <w:proofErr w:type="gramStart"/>
      <w:r w:rsidRPr="00CC73F3">
        <w:t xml:space="preserve">Table </w:t>
      </w:r>
      <w:fldSimple w:instr=" SEQ Table \* ARABIC ">
        <w:r w:rsidRPr="00CC73F3">
          <w:rPr>
            <w:noProof/>
          </w:rPr>
          <w:t>14</w:t>
        </w:r>
      </w:fldSimple>
      <w:r w:rsidRPr="00CC73F3">
        <w:rPr>
          <w:rFonts w:eastAsia="Calibri"/>
        </w:rPr>
        <w:t>.</w:t>
      </w:r>
      <w:proofErr w:type="gramEnd"/>
      <w:r w:rsidRPr="00CC73F3">
        <w:rPr>
          <w:rFonts w:eastAsia="Calibri"/>
        </w:rPr>
        <w:t xml:space="preserve"> Group Reflexivity Manipulations</w:t>
      </w:r>
      <w:bookmarkEnd w:id="78"/>
    </w:p>
    <w:p w:rsidR="00070FC5" w:rsidRPr="00CC73F3" w:rsidRDefault="00070FC5" w:rsidP="00D639F5">
      <w:pPr>
        <w:rPr>
          <w:rFonts w:eastAsia="Calibri"/>
        </w:rPr>
      </w:pPr>
    </w:p>
    <w:tbl>
      <w:tblPr>
        <w:tblW w:w="0" w:type="auto"/>
        <w:tblLook w:val="04A0" w:firstRow="1" w:lastRow="0" w:firstColumn="1" w:lastColumn="0" w:noHBand="0" w:noVBand="1"/>
      </w:tblPr>
      <w:tblGrid>
        <w:gridCol w:w="2268"/>
        <w:gridCol w:w="7308"/>
      </w:tblGrid>
      <w:tr w:rsidR="00070FC5" w:rsidRPr="00CC73F3" w:rsidTr="00D639F5">
        <w:tc>
          <w:tcPr>
            <w:tcW w:w="2268"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Manipulation</w:t>
            </w:r>
          </w:p>
        </w:tc>
        <w:tc>
          <w:tcPr>
            <w:tcW w:w="7308"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Wording</w:t>
            </w:r>
          </w:p>
        </w:tc>
      </w:tr>
      <w:tr w:rsidR="00070FC5" w:rsidRPr="00CC73F3" w:rsidTr="00D639F5">
        <w:tc>
          <w:tcPr>
            <w:tcW w:w="2268" w:type="dxa"/>
            <w:tcBorders>
              <w:top w:val="single" w:sz="18"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High Reflexivity</w:t>
            </w:r>
          </w:p>
        </w:tc>
        <w:tc>
          <w:tcPr>
            <w:tcW w:w="7308"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As previously mentioned, you will be asked to observe and rate a series of new product concepts. As you go through each product concept, you should spend a good amount of time thinking about and discussing each product, making sure you come to a solid team consensus before submitting your answer.</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Some of the things you might discuss as a group include:</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numPr>
                <w:ilvl w:val="0"/>
                <w:numId w:val="42"/>
              </w:numPr>
              <w:contextualSpacing/>
              <w:rPr>
                <w:rFonts w:eastAsia="Calibri"/>
              </w:rPr>
            </w:pPr>
            <w:r w:rsidRPr="00CC73F3">
              <w:rPr>
                <w:rFonts w:eastAsia="Calibri"/>
              </w:rPr>
              <w:t>Would this product be likely to actually sell?</w:t>
            </w:r>
          </w:p>
          <w:p w:rsidR="00070FC5" w:rsidRPr="00CC73F3" w:rsidRDefault="00070FC5" w:rsidP="00D639F5">
            <w:pPr>
              <w:numPr>
                <w:ilvl w:val="0"/>
                <w:numId w:val="42"/>
              </w:numPr>
              <w:contextualSpacing/>
              <w:rPr>
                <w:rFonts w:eastAsia="Calibri"/>
              </w:rPr>
            </w:pPr>
            <w:r w:rsidRPr="00CC73F3">
              <w:rPr>
                <w:rFonts w:eastAsia="Calibri"/>
              </w:rPr>
              <w:t>Who is the target market for this product?</w:t>
            </w:r>
          </w:p>
          <w:p w:rsidR="00070FC5" w:rsidRPr="00CC73F3" w:rsidRDefault="00070FC5" w:rsidP="00D639F5">
            <w:pPr>
              <w:numPr>
                <w:ilvl w:val="0"/>
                <w:numId w:val="42"/>
              </w:numPr>
              <w:contextualSpacing/>
              <w:rPr>
                <w:rFonts w:eastAsia="Calibri"/>
              </w:rPr>
            </w:pPr>
            <w:r w:rsidRPr="00CC73F3">
              <w:rPr>
                <w:rFonts w:eastAsia="Calibri"/>
              </w:rPr>
              <w:t>Would this product be likely to work as advertised?</w:t>
            </w:r>
          </w:p>
          <w:p w:rsidR="00070FC5" w:rsidRPr="00CC73F3" w:rsidRDefault="00070FC5" w:rsidP="00D639F5">
            <w:pPr>
              <w:numPr>
                <w:ilvl w:val="0"/>
                <w:numId w:val="42"/>
              </w:numPr>
              <w:contextualSpacing/>
              <w:rPr>
                <w:rFonts w:eastAsia="Calibri"/>
              </w:rPr>
            </w:pPr>
            <w:r w:rsidRPr="00CC73F3">
              <w:rPr>
                <w:rFonts w:eastAsia="Calibri"/>
              </w:rPr>
              <w:t xml:space="preserve">Do either of us have knowledge, experience or expertise with this type of product that might help us </w:t>
            </w:r>
            <w:proofErr w:type="gramStart"/>
            <w:r w:rsidRPr="00CC73F3">
              <w:rPr>
                <w:rFonts w:eastAsia="Calibri"/>
              </w:rPr>
              <w:t>make</w:t>
            </w:r>
            <w:proofErr w:type="gramEnd"/>
            <w:r w:rsidRPr="00CC73F3">
              <w:rPr>
                <w:rFonts w:eastAsia="Calibri"/>
              </w:rPr>
              <w:t xml:space="preserve"> a better decision?</w:t>
            </w:r>
          </w:p>
          <w:p w:rsidR="00070FC5" w:rsidRPr="00CC73F3" w:rsidRDefault="00070FC5" w:rsidP="00D639F5">
            <w:pPr>
              <w:numPr>
                <w:ilvl w:val="0"/>
                <w:numId w:val="42"/>
              </w:numPr>
              <w:contextualSpacing/>
              <w:rPr>
                <w:rFonts w:eastAsia="Calibri"/>
              </w:rPr>
            </w:pPr>
            <w:r w:rsidRPr="00CC73F3">
              <w:rPr>
                <w:rFonts w:eastAsia="Calibri"/>
              </w:rPr>
              <w:t>Does something similar to this product already exist on the market?</w:t>
            </w:r>
          </w:p>
          <w:p w:rsidR="00070FC5" w:rsidRPr="00CC73F3" w:rsidRDefault="00070FC5" w:rsidP="00D639F5">
            <w:pPr>
              <w:rPr>
                <w:rFonts w:eastAsia="Calibri"/>
                <w:b/>
              </w:rPr>
            </w:pPr>
            <w:r w:rsidRPr="00CC73F3">
              <w:rPr>
                <w:rFonts w:eastAsia="Calibri"/>
                <w:b/>
              </w:rPr>
              <w:t xml:space="preserve"> </w:t>
            </w:r>
          </w:p>
        </w:tc>
      </w:tr>
      <w:tr w:rsidR="00070FC5" w:rsidRPr="00CC73F3" w:rsidTr="00D639F5">
        <w:tc>
          <w:tcPr>
            <w:tcW w:w="2268" w:type="dxa"/>
            <w:tcBorders>
              <w:bottom w:val="single" w:sz="18"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Low Reflexivity</w:t>
            </w:r>
          </w:p>
        </w:tc>
        <w:tc>
          <w:tcPr>
            <w:tcW w:w="7308" w:type="dxa"/>
            <w:tcBorders>
              <w:bottom w:val="single" w:sz="18" w:space="0" w:color="auto"/>
            </w:tcBorders>
            <w:shd w:val="clear" w:color="auto" w:fill="auto"/>
          </w:tcPr>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 xml:space="preserve">As previously mentioned, you will be asked to observe and rate a series of new product concepts. </w:t>
            </w:r>
          </w:p>
          <w:p w:rsidR="00070FC5" w:rsidRPr="00CC73F3" w:rsidRDefault="00070FC5" w:rsidP="00D639F5">
            <w:pPr>
              <w:rPr>
                <w:rFonts w:eastAsia="Calibri"/>
              </w:rPr>
            </w:pPr>
            <w:r w:rsidRPr="00CC73F3">
              <w:rPr>
                <w:rFonts w:eastAsia="Calibri"/>
              </w:rPr>
              <w:t xml:space="preserve"> </w:t>
            </w:r>
          </w:p>
          <w:p w:rsidR="00070FC5" w:rsidRPr="00CC73F3" w:rsidRDefault="00070FC5" w:rsidP="00D639F5">
            <w:pPr>
              <w:rPr>
                <w:rFonts w:eastAsia="Calibri"/>
              </w:rPr>
            </w:pPr>
            <w:r w:rsidRPr="00CC73F3">
              <w:rPr>
                <w:rFonts w:eastAsia="Calibri"/>
              </w:rPr>
              <w:t xml:space="preserve">As you go through each product concept, you should engage in as little discussion as possible about each product.  Go with your first instinct and select the first answer that comes to your mind. </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If you don't immediately agree, try to arrive at an answer with very minimal discussion, appointing a "decider" for each product concept, if necessary.</w:t>
            </w:r>
          </w:p>
          <w:p w:rsidR="00070FC5" w:rsidRPr="00CC73F3" w:rsidRDefault="00070FC5" w:rsidP="00D639F5">
            <w:pPr>
              <w:rPr>
                <w:rFonts w:eastAsia="Calibri"/>
                <w:b/>
              </w:rPr>
            </w:pPr>
          </w:p>
        </w:tc>
      </w:tr>
    </w:tbl>
    <w:p w:rsidR="00070FC5" w:rsidRPr="00CC73F3" w:rsidRDefault="00070FC5" w:rsidP="00D639F5">
      <w:pPr>
        <w:spacing w:line="480" w:lineRule="auto"/>
        <w:rPr>
          <w:rFonts w:eastAsia="Calibri"/>
          <w:b/>
          <w:szCs w:val="22"/>
        </w:rPr>
      </w:pPr>
    </w:p>
    <w:p w:rsidR="00070FC5" w:rsidRPr="00CC73F3" w:rsidRDefault="00070FC5" w:rsidP="00D639F5">
      <w:pPr>
        <w:pStyle w:val="Heading3"/>
      </w:pPr>
      <w:bookmarkStart w:id="79" w:name="_Toc420572601"/>
      <w:r w:rsidRPr="00CC73F3">
        <w:t>Measurement Reliability for Study 1 and Study Main Exercises</w:t>
      </w:r>
      <w:bookmarkEnd w:id="79"/>
    </w:p>
    <w:p w:rsidR="00070FC5" w:rsidRPr="00CC73F3" w:rsidRDefault="00070FC5" w:rsidP="00D639F5">
      <w:pPr>
        <w:spacing w:line="480" w:lineRule="auto"/>
        <w:rPr>
          <w:rFonts w:eastAsia="Calibri"/>
          <w:szCs w:val="22"/>
        </w:rPr>
      </w:pPr>
      <w:r w:rsidRPr="00CC73F3">
        <w:rPr>
          <w:rFonts w:eastAsia="Calibri"/>
          <w:szCs w:val="22"/>
        </w:rPr>
        <w:tab/>
        <w:t>Based on the main experiment, the scale items for each measured construct were examined to ensure that they met the .70 threshold for alpha reliability suggested by Nunnally (1978). The Cronbach’s alpha of each measure used is shown below in Table 15 and the individual items for each of the measures are listed in Appendix 1.</w:t>
      </w:r>
    </w:p>
    <w:p w:rsidR="00070FC5" w:rsidRPr="00CC73F3" w:rsidRDefault="00070FC5" w:rsidP="00D639F5">
      <w:pPr>
        <w:jc w:val="center"/>
        <w:rPr>
          <w:rFonts w:eastAsia="Calibri"/>
          <w:b/>
          <w:i/>
          <w:szCs w:val="22"/>
        </w:rPr>
      </w:pPr>
    </w:p>
    <w:p w:rsidR="00070FC5" w:rsidRPr="00CC73F3" w:rsidRDefault="00070FC5" w:rsidP="00D639F5">
      <w:pPr>
        <w:spacing w:line="480" w:lineRule="auto"/>
        <w:rPr>
          <w:rFonts w:eastAsia="Calibri"/>
          <w:szCs w:val="22"/>
        </w:rPr>
      </w:pPr>
      <w:r w:rsidRPr="00CC73F3">
        <w:rPr>
          <w:rFonts w:eastAsia="Calibri"/>
          <w:szCs w:val="22"/>
        </w:rPr>
        <w:tab/>
        <w:t xml:space="preserve">Group regulatory focus was measured using an adapted three-item semantic differential scale adapted from </w:t>
      </w:r>
      <w:r w:rsidRPr="00CC73F3">
        <w:rPr>
          <w:rFonts w:eastAsia="Calibri"/>
          <w:noProof/>
          <w:szCs w:val="22"/>
        </w:rPr>
        <w:t>(Van Stekelenburg, 2006)</w:t>
      </w:r>
      <w:r w:rsidRPr="00CC73F3">
        <w:rPr>
          <w:rFonts w:eastAsia="Calibri"/>
          <w:szCs w:val="22"/>
        </w:rPr>
        <w:t>, and showed an alpha reliability of .75. Group reflexivity was measured using a 7-point Likert scale adapted from Schippers et al., 2007, and showed an alpha reliability of .75. The wording of the items, shown in Appendix 1, was modified to reflect the product ranking and selection tasks the teams were asked to complete in Study 1 and Study 2.</w:t>
      </w:r>
    </w:p>
    <w:p w:rsidR="00070FC5" w:rsidRPr="00CC73F3" w:rsidRDefault="00070FC5" w:rsidP="00D639F5">
      <w:pPr>
        <w:spacing w:line="480" w:lineRule="auto"/>
        <w:rPr>
          <w:rFonts w:eastAsia="Calibri"/>
          <w:szCs w:val="22"/>
        </w:rPr>
      </w:pPr>
      <w:r w:rsidRPr="00CC73F3">
        <w:rPr>
          <w:rFonts w:eastAsia="Calibri"/>
          <w:szCs w:val="22"/>
        </w:rPr>
        <w:tab/>
        <w:t>Product novelty, used in Study 1, was measured using a 4-item scale from (Im and Workman, 2004) and the alpha reliability was calculated separately for each of the 4 products used. For each of the four products the alpha reliability is above .70 (.78, .82, .84, and .73, respectively).</w:t>
      </w:r>
    </w:p>
    <w:p w:rsidR="00070FC5" w:rsidRPr="00CC73F3" w:rsidRDefault="00070FC5" w:rsidP="00D639F5">
      <w:pPr>
        <w:pStyle w:val="Caption"/>
        <w:rPr>
          <w:rFonts w:eastAsia="Calibri"/>
        </w:rPr>
      </w:pPr>
      <w:bookmarkStart w:id="80" w:name="_Toc420570940"/>
      <w:proofErr w:type="gramStart"/>
      <w:r w:rsidRPr="00CC73F3">
        <w:t xml:space="preserve">Table </w:t>
      </w:r>
      <w:fldSimple w:instr=" SEQ Table \* ARABIC ">
        <w:r w:rsidRPr="00CC73F3">
          <w:rPr>
            <w:noProof/>
          </w:rPr>
          <w:t>15</w:t>
        </w:r>
      </w:fldSimple>
      <w:r w:rsidRPr="00CC73F3">
        <w:rPr>
          <w:rFonts w:eastAsia="Calibri"/>
        </w:rPr>
        <w:t>.</w:t>
      </w:r>
      <w:proofErr w:type="gramEnd"/>
      <w:r w:rsidRPr="00CC73F3">
        <w:rPr>
          <w:rFonts w:eastAsia="Calibri"/>
        </w:rPr>
        <w:t xml:space="preserve"> Measure Reliability for Study 1 and Study 2</w:t>
      </w:r>
      <w:bookmarkEnd w:id="80"/>
    </w:p>
    <w:p w:rsidR="00070FC5" w:rsidRPr="00CC73F3" w:rsidRDefault="00070FC5" w:rsidP="00D639F5">
      <w:pPr>
        <w:rPr>
          <w:rFonts w:eastAsia="Calibri"/>
          <w:szCs w:val="22"/>
        </w:rPr>
      </w:pPr>
    </w:p>
    <w:tbl>
      <w:tblPr>
        <w:tblW w:w="0" w:type="auto"/>
        <w:jc w:val="center"/>
        <w:tblInd w:w="-751" w:type="dxa"/>
        <w:tblLook w:val="04A0" w:firstRow="1" w:lastRow="0" w:firstColumn="1" w:lastColumn="0" w:noHBand="0" w:noVBand="1"/>
      </w:tblPr>
      <w:tblGrid>
        <w:gridCol w:w="3134"/>
        <w:gridCol w:w="3870"/>
        <w:gridCol w:w="884"/>
      </w:tblGrid>
      <w:tr w:rsidR="00070FC5" w:rsidRPr="00CC73F3" w:rsidTr="00D639F5">
        <w:trPr>
          <w:jc w:val="center"/>
        </w:trPr>
        <w:tc>
          <w:tcPr>
            <w:tcW w:w="3134"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Variable</w:t>
            </w:r>
          </w:p>
        </w:tc>
        <w:tc>
          <w:tcPr>
            <w:tcW w:w="387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Variable Type</w:t>
            </w:r>
          </w:p>
        </w:tc>
        <w:tc>
          <w:tcPr>
            <w:tcW w:w="884"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α</w:t>
            </w:r>
          </w:p>
        </w:tc>
      </w:tr>
      <w:tr w:rsidR="00070FC5" w:rsidRPr="00CC73F3" w:rsidTr="00D639F5">
        <w:trPr>
          <w:jc w:val="center"/>
        </w:trPr>
        <w:tc>
          <w:tcPr>
            <w:tcW w:w="3134"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Group Reflexivity</w:t>
            </w:r>
          </w:p>
        </w:tc>
        <w:tc>
          <w:tcPr>
            <w:tcW w:w="3870"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 xml:space="preserve">Manipulation Check </w:t>
            </w:r>
          </w:p>
        </w:tc>
        <w:tc>
          <w:tcPr>
            <w:tcW w:w="884"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.75</w:t>
            </w:r>
          </w:p>
        </w:tc>
      </w:tr>
      <w:tr w:rsidR="00070FC5" w:rsidRPr="00CC73F3" w:rsidTr="00D639F5">
        <w:trPr>
          <w:jc w:val="center"/>
        </w:trPr>
        <w:tc>
          <w:tcPr>
            <w:tcW w:w="3134" w:type="dxa"/>
            <w:shd w:val="clear" w:color="auto" w:fill="auto"/>
          </w:tcPr>
          <w:p w:rsidR="00070FC5" w:rsidRPr="00CC73F3" w:rsidRDefault="00070FC5" w:rsidP="00D639F5">
            <w:pPr>
              <w:rPr>
                <w:rFonts w:eastAsia="Calibri"/>
              </w:rPr>
            </w:pPr>
            <w:r w:rsidRPr="00CC73F3">
              <w:rPr>
                <w:rFonts w:eastAsia="Calibri"/>
              </w:rPr>
              <w:t>Group Regulatory Focus</w:t>
            </w:r>
          </w:p>
        </w:tc>
        <w:tc>
          <w:tcPr>
            <w:tcW w:w="3870" w:type="dxa"/>
            <w:shd w:val="clear" w:color="auto" w:fill="auto"/>
          </w:tcPr>
          <w:p w:rsidR="00070FC5" w:rsidRPr="00CC73F3" w:rsidRDefault="00070FC5" w:rsidP="00D639F5">
            <w:pPr>
              <w:jc w:val="center"/>
              <w:rPr>
                <w:rFonts w:eastAsia="Calibri"/>
              </w:rPr>
            </w:pPr>
            <w:r w:rsidRPr="00CC73F3">
              <w:rPr>
                <w:rFonts w:eastAsia="Calibri"/>
              </w:rPr>
              <w:t>Manipulation Check</w:t>
            </w:r>
          </w:p>
        </w:tc>
        <w:tc>
          <w:tcPr>
            <w:tcW w:w="884" w:type="dxa"/>
            <w:shd w:val="clear" w:color="auto" w:fill="auto"/>
          </w:tcPr>
          <w:p w:rsidR="00070FC5" w:rsidRPr="00CC73F3" w:rsidRDefault="00070FC5" w:rsidP="00D639F5">
            <w:pPr>
              <w:jc w:val="center"/>
              <w:rPr>
                <w:rFonts w:eastAsia="Calibri"/>
              </w:rPr>
            </w:pPr>
            <w:r w:rsidRPr="00CC73F3">
              <w:rPr>
                <w:rFonts w:eastAsia="Calibri"/>
              </w:rPr>
              <w:t>.75</w:t>
            </w:r>
          </w:p>
        </w:tc>
      </w:tr>
      <w:tr w:rsidR="00070FC5" w:rsidRPr="00CC73F3" w:rsidTr="00D639F5">
        <w:trPr>
          <w:jc w:val="center"/>
        </w:trPr>
        <w:tc>
          <w:tcPr>
            <w:tcW w:w="3134" w:type="dxa"/>
            <w:shd w:val="clear" w:color="auto" w:fill="auto"/>
          </w:tcPr>
          <w:p w:rsidR="00070FC5" w:rsidRPr="00CC73F3" w:rsidRDefault="00070FC5" w:rsidP="00D639F5">
            <w:pPr>
              <w:rPr>
                <w:rFonts w:eastAsia="Calibri"/>
              </w:rPr>
            </w:pP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3134" w:type="dxa"/>
            <w:shd w:val="clear" w:color="auto" w:fill="auto"/>
          </w:tcPr>
          <w:p w:rsidR="00070FC5" w:rsidRPr="00CC73F3" w:rsidRDefault="00070FC5" w:rsidP="00D639F5">
            <w:pPr>
              <w:rPr>
                <w:rFonts w:eastAsia="Calibri"/>
              </w:rPr>
            </w:pPr>
            <w:r w:rsidRPr="00CC73F3">
              <w:rPr>
                <w:rFonts w:eastAsia="Calibri"/>
              </w:rPr>
              <w:t>Feasibility</w:t>
            </w:r>
          </w:p>
        </w:tc>
        <w:tc>
          <w:tcPr>
            <w:tcW w:w="3870" w:type="dxa"/>
            <w:shd w:val="clear" w:color="auto" w:fill="auto"/>
          </w:tcPr>
          <w:p w:rsidR="00070FC5" w:rsidRPr="00CC73F3" w:rsidRDefault="00070FC5" w:rsidP="00D639F5">
            <w:pPr>
              <w:jc w:val="center"/>
              <w:rPr>
                <w:rFonts w:eastAsia="Calibri"/>
              </w:rPr>
            </w:pPr>
            <w:r w:rsidRPr="00CC73F3">
              <w:rPr>
                <w:rFonts w:eastAsia="Calibri"/>
              </w:rPr>
              <w:t>Used to calculate distance score DV</w:t>
            </w:r>
          </w:p>
        </w:tc>
        <w:tc>
          <w:tcPr>
            <w:tcW w:w="884"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Drumstick Holder</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.68</w:t>
            </w: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Video-Enabled Submarine</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.83</w:t>
            </w: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Under-Chair Drawer</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.80</w:t>
            </w: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Smoke Detector</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.82</w:t>
            </w:r>
          </w:p>
        </w:tc>
      </w:tr>
      <w:tr w:rsidR="00070FC5" w:rsidRPr="00CC73F3" w:rsidTr="00D639F5">
        <w:trPr>
          <w:jc w:val="center"/>
        </w:trPr>
        <w:tc>
          <w:tcPr>
            <w:tcW w:w="3134" w:type="dxa"/>
            <w:shd w:val="clear" w:color="auto" w:fill="auto"/>
          </w:tcPr>
          <w:p w:rsidR="00070FC5" w:rsidRPr="00CC73F3" w:rsidRDefault="00070FC5" w:rsidP="00D639F5">
            <w:pPr>
              <w:rPr>
                <w:rFonts w:eastAsia="Calibri"/>
              </w:rPr>
            </w:pPr>
            <w:r w:rsidRPr="00CC73F3">
              <w:rPr>
                <w:rFonts w:eastAsia="Calibri"/>
              </w:rPr>
              <w:t>Novelty</w:t>
            </w:r>
          </w:p>
        </w:tc>
        <w:tc>
          <w:tcPr>
            <w:tcW w:w="3870" w:type="dxa"/>
            <w:shd w:val="clear" w:color="auto" w:fill="auto"/>
          </w:tcPr>
          <w:p w:rsidR="00070FC5" w:rsidRPr="00CC73F3" w:rsidRDefault="00070FC5" w:rsidP="00D639F5">
            <w:pPr>
              <w:jc w:val="center"/>
              <w:rPr>
                <w:rFonts w:eastAsia="Calibri"/>
              </w:rPr>
            </w:pPr>
            <w:r w:rsidRPr="00CC73F3">
              <w:rPr>
                <w:rFonts w:eastAsia="Calibri"/>
              </w:rPr>
              <w:t>Used to calculate distance score DV</w:t>
            </w:r>
          </w:p>
        </w:tc>
        <w:tc>
          <w:tcPr>
            <w:tcW w:w="884"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Drumstick Holder</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.78</w:t>
            </w: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Video-Enabled Submarine</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.82</w:t>
            </w: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Under-Chair Drawer</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.84</w:t>
            </w: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Smoke Detector</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.73</w:t>
            </w:r>
          </w:p>
        </w:tc>
      </w:tr>
      <w:tr w:rsidR="00070FC5" w:rsidRPr="00CC73F3" w:rsidTr="00D639F5">
        <w:trPr>
          <w:jc w:val="center"/>
        </w:trPr>
        <w:tc>
          <w:tcPr>
            <w:tcW w:w="3134" w:type="dxa"/>
            <w:shd w:val="clear" w:color="auto" w:fill="auto"/>
          </w:tcPr>
          <w:p w:rsidR="00070FC5" w:rsidRPr="00CC73F3" w:rsidRDefault="00070FC5" w:rsidP="00D639F5">
            <w:pPr>
              <w:rPr>
                <w:rFonts w:eastAsia="Calibri"/>
              </w:rPr>
            </w:pPr>
            <w:r w:rsidRPr="00CC73F3">
              <w:rPr>
                <w:rFonts w:eastAsia="Calibri"/>
              </w:rPr>
              <w:t>Meaningfulness</w:t>
            </w:r>
          </w:p>
        </w:tc>
        <w:tc>
          <w:tcPr>
            <w:tcW w:w="3870" w:type="dxa"/>
            <w:shd w:val="clear" w:color="auto" w:fill="auto"/>
          </w:tcPr>
          <w:p w:rsidR="00070FC5" w:rsidRPr="00CC73F3" w:rsidRDefault="00070FC5" w:rsidP="00D639F5">
            <w:pPr>
              <w:jc w:val="center"/>
              <w:rPr>
                <w:rFonts w:eastAsia="Calibri"/>
              </w:rPr>
            </w:pPr>
            <w:r w:rsidRPr="00CC73F3">
              <w:rPr>
                <w:rFonts w:eastAsia="Calibri"/>
              </w:rPr>
              <w:t>Used to calculate distance score DV</w:t>
            </w:r>
          </w:p>
        </w:tc>
        <w:tc>
          <w:tcPr>
            <w:tcW w:w="884"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Drumstick Holder</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.95</w:t>
            </w: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Video-Enabled Submarine</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.90</w:t>
            </w: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Under-Chair Drawer</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.94</w:t>
            </w:r>
          </w:p>
        </w:tc>
      </w:tr>
      <w:tr w:rsidR="00070FC5" w:rsidRPr="00CC73F3" w:rsidTr="00D639F5">
        <w:trPr>
          <w:jc w:val="center"/>
        </w:trPr>
        <w:tc>
          <w:tcPr>
            <w:tcW w:w="3134" w:type="dxa"/>
            <w:shd w:val="clear" w:color="auto" w:fill="auto"/>
          </w:tcPr>
          <w:p w:rsidR="00070FC5" w:rsidRPr="00CC73F3" w:rsidRDefault="00070FC5" w:rsidP="00D639F5">
            <w:pPr>
              <w:jc w:val="right"/>
              <w:rPr>
                <w:rFonts w:eastAsia="Calibri"/>
              </w:rPr>
            </w:pPr>
            <w:r w:rsidRPr="00CC73F3">
              <w:rPr>
                <w:rFonts w:eastAsia="Calibri"/>
              </w:rPr>
              <w:t>Smoke Detector</w:t>
            </w: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r w:rsidRPr="00CC73F3">
              <w:rPr>
                <w:rFonts w:eastAsia="Calibri"/>
              </w:rPr>
              <w:t>.95</w:t>
            </w:r>
          </w:p>
        </w:tc>
      </w:tr>
      <w:tr w:rsidR="00070FC5" w:rsidRPr="00CC73F3" w:rsidTr="00D639F5">
        <w:trPr>
          <w:jc w:val="center"/>
        </w:trPr>
        <w:tc>
          <w:tcPr>
            <w:tcW w:w="3134" w:type="dxa"/>
            <w:shd w:val="clear" w:color="auto" w:fill="auto"/>
          </w:tcPr>
          <w:p w:rsidR="00070FC5" w:rsidRPr="00CC73F3" w:rsidRDefault="00070FC5" w:rsidP="00D639F5">
            <w:pPr>
              <w:rPr>
                <w:rFonts w:eastAsia="Calibri"/>
              </w:rPr>
            </w:pPr>
          </w:p>
        </w:tc>
        <w:tc>
          <w:tcPr>
            <w:tcW w:w="3870" w:type="dxa"/>
            <w:shd w:val="clear" w:color="auto" w:fill="auto"/>
          </w:tcPr>
          <w:p w:rsidR="00070FC5" w:rsidRPr="00CC73F3" w:rsidRDefault="00070FC5" w:rsidP="00D639F5">
            <w:pPr>
              <w:jc w:val="center"/>
              <w:rPr>
                <w:rFonts w:eastAsia="Calibri"/>
              </w:rPr>
            </w:pPr>
          </w:p>
        </w:tc>
        <w:tc>
          <w:tcPr>
            <w:tcW w:w="884"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3134" w:type="dxa"/>
            <w:shd w:val="clear" w:color="auto" w:fill="auto"/>
          </w:tcPr>
          <w:p w:rsidR="00070FC5" w:rsidRPr="00CC73F3" w:rsidRDefault="00070FC5" w:rsidP="00D639F5">
            <w:pPr>
              <w:rPr>
                <w:rFonts w:eastAsia="Calibri"/>
              </w:rPr>
            </w:pPr>
            <w:r w:rsidRPr="00CC73F3">
              <w:rPr>
                <w:rFonts w:eastAsia="Calibri"/>
              </w:rPr>
              <w:t>Individual Regulatory Focus</w:t>
            </w:r>
          </w:p>
        </w:tc>
        <w:tc>
          <w:tcPr>
            <w:tcW w:w="3870" w:type="dxa"/>
            <w:shd w:val="clear" w:color="auto" w:fill="auto"/>
          </w:tcPr>
          <w:p w:rsidR="00070FC5" w:rsidRPr="00CC73F3" w:rsidRDefault="00070FC5" w:rsidP="00D639F5">
            <w:pPr>
              <w:jc w:val="center"/>
              <w:rPr>
                <w:rFonts w:eastAsia="Calibri"/>
              </w:rPr>
            </w:pPr>
            <w:r w:rsidRPr="00CC73F3">
              <w:rPr>
                <w:rFonts w:eastAsia="Calibri"/>
              </w:rPr>
              <w:t>Control Variable</w:t>
            </w:r>
          </w:p>
        </w:tc>
        <w:tc>
          <w:tcPr>
            <w:tcW w:w="884" w:type="dxa"/>
            <w:shd w:val="clear" w:color="auto" w:fill="auto"/>
          </w:tcPr>
          <w:p w:rsidR="00070FC5" w:rsidRPr="00CC73F3" w:rsidRDefault="00070FC5" w:rsidP="00D639F5">
            <w:pPr>
              <w:jc w:val="center"/>
              <w:rPr>
                <w:rFonts w:eastAsia="Calibri"/>
              </w:rPr>
            </w:pPr>
            <w:r w:rsidRPr="00CC73F3">
              <w:rPr>
                <w:rFonts w:eastAsia="Calibri"/>
              </w:rPr>
              <w:t>.77</w:t>
            </w:r>
          </w:p>
        </w:tc>
      </w:tr>
      <w:tr w:rsidR="00070FC5" w:rsidRPr="00CC73F3" w:rsidTr="00D639F5">
        <w:trPr>
          <w:jc w:val="center"/>
        </w:trPr>
        <w:tc>
          <w:tcPr>
            <w:tcW w:w="3134" w:type="dxa"/>
            <w:tcBorders>
              <w:bottom w:val="single" w:sz="18" w:space="0" w:color="auto"/>
            </w:tcBorders>
            <w:shd w:val="clear" w:color="auto" w:fill="auto"/>
          </w:tcPr>
          <w:p w:rsidR="00070FC5" w:rsidRPr="00CC73F3" w:rsidRDefault="00070FC5" w:rsidP="00D639F5">
            <w:pPr>
              <w:rPr>
                <w:rFonts w:eastAsia="Calibri"/>
              </w:rPr>
            </w:pPr>
            <w:r w:rsidRPr="00CC73F3">
              <w:rPr>
                <w:rFonts w:eastAsia="Calibri"/>
              </w:rPr>
              <w:t>Individual Affect</w:t>
            </w:r>
          </w:p>
        </w:tc>
        <w:tc>
          <w:tcPr>
            <w:tcW w:w="3870"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Control Variable</w:t>
            </w:r>
          </w:p>
        </w:tc>
        <w:tc>
          <w:tcPr>
            <w:tcW w:w="884"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.77</w:t>
            </w:r>
          </w:p>
        </w:tc>
      </w:tr>
    </w:tbl>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szCs w:val="22"/>
        </w:rPr>
        <w:tab/>
        <w:t xml:space="preserve">Products meaningfulness, used in Study 1, was measured using a 4-item scale from </w:t>
      </w:r>
      <w:r w:rsidRPr="00CC73F3">
        <w:rPr>
          <w:rFonts w:eastAsia="Calibri"/>
          <w:noProof/>
          <w:szCs w:val="22"/>
        </w:rPr>
        <w:t>(Im &amp; Workman Jr, 2004)</w:t>
      </w:r>
      <w:r w:rsidRPr="00CC73F3">
        <w:rPr>
          <w:rFonts w:eastAsia="Calibri"/>
          <w:szCs w:val="22"/>
        </w:rPr>
        <w:t xml:space="preserve"> and the alpha reliability was calculated separately for each 4 products used in the Study 1 experiment. The Cronbach’s alpha for this scale was above .90 for all four of the products used in the main experiment (drumstick holder α = .95, submarine α = .90, under-chair drawer α = .94, and smoke detector α = .95).</w:t>
      </w:r>
    </w:p>
    <w:p w:rsidR="00070FC5" w:rsidRPr="00CC73F3" w:rsidRDefault="00070FC5" w:rsidP="00D639F5">
      <w:pPr>
        <w:spacing w:line="480" w:lineRule="auto"/>
        <w:rPr>
          <w:rFonts w:eastAsia="Calibri"/>
          <w:szCs w:val="22"/>
        </w:rPr>
      </w:pPr>
      <w:r w:rsidRPr="00CC73F3">
        <w:rPr>
          <w:rFonts w:eastAsia="Calibri"/>
          <w:szCs w:val="22"/>
        </w:rPr>
        <w:tab/>
        <w:t>Product feasibility, used in Study 1 was measured using a 3-item scale, created for this study and based on a single-item measure used by Poetz and Schreier (2012) and Magnussen et al. (2003). First, the existing literature in which feasibility (also called realizability) had been used in a similar manner (i.e., Poetz &amp; Schreier, 2012; Magnussen et al., 2003) was reviewed and five items were generated (Table 4.8). Next the five items were used in the first pretest with a sample of 94 teams of two undergraduate students. Based on the first pretest, items 4 and 5 were dropped due to very low factor loadings in a factor analysis. The resulting 3-item scale had Cronbach’s alphas of between .76 and .90 across the original five products used in the Study 1 pretest. Next, the refined 3-item scale was used in the second pretest with a sample of 92 teams of two undergraduate students. Based on the second pretest, the Cronbach’s alphas of the feasibility measure were .65 for the drumstick holder, .79 for the body charger, .76 for the submarine, .78 for the drawer, and .82 for the smoke detector. The scale was then used in the main experiment, with the alpha reliabilities reported above in Table 15. For three of the four products, the Cronbach’s alphas of the feasibility measure were above .70 (submarine, .83; under-chair drawer .80; and smoke detector, .82). The drumstick holder showed a reliability for the feasibility measures lower than .7, but still within a marginally acceptable range (.68).</w:t>
      </w: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p>
    <w:p w:rsidR="00070FC5" w:rsidRPr="00CC73F3" w:rsidRDefault="00070FC5" w:rsidP="00D639F5">
      <w:pPr>
        <w:pStyle w:val="Caption"/>
        <w:rPr>
          <w:rFonts w:eastAsia="Calibri"/>
        </w:rPr>
      </w:pPr>
      <w:bookmarkStart w:id="81" w:name="_Toc420570941"/>
      <w:proofErr w:type="gramStart"/>
      <w:r w:rsidRPr="00CC73F3">
        <w:t xml:space="preserve">Table </w:t>
      </w:r>
      <w:fldSimple w:instr=" SEQ Table \* ARABIC ">
        <w:r w:rsidRPr="00CC73F3">
          <w:rPr>
            <w:noProof/>
          </w:rPr>
          <w:t>16</w:t>
        </w:r>
      </w:fldSimple>
      <w:r w:rsidRPr="00CC73F3">
        <w:rPr>
          <w:rFonts w:eastAsia="Calibri"/>
        </w:rPr>
        <w:t>.</w:t>
      </w:r>
      <w:proofErr w:type="gramEnd"/>
      <w:r w:rsidRPr="00CC73F3">
        <w:rPr>
          <w:rFonts w:eastAsia="Calibri"/>
        </w:rPr>
        <w:t xml:space="preserve"> New Product Concept Feasibility</w:t>
      </w:r>
      <w:r w:rsidR="00117A2D">
        <w:rPr>
          <w:rFonts w:eastAsia="Calibri"/>
        </w:rPr>
        <w:t xml:space="preserve"> Items</w:t>
      </w:r>
      <w:bookmarkEnd w:id="81"/>
    </w:p>
    <w:p w:rsidR="00070FC5" w:rsidRPr="00CC73F3" w:rsidRDefault="00070FC5" w:rsidP="00D639F5">
      <w:pPr>
        <w:rPr>
          <w:rFonts w:eastAsia="Calibri"/>
        </w:rPr>
      </w:pPr>
    </w:p>
    <w:tbl>
      <w:tblPr>
        <w:tblW w:w="0" w:type="auto"/>
        <w:jc w:val="center"/>
        <w:tblInd w:w="288" w:type="dxa"/>
        <w:tblLook w:val="04A0" w:firstRow="1" w:lastRow="0" w:firstColumn="1" w:lastColumn="0" w:noHBand="0" w:noVBand="1"/>
      </w:tblPr>
      <w:tblGrid>
        <w:gridCol w:w="7830"/>
      </w:tblGrid>
      <w:tr w:rsidR="00070FC5" w:rsidRPr="00CC73F3" w:rsidTr="00D639F5">
        <w:trPr>
          <w:jc w:val="center"/>
        </w:trPr>
        <w:tc>
          <w:tcPr>
            <w:tcW w:w="783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Items for Feasibility Scale</w:t>
            </w:r>
          </w:p>
        </w:tc>
      </w:tr>
      <w:tr w:rsidR="00070FC5" w:rsidRPr="00CC73F3" w:rsidTr="00D639F5">
        <w:trPr>
          <w:jc w:val="center"/>
        </w:trPr>
        <w:tc>
          <w:tcPr>
            <w:tcW w:w="7830"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Compared to products currently on the market, this new product concept…</w:t>
            </w:r>
          </w:p>
        </w:tc>
      </w:tr>
      <w:tr w:rsidR="00070FC5" w:rsidRPr="00CC73F3" w:rsidTr="00D639F5">
        <w:trPr>
          <w:jc w:val="center"/>
        </w:trPr>
        <w:tc>
          <w:tcPr>
            <w:tcW w:w="7830" w:type="dxa"/>
            <w:shd w:val="clear" w:color="auto" w:fill="auto"/>
          </w:tcPr>
          <w:p w:rsidR="00070FC5" w:rsidRPr="00CC73F3" w:rsidRDefault="00070FC5" w:rsidP="00D639F5">
            <w:pPr>
              <w:numPr>
                <w:ilvl w:val="0"/>
                <w:numId w:val="41"/>
              </w:numPr>
              <w:contextualSpacing/>
              <w:rPr>
                <w:rFonts w:eastAsia="Calibri"/>
              </w:rPr>
            </w:pPr>
            <w:r w:rsidRPr="00CC73F3">
              <w:rPr>
                <w:rFonts w:eastAsia="Calibri"/>
              </w:rPr>
              <w:t>would be feasible for a company to make</w:t>
            </w:r>
          </w:p>
        </w:tc>
      </w:tr>
      <w:tr w:rsidR="00070FC5" w:rsidRPr="00CC73F3" w:rsidTr="00D639F5">
        <w:trPr>
          <w:jc w:val="center"/>
        </w:trPr>
        <w:tc>
          <w:tcPr>
            <w:tcW w:w="7830" w:type="dxa"/>
            <w:shd w:val="clear" w:color="auto" w:fill="auto"/>
          </w:tcPr>
          <w:p w:rsidR="00070FC5" w:rsidRPr="00CC73F3" w:rsidRDefault="00070FC5" w:rsidP="00D639F5">
            <w:pPr>
              <w:numPr>
                <w:ilvl w:val="0"/>
                <w:numId w:val="41"/>
              </w:numPr>
              <w:contextualSpacing/>
              <w:rPr>
                <w:rFonts w:eastAsia="Calibri"/>
              </w:rPr>
            </w:pPr>
            <w:r w:rsidRPr="00CC73F3">
              <w:rPr>
                <w:rFonts w:eastAsia="Calibri"/>
              </w:rPr>
              <w:t>could be developed without difficulty</w:t>
            </w:r>
          </w:p>
        </w:tc>
      </w:tr>
      <w:tr w:rsidR="00070FC5" w:rsidRPr="00CC73F3" w:rsidTr="00D639F5">
        <w:trPr>
          <w:jc w:val="center"/>
        </w:trPr>
        <w:tc>
          <w:tcPr>
            <w:tcW w:w="7830" w:type="dxa"/>
            <w:shd w:val="clear" w:color="auto" w:fill="auto"/>
          </w:tcPr>
          <w:p w:rsidR="00070FC5" w:rsidRPr="00CC73F3" w:rsidRDefault="00070FC5" w:rsidP="00D639F5">
            <w:pPr>
              <w:numPr>
                <w:ilvl w:val="0"/>
                <w:numId w:val="41"/>
              </w:numPr>
              <w:contextualSpacing/>
              <w:rPr>
                <w:rFonts w:eastAsia="Calibri"/>
              </w:rPr>
            </w:pPr>
            <w:r w:rsidRPr="00CC73F3">
              <w:rPr>
                <w:rFonts w:eastAsia="Calibri"/>
              </w:rPr>
              <w:t>would be practical to manufacture</w:t>
            </w:r>
          </w:p>
        </w:tc>
      </w:tr>
      <w:tr w:rsidR="00070FC5" w:rsidRPr="00CC73F3" w:rsidTr="00D639F5">
        <w:trPr>
          <w:jc w:val="center"/>
        </w:trPr>
        <w:tc>
          <w:tcPr>
            <w:tcW w:w="7830" w:type="dxa"/>
            <w:shd w:val="clear" w:color="auto" w:fill="auto"/>
          </w:tcPr>
          <w:p w:rsidR="00070FC5" w:rsidRPr="00CC73F3" w:rsidRDefault="00070FC5" w:rsidP="00D639F5">
            <w:pPr>
              <w:numPr>
                <w:ilvl w:val="0"/>
                <w:numId w:val="41"/>
              </w:numPr>
              <w:contextualSpacing/>
              <w:rPr>
                <w:rFonts w:eastAsia="Calibri"/>
              </w:rPr>
            </w:pPr>
            <w:r w:rsidRPr="00CC73F3">
              <w:rPr>
                <w:rFonts w:eastAsia="Calibri"/>
              </w:rPr>
              <w:t>would be a complex undertaking to commercialize (R)</w:t>
            </w:r>
            <w:r w:rsidRPr="00CC73F3">
              <w:rPr>
                <w:rFonts w:eastAsia="Calibri"/>
                <w:vertAlign w:val="superscript"/>
              </w:rPr>
              <w:t>**</w:t>
            </w:r>
          </w:p>
        </w:tc>
      </w:tr>
      <w:tr w:rsidR="00070FC5" w:rsidRPr="00CC73F3" w:rsidTr="00D639F5">
        <w:trPr>
          <w:jc w:val="center"/>
        </w:trPr>
        <w:tc>
          <w:tcPr>
            <w:tcW w:w="7830" w:type="dxa"/>
            <w:tcBorders>
              <w:bottom w:val="single" w:sz="18" w:space="0" w:color="auto"/>
            </w:tcBorders>
            <w:shd w:val="clear" w:color="auto" w:fill="auto"/>
          </w:tcPr>
          <w:p w:rsidR="00070FC5" w:rsidRPr="00CC73F3" w:rsidRDefault="00070FC5" w:rsidP="00D639F5">
            <w:pPr>
              <w:numPr>
                <w:ilvl w:val="0"/>
                <w:numId w:val="41"/>
              </w:numPr>
              <w:contextualSpacing/>
              <w:rPr>
                <w:rFonts w:eastAsia="Calibri"/>
              </w:rPr>
            </w:pPr>
            <w:r w:rsidRPr="00CC73F3">
              <w:rPr>
                <w:rFonts w:eastAsia="Calibri"/>
              </w:rPr>
              <w:t>would be a challenge to design for mass production (R)</w:t>
            </w:r>
            <w:r w:rsidRPr="00CC73F3">
              <w:rPr>
                <w:rFonts w:eastAsia="Calibri"/>
                <w:vertAlign w:val="superscript"/>
              </w:rPr>
              <w:t>**</w:t>
            </w:r>
          </w:p>
        </w:tc>
      </w:tr>
      <w:tr w:rsidR="00070FC5" w:rsidRPr="00CC73F3" w:rsidTr="00D639F5">
        <w:trPr>
          <w:jc w:val="center"/>
        </w:trPr>
        <w:tc>
          <w:tcPr>
            <w:tcW w:w="7830" w:type="dxa"/>
            <w:tcBorders>
              <w:top w:val="single" w:sz="18" w:space="0" w:color="auto"/>
            </w:tcBorders>
            <w:shd w:val="clear" w:color="auto" w:fill="auto"/>
          </w:tcPr>
          <w:p w:rsidR="00070FC5" w:rsidRPr="00CC73F3" w:rsidRDefault="00070FC5" w:rsidP="00D639F5">
            <w:pPr>
              <w:contextualSpacing/>
              <w:rPr>
                <w:rFonts w:eastAsia="Calibri"/>
                <w:sz w:val="20"/>
                <w:szCs w:val="20"/>
              </w:rPr>
            </w:pPr>
            <w:r w:rsidRPr="00CC73F3">
              <w:rPr>
                <w:rFonts w:eastAsia="Calibri"/>
                <w:sz w:val="20"/>
                <w:szCs w:val="20"/>
              </w:rPr>
              <w:t>** These items were deleted in the final scale</w:t>
            </w:r>
          </w:p>
        </w:tc>
      </w:tr>
    </w:tbl>
    <w:p w:rsidR="00070FC5" w:rsidRPr="00CC73F3" w:rsidRDefault="00070FC5" w:rsidP="00D639F5">
      <w:pPr>
        <w:spacing w:line="480" w:lineRule="auto"/>
        <w:rPr>
          <w:rFonts w:eastAsia="Calibri"/>
          <w:szCs w:val="22"/>
        </w:rPr>
      </w:pPr>
      <w:r w:rsidRPr="00CC73F3">
        <w:rPr>
          <w:rFonts w:eastAsia="Calibri"/>
          <w:szCs w:val="22"/>
        </w:rPr>
        <w:tab/>
      </w:r>
    </w:p>
    <w:p w:rsidR="00070FC5" w:rsidRPr="00CC73F3" w:rsidRDefault="00070FC5" w:rsidP="00D639F5">
      <w:pPr>
        <w:spacing w:line="480" w:lineRule="auto"/>
        <w:rPr>
          <w:rFonts w:eastAsia="Calibri"/>
          <w:szCs w:val="22"/>
        </w:rPr>
      </w:pPr>
      <w:r w:rsidRPr="00CC73F3">
        <w:rPr>
          <w:rFonts w:eastAsia="Calibri"/>
          <w:szCs w:val="22"/>
        </w:rPr>
        <w:tab/>
        <w:t xml:space="preserve">In addition to these variables, two control variables were included for each team in Study 1 and Study 2 – individual regulatory focus of team members and individual positive affect of team members. Spanjol et al. (2001) found that the chronic regulatory focus of each individual in an innovation team influenced their overall decision-making quality. To compute this variable, both team members completed a 5-item, 7-point instrument measuring regulatory focus </w:t>
      </w:r>
      <w:r w:rsidRPr="00CC73F3">
        <w:rPr>
          <w:rFonts w:eastAsia="Calibri"/>
          <w:noProof/>
          <w:szCs w:val="22"/>
        </w:rPr>
        <w:t>(Haws, Dholakia, &amp; Bearden, 2010)</w:t>
      </w:r>
      <w:proofErr w:type="gramStart"/>
      <w:r w:rsidRPr="00CC73F3">
        <w:rPr>
          <w:rFonts w:eastAsia="Calibri"/>
          <w:szCs w:val="22"/>
        </w:rPr>
        <w:t>,</w:t>
      </w:r>
      <w:proofErr w:type="gramEnd"/>
      <w:r w:rsidRPr="00CC73F3">
        <w:rPr>
          <w:rFonts w:eastAsia="Calibri"/>
          <w:szCs w:val="22"/>
        </w:rPr>
        <w:t xml:space="preserve"> then their responses were averaged to create a single measure. </w:t>
      </w:r>
      <w:r w:rsidRPr="00CC73F3">
        <w:rPr>
          <w:rFonts w:eastAsia="Calibri"/>
          <w:noProof/>
          <w:szCs w:val="22"/>
        </w:rPr>
        <w:t>Isen, Daubman, and Nowicki (1987)</w:t>
      </w:r>
      <w:r w:rsidRPr="00CC73F3">
        <w:rPr>
          <w:rFonts w:eastAsia="Calibri"/>
          <w:szCs w:val="22"/>
        </w:rPr>
        <w:t xml:space="preserve"> found that positive affect positively influences individuals’ creativity and problem-solving ability. As such, the individual positive affect of each group’s team members was measured separately using a 10-item, 7-point scale developed by </w:t>
      </w:r>
      <w:r w:rsidRPr="00CC73F3">
        <w:rPr>
          <w:rFonts w:eastAsia="Calibri"/>
          <w:noProof/>
          <w:szCs w:val="22"/>
        </w:rPr>
        <w:t>Watson, Clark, and Tellegen (1988)</w:t>
      </w:r>
      <w:r w:rsidRPr="00CC73F3">
        <w:rPr>
          <w:rFonts w:eastAsia="Calibri"/>
          <w:szCs w:val="22"/>
        </w:rPr>
        <w:t>, then the responses of each individual were averaged to create a measure of the level of positive affect of the individuals in each team.</w:t>
      </w:r>
    </w:p>
    <w:p w:rsidR="00070FC5" w:rsidRPr="00CC73F3" w:rsidRDefault="00070FC5" w:rsidP="00D639F5">
      <w:pPr>
        <w:pStyle w:val="Heading3"/>
      </w:pPr>
    </w:p>
    <w:p w:rsidR="00070FC5" w:rsidRPr="00CC73F3" w:rsidRDefault="00070FC5" w:rsidP="00D639F5">
      <w:pPr>
        <w:pStyle w:val="Heading3"/>
      </w:pPr>
      <w:bookmarkStart w:id="82" w:name="_Toc420572602"/>
      <w:r w:rsidRPr="00CC73F3">
        <w:t>Expert Raters</w:t>
      </w:r>
      <w:bookmarkEnd w:id="82"/>
    </w:p>
    <w:p w:rsidR="00070FC5" w:rsidRPr="00CC73F3" w:rsidRDefault="00070FC5" w:rsidP="00D639F5">
      <w:pPr>
        <w:spacing w:line="480" w:lineRule="auto"/>
        <w:rPr>
          <w:rFonts w:eastAsia="Calibri"/>
          <w:szCs w:val="22"/>
        </w:rPr>
      </w:pPr>
      <w:r w:rsidRPr="00CC73F3">
        <w:rPr>
          <w:rFonts w:eastAsia="Calibri"/>
          <w:szCs w:val="22"/>
        </w:rPr>
        <w:tab/>
        <w:t xml:space="preserve">To develop baseline scores for novelty, meaningfulness, and feasibility across the set of products used in Study 1, a panel of 10 new product development experts were recruited to complete the same rating exercise for novelty, meaningfulness, and feasibility as the subjects in Study 1 (see measures in Appendix 1 for novelty, meaningfulness, and feasibility), but without the experimental manipulations. To help ensure the raters had the requisite market knowledge to assess the products used in the experiments, the new product development experts used in this study were recruited based on their having experience in developing consumer goods. All of the raters indicated they had the majority of their professional experience developing products in either consumer electronics, consumer packaged goods, and consumer home goods. The breakdown of NPD experience and NPD work roles is shown in Table 17. The sample used had 17.6 years of professional experience in new product development. The average time spent in various new product development roles is as follows: 8.5% in industrial design, 25.5% in engineering, 7.5% in marketing, 5% in sales, 10% in supply chain management, 21% in project management, 11% in operations and manufacturing, and 11.5% in other NPD roles (Director of R&amp;D, prototyping, research, etc.). </w:t>
      </w:r>
    </w:p>
    <w:p w:rsidR="00070FC5" w:rsidRPr="00CC73F3" w:rsidRDefault="00070FC5" w:rsidP="00D639F5">
      <w:pPr>
        <w:jc w:val="center"/>
        <w:rPr>
          <w:rFonts w:eastAsia="Calibri"/>
          <w:b/>
          <w:i/>
          <w:szCs w:val="22"/>
        </w:rPr>
      </w:pPr>
    </w:p>
    <w:p w:rsidR="00070FC5" w:rsidRPr="00CC73F3" w:rsidRDefault="00070FC5" w:rsidP="00D639F5">
      <w:pPr>
        <w:pStyle w:val="Caption"/>
        <w:rPr>
          <w:rFonts w:eastAsia="Calibri"/>
        </w:rPr>
      </w:pPr>
      <w:bookmarkStart w:id="83" w:name="_Toc420570942"/>
      <w:proofErr w:type="gramStart"/>
      <w:r w:rsidRPr="00CC73F3">
        <w:t xml:space="preserve">Table </w:t>
      </w:r>
      <w:fldSimple w:instr=" SEQ Table \* ARABIC ">
        <w:r w:rsidRPr="00CC73F3">
          <w:rPr>
            <w:noProof/>
          </w:rPr>
          <w:t>17</w:t>
        </w:r>
      </w:fldSimple>
      <w:r w:rsidRPr="00CC73F3">
        <w:rPr>
          <w:rFonts w:eastAsia="Calibri"/>
        </w:rPr>
        <w:t>.</w:t>
      </w:r>
      <w:proofErr w:type="gramEnd"/>
      <w:r w:rsidRPr="00CC73F3">
        <w:rPr>
          <w:rFonts w:eastAsia="Calibri"/>
        </w:rPr>
        <w:t xml:space="preserve"> Expert Rater Professional Experience</w:t>
      </w:r>
      <w:bookmarkEnd w:id="83"/>
    </w:p>
    <w:tbl>
      <w:tblPr>
        <w:tblW w:w="0" w:type="auto"/>
        <w:jc w:val="center"/>
        <w:tblInd w:w="2158" w:type="dxa"/>
        <w:tblBorders>
          <w:top w:val="single" w:sz="18" w:space="0" w:color="auto"/>
          <w:bottom w:val="single" w:sz="18" w:space="0" w:color="auto"/>
        </w:tblBorders>
        <w:tblLook w:val="04A0" w:firstRow="1" w:lastRow="0" w:firstColumn="1" w:lastColumn="0" w:noHBand="0" w:noVBand="1"/>
      </w:tblPr>
      <w:tblGrid>
        <w:gridCol w:w="6154"/>
        <w:gridCol w:w="1264"/>
      </w:tblGrid>
      <w:tr w:rsidR="00070FC5" w:rsidRPr="00CC73F3" w:rsidTr="00D639F5">
        <w:trPr>
          <w:jc w:val="center"/>
        </w:trPr>
        <w:tc>
          <w:tcPr>
            <w:tcW w:w="6154" w:type="dxa"/>
            <w:tcBorders>
              <w:top w:val="single" w:sz="18" w:space="0" w:color="auto"/>
              <w:bottom w:val="single" w:sz="18" w:space="0" w:color="auto"/>
            </w:tcBorders>
            <w:shd w:val="clear" w:color="auto" w:fill="auto"/>
          </w:tcPr>
          <w:p w:rsidR="00070FC5" w:rsidRPr="00CC73F3" w:rsidRDefault="00070FC5" w:rsidP="00D639F5">
            <w:pPr>
              <w:rPr>
                <w:rFonts w:eastAsia="Calibri"/>
                <w:b/>
              </w:rPr>
            </w:pPr>
            <w:r w:rsidRPr="00CC73F3">
              <w:rPr>
                <w:rFonts w:eastAsia="Calibri"/>
                <w:b/>
              </w:rPr>
              <w:t>Avg. Time (%) in Various NPD Roles</w:t>
            </w:r>
          </w:p>
        </w:tc>
        <w:tc>
          <w:tcPr>
            <w:tcW w:w="1264"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Percent</w:t>
            </w:r>
          </w:p>
        </w:tc>
      </w:tr>
      <w:tr w:rsidR="00070FC5" w:rsidRPr="00CC73F3" w:rsidTr="00D639F5">
        <w:trPr>
          <w:jc w:val="center"/>
        </w:trPr>
        <w:tc>
          <w:tcPr>
            <w:tcW w:w="6154" w:type="dxa"/>
            <w:tcBorders>
              <w:top w:val="single" w:sz="18" w:space="0" w:color="auto"/>
            </w:tcBorders>
            <w:shd w:val="clear" w:color="auto" w:fill="auto"/>
          </w:tcPr>
          <w:p w:rsidR="00070FC5" w:rsidRPr="00CC73F3" w:rsidRDefault="00070FC5" w:rsidP="00D639F5">
            <w:pPr>
              <w:jc w:val="right"/>
              <w:rPr>
                <w:rFonts w:eastAsia="Calibri"/>
              </w:rPr>
            </w:pPr>
            <w:r w:rsidRPr="00CC73F3">
              <w:rPr>
                <w:rFonts w:eastAsia="Calibri"/>
              </w:rPr>
              <w:t>New Product Industrial Design</w:t>
            </w:r>
          </w:p>
        </w:tc>
        <w:tc>
          <w:tcPr>
            <w:tcW w:w="1264"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8.5%</w:t>
            </w:r>
          </w:p>
        </w:tc>
      </w:tr>
      <w:tr w:rsidR="00070FC5" w:rsidRPr="00CC73F3" w:rsidTr="00D639F5">
        <w:trPr>
          <w:jc w:val="center"/>
        </w:trPr>
        <w:tc>
          <w:tcPr>
            <w:tcW w:w="6154" w:type="dxa"/>
            <w:shd w:val="clear" w:color="auto" w:fill="auto"/>
          </w:tcPr>
          <w:p w:rsidR="00070FC5" w:rsidRPr="00CC73F3" w:rsidRDefault="00070FC5" w:rsidP="00D639F5">
            <w:pPr>
              <w:jc w:val="right"/>
              <w:rPr>
                <w:rFonts w:eastAsia="Calibri"/>
              </w:rPr>
            </w:pPr>
            <w:r w:rsidRPr="00CC73F3">
              <w:rPr>
                <w:rFonts w:eastAsia="Calibri"/>
              </w:rPr>
              <w:t>New Product Engineering</w:t>
            </w:r>
          </w:p>
        </w:tc>
        <w:tc>
          <w:tcPr>
            <w:tcW w:w="1264" w:type="dxa"/>
            <w:shd w:val="clear" w:color="auto" w:fill="auto"/>
          </w:tcPr>
          <w:p w:rsidR="00070FC5" w:rsidRPr="00CC73F3" w:rsidRDefault="00070FC5" w:rsidP="00D639F5">
            <w:pPr>
              <w:jc w:val="center"/>
              <w:rPr>
                <w:rFonts w:eastAsia="Calibri"/>
              </w:rPr>
            </w:pPr>
            <w:r w:rsidRPr="00CC73F3">
              <w:rPr>
                <w:rFonts w:eastAsia="Calibri"/>
              </w:rPr>
              <w:t>25.5%</w:t>
            </w:r>
          </w:p>
        </w:tc>
      </w:tr>
      <w:tr w:rsidR="00070FC5" w:rsidRPr="00CC73F3" w:rsidTr="00D639F5">
        <w:trPr>
          <w:jc w:val="center"/>
        </w:trPr>
        <w:tc>
          <w:tcPr>
            <w:tcW w:w="6154" w:type="dxa"/>
            <w:shd w:val="clear" w:color="auto" w:fill="auto"/>
          </w:tcPr>
          <w:p w:rsidR="00070FC5" w:rsidRPr="00CC73F3" w:rsidRDefault="00070FC5" w:rsidP="00D639F5">
            <w:pPr>
              <w:jc w:val="right"/>
              <w:rPr>
                <w:rFonts w:eastAsia="Calibri"/>
              </w:rPr>
            </w:pPr>
            <w:r w:rsidRPr="00CC73F3">
              <w:rPr>
                <w:rFonts w:eastAsia="Calibri"/>
              </w:rPr>
              <w:t>New Product Marketing</w:t>
            </w:r>
          </w:p>
        </w:tc>
        <w:tc>
          <w:tcPr>
            <w:tcW w:w="1264" w:type="dxa"/>
            <w:shd w:val="clear" w:color="auto" w:fill="auto"/>
          </w:tcPr>
          <w:p w:rsidR="00070FC5" w:rsidRPr="00CC73F3" w:rsidRDefault="00070FC5" w:rsidP="00D639F5">
            <w:pPr>
              <w:jc w:val="center"/>
              <w:rPr>
                <w:rFonts w:eastAsia="Calibri"/>
              </w:rPr>
            </w:pPr>
            <w:r w:rsidRPr="00CC73F3">
              <w:rPr>
                <w:rFonts w:eastAsia="Calibri"/>
              </w:rPr>
              <w:t>7.5%</w:t>
            </w:r>
          </w:p>
        </w:tc>
      </w:tr>
      <w:tr w:rsidR="00070FC5" w:rsidRPr="00CC73F3" w:rsidTr="00D639F5">
        <w:trPr>
          <w:jc w:val="center"/>
        </w:trPr>
        <w:tc>
          <w:tcPr>
            <w:tcW w:w="6154" w:type="dxa"/>
            <w:shd w:val="clear" w:color="auto" w:fill="auto"/>
          </w:tcPr>
          <w:p w:rsidR="00070FC5" w:rsidRPr="00CC73F3" w:rsidRDefault="00070FC5" w:rsidP="00D639F5">
            <w:pPr>
              <w:jc w:val="right"/>
              <w:rPr>
                <w:rFonts w:eastAsia="Calibri"/>
              </w:rPr>
            </w:pPr>
            <w:r w:rsidRPr="00CC73F3">
              <w:rPr>
                <w:rFonts w:eastAsia="Calibri"/>
              </w:rPr>
              <w:t>New Product Sales</w:t>
            </w:r>
          </w:p>
        </w:tc>
        <w:tc>
          <w:tcPr>
            <w:tcW w:w="1264" w:type="dxa"/>
            <w:shd w:val="clear" w:color="auto" w:fill="auto"/>
          </w:tcPr>
          <w:p w:rsidR="00070FC5" w:rsidRPr="00CC73F3" w:rsidRDefault="00070FC5" w:rsidP="00D639F5">
            <w:pPr>
              <w:jc w:val="center"/>
              <w:rPr>
                <w:rFonts w:eastAsia="Calibri"/>
              </w:rPr>
            </w:pPr>
            <w:r w:rsidRPr="00CC73F3">
              <w:rPr>
                <w:rFonts w:eastAsia="Calibri"/>
              </w:rPr>
              <w:t>5.0%</w:t>
            </w:r>
          </w:p>
        </w:tc>
      </w:tr>
      <w:tr w:rsidR="00070FC5" w:rsidRPr="00CC73F3" w:rsidTr="00D639F5">
        <w:trPr>
          <w:jc w:val="center"/>
        </w:trPr>
        <w:tc>
          <w:tcPr>
            <w:tcW w:w="6154" w:type="dxa"/>
            <w:shd w:val="clear" w:color="auto" w:fill="auto"/>
          </w:tcPr>
          <w:p w:rsidR="00070FC5" w:rsidRPr="00CC73F3" w:rsidRDefault="00070FC5" w:rsidP="00D639F5">
            <w:pPr>
              <w:jc w:val="right"/>
              <w:rPr>
                <w:rFonts w:eastAsia="Calibri"/>
              </w:rPr>
            </w:pPr>
            <w:r w:rsidRPr="00CC73F3">
              <w:rPr>
                <w:rFonts w:eastAsia="Calibri"/>
              </w:rPr>
              <w:t>New Product Supply Chain Management</w:t>
            </w:r>
          </w:p>
        </w:tc>
        <w:tc>
          <w:tcPr>
            <w:tcW w:w="1264" w:type="dxa"/>
            <w:shd w:val="clear" w:color="auto" w:fill="auto"/>
          </w:tcPr>
          <w:p w:rsidR="00070FC5" w:rsidRPr="00CC73F3" w:rsidRDefault="00070FC5" w:rsidP="00D639F5">
            <w:pPr>
              <w:jc w:val="center"/>
              <w:rPr>
                <w:rFonts w:eastAsia="Calibri"/>
              </w:rPr>
            </w:pPr>
            <w:r w:rsidRPr="00CC73F3">
              <w:rPr>
                <w:rFonts w:eastAsia="Calibri"/>
              </w:rPr>
              <w:t>10.0%</w:t>
            </w:r>
          </w:p>
        </w:tc>
      </w:tr>
      <w:tr w:rsidR="00070FC5" w:rsidRPr="00CC73F3" w:rsidTr="00D639F5">
        <w:trPr>
          <w:jc w:val="center"/>
        </w:trPr>
        <w:tc>
          <w:tcPr>
            <w:tcW w:w="6154" w:type="dxa"/>
            <w:shd w:val="clear" w:color="auto" w:fill="auto"/>
          </w:tcPr>
          <w:p w:rsidR="00070FC5" w:rsidRPr="00CC73F3" w:rsidRDefault="00070FC5" w:rsidP="00D639F5">
            <w:pPr>
              <w:jc w:val="right"/>
              <w:rPr>
                <w:rFonts w:eastAsia="Calibri"/>
              </w:rPr>
            </w:pPr>
            <w:r w:rsidRPr="00CC73F3">
              <w:rPr>
                <w:rFonts w:eastAsia="Calibri"/>
              </w:rPr>
              <w:t>NPD Project Management</w:t>
            </w:r>
          </w:p>
        </w:tc>
        <w:tc>
          <w:tcPr>
            <w:tcW w:w="1264" w:type="dxa"/>
            <w:shd w:val="clear" w:color="auto" w:fill="auto"/>
          </w:tcPr>
          <w:p w:rsidR="00070FC5" w:rsidRPr="00CC73F3" w:rsidRDefault="00070FC5" w:rsidP="00D639F5">
            <w:pPr>
              <w:jc w:val="center"/>
              <w:rPr>
                <w:rFonts w:eastAsia="Calibri"/>
              </w:rPr>
            </w:pPr>
            <w:r w:rsidRPr="00CC73F3">
              <w:rPr>
                <w:rFonts w:eastAsia="Calibri"/>
              </w:rPr>
              <w:t>21.0%</w:t>
            </w:r>
          </w:p>
        </w:tc>
      </w:tr>
      <w:tr w:rsidR="00070FC5" w:rsidRPr="00CC73F3" w:rsidTr="00D639F5">
        <w:trPr>
          <w:jc w:val="center"/>
        </w:trPr>
        <w:tc>
          <w:tcPr>
            <w:tcW w:w="6154" w:type="dxa"/>
            <w:tcBorders>
              <w:bottom w:val="nil"/>
            </w:tcBorders>
            <w:shd w:val="clear" w:color="auto" w:fill="auto"/>
          </w:tcPr>
          <w:p w:rsidR="00070FC5" w:rsidRPr="00CC73F3" w:rsidRDefault="00070FC5" w:rsidP="00D639F5">
            <w:pPr>
              <w:jc w:val="right"/>
              <w:rPr>
                <w:rFonts w:eastAsia="Calibri"/>
              </w:rPr>
            </w:pPr>
            <w:r w:rsidRPr="00CC73F3">
              <w:rPr>
                <w:rFonts w:eastAsia="Calibri"/>
              </w:rPr>
              <w:t>NPD Operations/Manufacturing</w:t>
            </w:r>
          </w:p>
        </w:tc>
        <w:tc>
          <w:tcPr>
            <w:tcW w:w="1264" w:type="dxa"/>
            <w:tcBorders>
              <w:bottom w:val="nil"/>
            </w:tcBorders>
            <w:shd w:val="clear" w:color="auto" w:fill="auto"/>
          </w:tcPr>
          <w:p w:rsidR="00070FC5" w:rsidRPr="00CC73F3" w:rsidRDefault="00070FC5" w:rsidP="00D639F5">
            <w:pPr>
              <w:jc w:val="center"/>
              <w:rPr>
                <w:rFonts w:eastAsia="Calibri"/>
              </w:rPr>
            </w:pPr>
            <w:r w:rsidRPr="00CC73F3">
              <w:rPr>
                <w:rFonts w:eastAsia="Calibri"/>
              </w:rPr>
              <w:t>11.0%</w:t>
            </w:r>
          </w:p>
        </w:tc>
      </w:tr>
      <w:tr w:rsidR="00070FC5" w:rsidRPr="00CC73F3" w:rsidTr="00D639F5">
        <w:trPr>
          <w:jc w:val="center"/>
        </w:trPr>
        <w:tc>
          <w:tcPr>
            <w:tcW w:w="6154" w:type="dxa"/>
            <w:tcBorders>
              <w:top w:val="nil"/>
              <w:bottom w:val="nil"/>
            </w:tcBorders>
            <w:shd w:val="clear" w:color="auto" w:fill="auto"/>
          </w:tcPr>
          <w:p w:rsidR="00070FC5" w:rsidRPr="00CC73F3" w:rsidRDefault="00070FC5" w:rsidP="00D639F5">
            <w:pPr>
              <w:jc w:val="right"/>
              <w:rPr>
                <w:rFonts w:eastAsia="Calibri"/>
              </w:rPr>
            </w:pPr>
            <w:r w:rsidRPr="00CC73F3">
              <w:rPr>
                <w:rFonts w:eastAsia="Calibri"/>
              </w:rPr>
              <w:t xml:space="preserve">Other Roles </w:t>
            </w:r>
          </w:p>
        </w:tc>
        <w:tc>
          <w:tcPr>
            <w:tcW w:w="1264" w:type="dxa"/>
            <w:tcBorders>
              <w:top w:val="nil"/>
              <w:bottom w:val="nil"/>
            </w:tcBorders>
            <w:shd w:val="clear" w:color="auto" w:fill="auto"/>
          </w:tcPr>
          <w:p w:rsidR="00070FC5" w:rsidRPr="00CC73F3" w:rsidRDefault="00070FC5" w:rsidP="00D639F5">
            <w:pPr>
              <w:jc w:val="center"/>
              <w:rPr>
                <w:rFonts w:eastAsia="Calibri"/>
              </w:rPr>
            </w:pPr>
            <w:r w:rsidRPr="00CC73F3">
              <w:rPr>
                <w:rFonts w:eastAsia="Calibri"/>
              </w:rPr>
              <w:t>11.5%</w:t>
            </w:r>
          </w:p>
          <w:p w:rsidR="00070FC5" w:rsidRPr="00CC73F3" w:rsidRDefault="00070FC5" w:rsidP="00D639F5">
            <w:pPr>
              <w:jc w:val="center"/>
              <w:rPr>
                <w:rFonts w:eastAsia="Calibri"/>
              </w:rPr>
            </w:pPr>
          </w:p>
        </w:tc>
      </w:tr>
      <w:tr w:rsidR="00070FC5" w:rsidRPr="00CC73F3" w:rsidTr="00D639F5">
        <w:trPr>
          <w:jc w:val="center"/>
        </w:trPr>
        <w:tc>
          <w:tcPr>
            <w:tcW w:w="6154" w:type="dxa"/>
            <w:tcBorders>
              <w:top w:val="nil"/>
              <w:bottom w:val="single" w:sz="18" w:space="0" w:color="auto"/>
            </w:tcBorders>
            <w:shd w:val="clear" w:color="auto" w:fill="auto"/>
          </w:tcPr>
          <w:p w:rsidR="00070FC5" w:rsidRPr="00CC73F3" w:rsidRDefault="00070FC5" w:rsidP="00D639F5">
            <w:pPr>
              <w:jc w:val="right"/>
              <w:rPr>
                <w:rFonts w:eastAsia="Calibri"/>
                <w:i/>
              </w:rPr>
            </w:pPr>
            <w:r w:rsidRPr="00CC73F3">
              <w:rPr>
                <w:rFonts w:eastAsia="Calibri"/>
                <w:i/>
              </w:rPr>
              <w:t>Total</w:t>
            </w:r>
          </w:p>
        </w:tc>
        <w:tc>
          <w:tcPr>
            <w:tcW w:w="1264" w:type="dxa"/>
            <w:tcBorders>
              <w:top w:val="nil"/>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100%</w:t>
            </w:r>
          </w:p>
        </w:tc>
      </w:tr>
    </w:tbl>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84" w:name="_Toc420572603"/>
      <w:r w:rsidRPr="00CC73F3">
        <w:t>Expert Rater Reliability</w:t>
      </w:r>
      <w:bookmarkEnd w:id="84"/>
    </w:p>
    <w:p w:rsidR="00070FC5" w:rsidRPr="00CC73F3" w:rsidRDefault="00070FC5" w:rsidP="00D639F5">
      <w:pPr>
        <w:spacing w:line="480" w:lineRule="auto"/>
        <w:rPr>
          <w:rFonts w:eastAsia="Calibri"/>
          <w:szCs w:val="22"/>
        </w:rPr>
      </w:pPr>
      <w:r w:rsidRPr="00CC73F3">
        <w:rPr>
          <w:rFonts w:eastAsia="Calibri"/>
          <w:szCs w:val="22"/>
        </w:rPr>
        <w:tab/>
        <w:t xml:space="preserve">To assess the level of agreement among the expert raters, the </w:t>
      </w:r>
      <w:proofErr w:type="gramStart"/>
      <w:r w:rsidRPr="00CC73F3">
        <w:rPr>
          <w:rFonts w:eastAsia="Calibri"/>
          <w:szCs w:val="22"/>
        </w:rPr>
        <w:t>R</w:t>
      </w:r>
      <w:r w:rsidRPr="00CC73F3">
        <w:rPr>
          <w:rFonts w:eastAsia="Calibri"/>
          <w:i/>
          <w:szCs w:val="22"/>
          <w:vertAlign w:val="subscript"/>
        </w:rPr>
        <w:t>wg(</w:t>
      </w:r>
      <w:proofErr w:type="gramEnd"/>
      <w:r w:rsidRPr="00CC73F3">
        <w:rPr>
          <w:rFonts w:eastAsia="Calibri"/>
          <w:i/>
          <w:szCs w:val="22"/>
          <w:vertAlign w:val="subscript"/>
        </w:rPr>
        <w:t xml:space="preserve">j) </w:t>
      </w:r>
      <w:r w:rsidRPr="00CC73F3">
        <w:rPr>
          <w:rFonts w:eastAsia="Calibri"/>
          <w:szCs w:val="22"/>
        </w:rPr>
        <w:t xml:space="preserve"> measure of interrater agreement </w:t>
      </w:r>
      <w:r w:rsidRPr="00CC73F3">
        <w:rPr>
          <w:rFonts w:eastAsia="Calibri"/>
          <w:noProof/>
          <w:szCs w:val="22"/>
        </w:rPr>
        <w:t>(James, Demaree, &amp; Wolf, 1993)</w:t>
      </w:r>
      <w:r w:rsidRPr="00CC73F3">
        <w:rPr>
          <w:rFonts w:eastAsia="Calibri"/>
          <w:szCs w:val="22"/>
        </w:rPr>
        <w:t xml:space="preserve"> was used following the formula: </w:t>
      </w:r>
    </w:p>
    <w:p w:rsidR="00070FC5" w:rsidRPr="00CC73F3" w:rsidRDefault="00070FC5" w:rsidP="00D639F5">
      <w:pPr>
        <w:spacing w:line="480" w:lineRule="auto"/>
        <w:ind w:left="2520"/>
        <w:contextualSpacing/>
        <w:jc w:val="center"/>
        <w:rPr>
          <w:rFonts w:eastAsia="Calibri"/>
          <w:szCs w:val="22"/>
        </w:rPr>
      </w:pPr>
      <w:proofErr w:type="gramStart"/>
      <w:r w:rsidRPr="00CC73F3">
        <w:rPr>
          <w:rFonts w:eastAsia="Calibri"/>
          <w:szCs w:val="22"/>
        </w:rPr>
        <w:t>R</w:t>
      </w:r>
      <w:r w:rsidRPr="00CC73F3">
        <w:rPr>
          <w:rFonts w:eastAsia="Calibri"/>
          <w:i/>
          <w:szCs w:val="22"/>
          <w:vertAlign w:val="subscript"/>
        </w:rPr>
        <w:t>wg(</w:t>
      </w:r>
      <w:proofErr w:type="gramEnd"/>
      <w:r w:rsidRPr="00CC73F3">
        <w:rPr>
          <w:rFonts w:eastAsia="Calibri"/>
          <w:i/>
          <w:szCs w:val="22"/>
          <w:vertAlign w:val="subscript"/>
        </w:rPr>
        <w:t>j)</w:t>
      </w:r>
      <w:r w:rsidRPr="00CC73F3">
        <w:rPr>
          <w:rFonts w:eastAsia="Calibri"/>
          <w:i/>
          <w:szCs w:val="22"/>
        </w:rPr>
        <w:t xml:space="preserve"> </w:t>
      </w:r>
      <w:r w:rsidRPr="00CC73F3">
        <w:rPr>
          <w:rFonts w:eastAsia="Calibri"/>
          <w:szCs w:val="22"/>
        </w:rPr>
        <w:t xml:space="preserve">= </w:t>
      </w:r>
      <w:r w:rsidR="007E2E0A">
        <w:rPr>
          <w:rFonts w:eastAsia="Calibri"/>
          <w:position w:val="-30"/>
          <w:szCs w:val="22"/>
        </w:rPr>
        <w:pict>
          <v:shape id="_x0000_i1028" type="#_x0000_t75" style="width:36.75pt;height:39pt">
            <v:imagedata r:id="rId14" o:title=""/>
          </v:shape>
        </w:pict>
      </w:r>
      <w:r w:rsidRPr="00CC73F3">
        <w:rPr>
          <w:rFonts w:eastAsia="Calibri"/>
          <w:szCs w:val="22"/>
        </w:rPr>
        <w:tab/>
      </w:r>
      <w:r w:rsidRPr="00CC73F3">
        <w:rPr>
          <w:rFonts w:eastAsia="Calibri"/>
          <w:szCs w:val="22"/>
        </w:rPr>
        <w:tab/>
        <w:t xml:space="preserve">  </w:t>
      </w:r>
      <w:r w:rsidRPr="00CC73F3">
        <w:rPr>
          <w:rFonts w:eastAsia="Calibri"/>
          <w:szCs w:val="22"/>
        </w:rPr>
        <w:tab/>
      </w:r>
      <w:r w:rsidRPr="00CC73F3">
        <w:rPr>
          <w:rFonts w:eastAsia="Calibri"/>
          <w:szCs w:val="22"/>
        </w:rPr>
        <w:tab/>
      </w:r>
      <w:r w:rsidRPr="00CC73F3">
        <w:rPr>
          <w:rFonts w:eastAsia="Calibri"/>
          <w:szCs w:val="22"/>
        </w:rPr>
        <w:tab/>
        <w:t>(1)</w:t>
      </w:r>
    </w:p>
    <w:p w:rsidR="00070FC5" w:rsidRPr="00CC73F3" w:rsidRDefault="00070FC5" w:rsidP="00D639F5">
      <w:pPr>
        <w:spacing w:line="480" w:lineRule="auto"/>
        <w:rPr>
          <w:rFonts w:eastAsia="Calibri"/>
          <w:szCs w:val="22"/>
        </w:rPr>
      </w:pPr>
      <w:r w:rsidRPr="00CC73F3">
        <w:rPr>
          <w:rFonts w:eastAsia="Calibri"/>
          <w:szCs w:val="22"/>
        </w:rPr>
        <w:t xml:space="preserve">Where </w:t>
      </w:r>
      <w:r w:rsidRPr="00CC73F3">
        <w:rPr>
          <w:rFonts w:eastAsia="Calibri"/>
          <w:szCs w:val="22"/>
          <w:vertAlign w:val="superscript"/>
        </w:rPr>
        <w:fldChar w:fldCharType="begin"/>
      </w:r>
      <w:r w:rsidRPr="00CC73F3">
        <w:rPr>
          <w:rFonts w:eastAsia="Calibri"/>
          <w:szCs w:val="22"/>
          <w:vertAlign w:val="superscript"/>
        </w:rPr>
        <w:instrText xml:space="preserve"> QUOTE </w:instrText>
      </w:r>
      <w:r w:rsidR="007E2E0A">
        <w:rPr>
          <w:rFonts w:eastAsia="Calibri"/>
          <w:position w:val="-6"/>
        </w:rPr>
        <w:pict>
          <v:shape id="_x0000_i1029" type="#_x0000_t75" style="width:6.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stylePaneFormatFilter w:val=&quot;0004&quot;/&gt;&lt;w:defaultTabStop w:val=&quot;720&quot;/&gt;&lt;w:drawingGridHorizontalSpacing w:val=&quot;187&quot;/&gt;&lt;w:displayVerticalDrawingGridEvery w:val=&quot;2&quot;/&gt;&lt;w:characterSpacingControl w:val=&quot;DontCompress&quot;/&gt;&lt;w:optimizeForBrowser/&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docVars&gt;&lt;w:docVar w:name=&quot;__grammarly61__i&quot; w:val=&quot;H4sIAAAAAAAEAKtWckksSQxILCpxzi/NK1GyMqwFAAEhoTITAAAA&quot;/&gt;&lt;w:docVar w:name=&quot;__grammarly61_1&quot; w:val=&quot;H4sIAAAAAAAEAKtWcslPLs1NzSvxTFGyUjIwTEozM0pM1k1JMTXQNTFPTNFNMk811E1MSzRPMjcxSDOyNFbSUQpOLS7OzM8DaTGsBQCsWd9PQwAAAA==&quot;/&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APA 6th&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Layout&amp;gt;&quot;/&gt;&lt;w:docVar w:name=&quot;EN.Libraries&quot; w:val=&quot;&amp;lt;Libraries&amp;gt;&amp;lt;item db-id=&amp;quot;vrwpvxd0zr2t0jezztipva9u9wrarxrwa5t2&amp;quot;&amp;gt;Open Innovation&amp;lt;record-ids&amp;gt;&amp;lt;item&amp;gt;13&amp;lt;/item&amp;gt;&amp;lt;/record-ids&amp;gt;&amp;lt;/item&amp;gt;&amp;lt;/Libraries&amp;gt;&quot;/&gt;&lt;/w:docVars&gt;&lt;wsp:rsids&gt;&lt;wsp:rsidRoot wsp:val=&quot;00ED7A05&quot;/&gt;&lt;wsp:rsid wsp:val=&quot;00014A3E&quot;/&gt;&lt;wsp:rsid wsp:val=&quot;000166A9&quot;/&gt;&lt;wsp:rsid wsp:val=&quot;0002243E&quot;/&gt;&lt;wsp:rsid wsp:val=&quot;00057004&quot;/&gt;&lt;wsp:rsid wsp:val=&quot;00064371&quot;/&gt;&lt;wsp:rsid wsp:val=&quot;00076A95&quot;/&gt;&lt;wsp:rsid wsp:val=&quot;000B5C42&quot;/&gt;&lt;wsp:rsid wsp:val=&quot;000B7AF9&quot;/&gt;&lt;wsp:rsid wsp:val=&quot;000E2573&quot;/&gt;&lt;wsp:rsid wsp:val=&quot;0010217F&quot;/&gt;&lt;wsp:rsid wsp:val=&quot;00162292&quot;/&gt;&lt;wsp:rsid wsp:val=&quot;001854FB&quot;/&gt;&lt;wsp:rsid wsp:val=&quot;00193642&quot;/&gt;&lt;wsp:rsid wsp:val=&quot;001B6F14&quot;/&gt;&lt;wsp:rsid wsp:val=&quot;001C39F6&quot;/&gt;&lt;wsp:rsid wsp:val=&quot;001C66FE&quot;/&gt;&lt;wsp:rsid wsp:val=&quot;001D6904&quot;/&gt;&lt;wsp:rsid wsp:val=&quot;001D7AED&quot;/&gt;&lt;wsp:rsid wsp:val=&quot;00236E6D&quot;/&gt;&lt;wsp:rsid wsp:val=&quot;002429E5&quot;/&gt;&lt;wsp:rsid wsp:val=&quot;00280CEF&quot;/&gt;&lt;wsp:rsid wsp:val=&quot;0028757A&quot;/&gt;&lt;wsp:rsid wsp:val=&quot;002D17EE&quot;/&gt;&lt;wsp:rsid wsp:val=&quot;002E2492&quot;/&gt;&lt;wsp:rsid wsp:val=&quot;0030468B&quot;/&gt;&lt;wsp:rsid wsp:val=&quot;00304BD0&quot;/&gt;&lt;wsp:rsid wsp:val=&quot;00307D77&quot;/&gt;&lt;wsp:rsid wsp:val=&quot;00313E9E&quot;/&gt;&lt;wsp:rsid wsp:val=&quot;003150D5&quot;/&gt;&lt;wsp:rsid wsp:val=&quot;00320F78&quot;/&gt;&lt;wsp:rsid wsp:val=&quot;0035768F&quot;/&gt;&lt;wsp:rsid wsp:val=&quot;00371BAE&quot;/&gt;&lt;wsp:rsid wsp:val=&quot;00376F42&quot;/&gt;&lt;wsp:rsid wsp:val=&quot;0038177C&quot;/&gt;&lt;wsp:rsid wsp:val=&quot;00387024&quot;/&gt;&lt;wsp:rsid wsp:val=&quot;003C1575&quot;/&gt;&lt;wsp:rsid wsp:val=&quot;003D25E7&quot;/&gt;&lt;wsp:rsid wsp:val=&quot;003D5275&quot;/&gt;&lt;wsp:rsid wsp:val=&quot;003D63DF&quot;/&gt;&lt;wsp:rsid wsp:val=&quot;003D737F&quot;/&gt;&lt;wsp:rsid wsp:val=&quot;003F7474&quot;/&gt;&lt;wsp:rsid wsp:val=&quot;00404616&quot;/&gt;&lt;wsp:rsid wsp:val=&quot;00407B6A&quot;/&gt;&lt;wsp:rsid wsp:val=&quot;00414400&quot;/&gt;&lt;wsp:rsid wsp:val=&quot;004308DC&quot;/&gt;&lt;wsp:rsid wsp:val=&quot;0044196E&quot;/&gt;&lt;wsp:rsid wsp:val=&quot;00474210&quot;/&gt;&lt;wsp:rsid wsp:val=&quot;00480B96&quot;/&gt;&lt;wsp:rsid wsp:val=&quot;0048303E&quot;/&gt;&lt;wsp:rsid wsp:val=&quot;004920F6&quot;/&gt;&lt;wsp:rsid wsp:val=&quot;004A67E8&quot;/&gt;&lt;wsp:rsid wsp:val=&quot;004C3D65&quot;/&gt;&lt;wsp:rsid wsp:val=&quot;004D3C55&quot;/&gt;&lt;wsp:rsid wsp:val=&quot;004D6472&quot;/&gt;&lt;wsp:rsid wsp:val=&quot;004E3CE3&quot;/&gt;&lt;wsp:rsid wsp:val=&quot;005352E0&quot;/&gt;&lt;wsp:rsid wsp:val=&quot;00552852&quot;/&gt;&lt;wsp:rsid wsp:val=&quot;00597D3F&quot;/&gt;&lt;wsp:rsid wsp:val=&quot;005B79E9&quot;/&gt;&lt;wsp:rsid wsp:val=&quot;005C58D5&quot;/&gt;&lt;wsp:rsid wsp:val=&quot;005E4912&quot;/&gt;&lt;wsp:rsid wsp:val=&quot;005E6F1F&quot;/&gt;&lt;wsp:rsid wsp:val=&quot;005F44D1&quot;/&gt;&lt;wsp:rsid wsp:val=&quot;00603A8A&quot;/&gt;&lt;wsp:rsid wsp:val=&quot;00604A70&quot;/&gt;&lt;wsp:rsid wsp:val=&quot;00621129&quot;/&gt;&lt;wsp:rsid wsp:val=&quot;00633916&quot;/&gt;&lt;wsp:rsid wsp:val=&quot;00641D2B&quot;/&gt;&lt;wsp:rsid wsp:val=&quot;00662D3E&quot;/&gt;&lt;wsp:rsid wsp:val=&quot;00672DDD&quot;/&gt;&lt;wsp:rsid wsp:val=&quot;00676C91&quot;/&gt;&lt;wsp:rsid wsp:val=&quot;006855CA&quot;/&gt;&lt;wsp:rsid wsp:val=&quot;00690B77&quot;/&gt;&lt;wsp:rsid wsp:val=&quot;006C4000&quot;/&gt;&lt;wsp:rsid wsp:val=&quot;006D6821&quot;/&gt;&lt;wsp:rsid wsp:val=&quot;006E56E8&quot;/&gt;&lt;wsp:rsid wsp:val=&quot;006F1220&quot;/&gt;&lt;wsp:rsid wsp:val=&quot;00711200&quot;/&gt;&lt;wsp:rsid wsp:val=&quot;0072397F&quot;/&gt;&lt;wsp:rsid wsp:val=&quot;00731922&quot;/&gt;&lt;wsp:rsid wsp:val=&quot;00731ACB&quot;/&gt;&lt;wsp:rsid wsp:val=&quot;007368AD&quot;/&gt;&lt;wsp:rsid wsp:val=&quot;0074133D&quot;/&gt;&lt;wsp:rsid wsp:val=&quot;00751476&quot;/&gt;&lt;wsp:rsid wsp:val=&quot;0075196D&quot;/&gt;&lt;wsp:rsid wsp:val=&quot;0075558C&quot;/&gt;&lt;wsp:rsid wsp:val=&quot;00755F52&quot;/&gt;&lt;wsp:rsid wsp:val=&quot;00761EFA&quot;/&gt;&lt;wsp:rsid wsp:val=&quot;00764873&quot;/&gt;&lt;wsp:rsid wsp:val=&quot;007778DD&quot;/&gt;&lt;wsp:rsid wsp:val=&quot;00796693&quot;/&gt;&lt;wsp:rsid wsp:val=&quot;007C7591&quot;/&gt;&lt;wsp:rsid wsp:val=&quot;007D5CD5&quot;/&gt;&lt;wsp:rsid wsp:val=&quot;007F6AE9&quot;/&gt;&lt;wsp:rsid wsp:val=&quot;00822CF6&quot;/&gt;&lt;wsp:rsid wsp:val=&quot;00832193&quot;/&gt;&lt;wsp:rsid wsp:val=&quot;00836F89&quot;/&gt;&lt;wsp:rsid wsp:val=&quot;00846459&quot;/&gt;&lt;wsp:rsid wsp:val=&quot;00863435&quot;/&gt;&lt;wsp:rsid wsp:val=&quot;00872827&quot;/&gt;&lt;wsp:rsid wsp:val=&quot;0087349A&quot;/&gt;&lt;wsp:rsid wsp:val=&quot;00882BE6&quot;/&gt;&lt;wsp:rsid wsp:val=&quot;008842F9&quot;/&gt;&lt;wsp:rsid wsp:val=&quot;00894D8C&quot;/&gt;&lt;wsp:rsid wsp:val=&quot;00895DF4&quot;/&gt;&lt;wsp:rsid wsp:val=&quot;008A36EA&quot;/&gt;&lt;wsp:rsid wsp:val=&quot;008B1A4D&quot;/&gt;&lt;wsp:rsid wsp:val=&quot;008D589C&quot;/&gt;&lt;wsp:rsid wsp:val=&quot;008E7085&quot;/&gt;&lt;wsp:rsid wsp:val=&quot;008F60C3&quot;/&gt;&lt;wsp:rsid wsp:val=&quot;00910AE4&quot;/&gt;&lt;wsp:rsid wsp:val=&quot;0093163E&quot;/&gt;&lt;wsp:rsid wsp:val=&quot;00936436&quot;/&gt;&lt;wsp:rsid wsp:val=&quot;009472B2&quot;/&gt;&lt;wsp:rsid wsp:val=&quot;0095047C&quot;/&gt;&lt;wsp:rsid wsp:val=&quot;00966BAC&quot;/&gt;&lt;wsp:rsid wsp:val=&quot;0099413B&quot;/&gt;&lt;wsp:rsid wsp:val=&quot;009A2ABE&quot;/&gt;&lt;wsp:rsid wsp:val=&quot;009A6A2F&quot;/&gt;&lt;wsp:rsid wsp:val=&quot;009C755C&quot;/&gt;&lt;wsp:rsid wsp:val=&quot;009C780F&quot;/&gt;&lt;wsp:rsid wsp:val=&quot;009E1A69&quot;/&gt;&lt;wsp:rsid wsp:val=&quot;009E1B75&quot;/&gt;&lt;wsp:rsid wsp:val=&quot;00A34F5F&quot;/&gt;&lt;wsp:rsid wsp:val=&quot;00A4323B&quot;/&gt;&lt;wsp:rsid wsp:val=&quot;00A46A68&quot;/&gt;&lt;wsp:rsid wsp:val=&quot;00A50EE9&quot;/&gt;&lt;wsp:rsid wsp:val=&quot;00A86F48&quot;/&gt;&lt;wsp:rsid wsp:val=&quot;00AD0A33&quot;/&gt;&lt;wsp:rsid wsp:val=&quot;00AF3E4D&quot;/&gt;&lt;wsp:rsid wsp:val=&quot;00B07524&quot;/&gt;&lt;wsp:rsid wsp:val=&quot;00B35B7C&quot;/&gt;&lt;wsp:rsid wsp:val=&quot;00B3635F&quot;/&gt;&lt;wsp:rsid wsp:val=&quot;00B53C15&quot;/&gt;&lt;wsp:rsid wsp:val=&quot;00B546AB&quot;/&gt;&lt;wsp:rsid wsp:val=&quot;00BA3D92&quot;/&gt;&lt;wsp:rsid wsp:val=&quot;00BD3522&quot;/&gt;&lt;wsp:rsid wsp:val=&quot;00BD43E6&quot;/&gt;&lt;wsp:rsid wsp:val=&quot;00BF1C00&quot;/&gt;&lt;wsp:rsid wsp:val=&quot;00C0799A&quot;/&gt;&lt;wsp:rsid wsp:val=&quot;00C11D0D&quot;/&gt;&lt;wsp:rsid wsp:val=&quot;00C509C3&quot;/&gt;&lt;wsp:rsid wsp:val=&quot;00C70EAE&quot;/&gt;&lt;wsp:rsid wsp:val=&quot;00C83B65&quot;/&gt;&lt;wsp:rsid wsp:val=&quot;00C95439&quot;/&gt;&lt;wsp:rsid wsp:val=&quot;00CB1E5D&quot;/&gt;&lt;wsp:rsid wsp:val=&quot;00CD50B5&quot;/&gt;&lt;wsp:rsid wsp:val=&quot;00CD73A9&quot;/&gt;&lt;wsp:rsid wsp:val=&quot;00CE3BBD&quot;/&gt;&lt;wsp:rsid wsp:val=&quot;00CE4608&quot;/&gt;&lt;wsp:rsid wsp:val=&quot;00CF6FFA&quot;/&gt;&lt;wsp:rsid wsp:val=&quot;00D067C3&quot;/&gt;&lt;wsp:rsid wsp:val=&quot;00D06F12&quot;/&gt;&lt;wsp:rsid wsp:val=&quot;00D21EF3&quot;/&gt;&lt;wsp:rsid wsp:val=&quot;00D46790&quot;/&gt;&lt;wsp:rsid wsp:val=&quot;00D62420&quot;/&gt;&lt;wsp:rsid wsp:val=&quot;00D6661F&quot;/&gt;&lt;wsp:rsid wsp:val=&quot;00D91C27&quot;/&gt;&lt;wsp:rsid wsp:val=&quot;00DC5925&quot;/&gt;&lt;wsp:rsid wsp:val=&quot;00DC60FA&quot;/&gt;&lt;wsp:rsid wsp:val=&quot;00DE23AF&quot;/&gt;&lt;wsp:rsid wsp:val=&quot;00DE58EF&quot;/&gt;&lt;wsp:rsid wsp:val=&quot;00E00A8E&quot;/&gt;&lt;wsp:rsid wsp:val=&quot;00E10BA9&quot;/&gt;&lt;wsp:rsid wsp:val=&quot;00E14598&quot;/&gt;&lt;wsp:rsid wsp:val=&quot;00E17018&quot;/&gt;&lt;wsp:rsid wsp:val=&quot;00E17598&quot;/&gt;&lt;wsp:rsid wsp:val=&quot;00E23873&quot;/&gt;&lt;wsp:rsid wsp:val=&quot;00E603D9&quot;/&gt;&lt;wsp:rsid wsp:val=&quot;00EA5199&quot;/&gt;&lt;wsp:rsid wsp:val=&quot;00EC59D9&quot;/&gt;&lt;wsp:rsid wsp:val=&quot;00ED7A05&quot;/&gt;&lt;wsp:rsid wsp:val=&quot;00EE334C&quot;/&gt;&lt;wsp:rsid wsp:val=&quot;00F02153&quot;/&gt;&lt;wsp:rsid wsp:val=&quot;00F15675&quot;/&gt;&lt;wsp:rsid wsp:val=&quot;00F21250&quot;/&gt;&lt;wsp:rsid wsp:val=&quot;00F2398D&quot;/&gt;&lt;wsp:rsid wsp:val=&quot;00F54C2B&quot;/&gt;&lt;wsp:rsid wsp:val=&quot;00F634A3&quot;/&gt;&lt;wsp:rsid wsp:val=&quot;00F64F05&quot;/&gt;&lt;wsp:rsid wsp:val=&quot;00F667F6&quot;/&gt;&lt;wsp:rsid wsp:val=&quot;00F710F9&quot;/&gt;&lt;wsp:rsid wsp:val=&quot;00F87F40&quot;/&gt;&lt;wsp:rsid wsp:val=&quot;00F920F6&quot;/&gt;&lt;wsp:rsid wsp:val=&quot;00FA0AE4&quot;/&gt;&lt;wsp:rsid wsp:val=&quot;00FA0AF8&quot;/&gt;&lt;wsp:rsid wsp:val=&quot;00FA4B98&quot;/&gt;&lt;wsp:rsid wsp:val=&quot;00FB4DBA&quot;/&gt;&lt;wsp:rsid wsp:val=&quot;00FB667E&quot;/&gt;&lt;wsp:rsid wsp:val=&quot;00FD3604&quot;/&gt;&lt;wsp:rsid wsp:val=&quot;00FE552D&quot;/&gt;&lt;wsp:rsid wsp:val=&quot;00FF195C&quot;/&gt;&lt;/wsp:rsids&gt;&lt;/w:docPr&gt;&lt;w:body&gt;&lt;wx:sect&gt;&lt;w:p wsp:rsidR=&quot;00000000&quot; wsp:rsidRDefault=&quot;00E23873&quot; wsp:rsidP=&quot;00E23873&quot;&gt;&lt;m:oMathPara&gt;&lt;m:oMath&gt;&lt;m:acc&gt;&lt;m:accPr&gt;&lt;m:chr m:val=&quot;Ì…&quot;/&gt;&lt;m:ctrlPr&gt;&lt;w:rPr&gt;&lt;w:rFonts w:ascii=&quot;Cambria Math&quot; w:fareast=&quot;Calibri&quot; w:h-ansi=&quot;Cambria Math&quot; w:cs=&quot;Times New Roman&quot;/&gt;&lt;wx:font wx:val=&quot;Cambria Math&quot;/&gt;&lt;w:i/&gt;&lt;w:sz-cs w:val=&quot;22&quot;/&gt;&lt;/w:rPr&gt;&lt;/m:ctrlPr&gt;&lt;/m:accPr&gt;&lt;m:e&gt;&lt;m:r&gt;&lt;w:rPr&gt;&lt;w:rFonts w:ascii=&quot;Cambria Math&quot; w:fareast=&quot;Calibri&quot; w:h-ansi=&quot;Cambria Math&quot; w:cs=&quot;Times New Roman&quot;/&gt;&lt;wx:font wx:val=&quot;Cambria Math&quot;/&gt;&lt;w:i/&gt;&lt;w:sz-cs w:val=&quot;22&quot;/&gt;&lt;/w:rPr&gt;&lt;m:t&gt;S&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CC73F3">
        <w:rPr>
          <w:rFonts w:eastAsia="Calibri"/>
          <w:szCs w:val="22"/>
          <w:vertAlign w:val="superscript"/>
        </w:rPr>
        <w:instrText xml:space="preserve"> </w:instrText>
      </w:r>
      <w:r w:rsidRPr="00CC73F3">
        <w:rPr>
          <w:rFonts w:eastAsia="Calibri"/>
          <w:szCs w:val="22"/>
          <w:vertAlign w:val="superscript"/>
        </w:rPr>
        <w:fldChar w:fldCharType="separate"/>
      </w:r>
      <w:r w:rsidR="007E2E0A">
        <w:rPr>
          <w:rFonts w:eastAsia="Calibri"/>
          <w:position w:val="-6"/>
        </w:rPr>
        <w:pict>
          <v:shape id="_x0000_i1030" type="#_x0000_t75" style="width:6.75pt;height:14.25pt" equationxml="&lt;?xml version=&quot;1.0&quot; encoding=&quot;UTF-8&quot; standalone=&quot;yes&quot;?&gt;&#10;&lt;?mso-application progid=&quot;Word.Document&quot;?&gt;&#10;&lt;w:wordDocument xmlns:aml=&quot;http://schemas.microsoft.com/aml/2001/core&quot; xmlns:wpc=&quot;http://schemas.microsoft.com/office/word/2010/wordprocessingCanvas&quot; xmlns:dt=&quot;uuid:C2F41010-65B3-11d1-A29F-00AA00C14882&quot; xmlns:mc=&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4&lt;/o:Version&gt;&lt;/o:DocumentProperties&gt;&lt;w:docPr&gt;&lt;w:view w:val=&quot;print&quot;/&gt;&lt;w:zoom w:percent=&quot;70&quot;/&gt;&lt;w:doNotEmbedSystemFonts/&gt;&lt;w:stylePaneFormatFilter w:val=&quot;0004&quot;/&gt;&lt;w:defaultTabStop w:val=&quot;720&quot;/&gt;&lt;w:drawingGridHorizontalSpacing w:val=&quot;187&quot;/&gt;&lt;w:displayVerticalDrawingGridEvery w:val=&quot;2&quot;/&gt;&lt;w:characterSpacingControl w:val=&quot;DontCompress&quot;/&gt;&lt;w:optimizeForBrowser/&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docVars&gt;&lt;w:docVar w:name=&quot;__grammarly61__i&quot; w:val=&quot;H4sIAAAAAAAEAKtWckksSQxILCpxzi/NK1GyMqwFAAEhoTITAAAA&quot;/&gt;&lt;w:docVar w:name=&quot;__grammarly61_1&quot; w:val=&quot;H4sIAAAAAAAEAKtWcslPLs1NzSvxTFGyUjIwTEozM0pM1k1JMTXQNTFPTNFNMk811E1MSzRPMjcxSDOyNFbSUQpOLS7OzM8DaTGsBQCsWd9PQwAAAA==&quot;/&gt;&lt;w:docVar w:name=&quot;EN.InstantFormat&quot; w:val=&quot;&amp;lt;ENInstantFormat&amp;gt;&amp;lt;Enabled&amp;gt;1&amp;lt;/Enabled&amp;gt;&amp;lt;ScanUnformatted&amp;gt;1&amp;lt;/ScanUnformatted&amp;gt;&amp;lt;ScanChanges&amp;gt;1&amp;lt;/ScanChanges&amp;gt;&amp;lt;Suspended&amp;gt;0&amp;lt;/Suspended&amp;gt;&amp;lt;/ENInstantFormat&amp;gt;&quot;/&gt;&lt;w:docVar w:name=&quot;EN.Layout&quot; w:val=&quot;&amp;lt;ENLayout&amp;gt;&amp;lt;Style&amp;gt;APA 6th&amp;lt;/Style&amp;gt;&amp;lt;LeftDelim&amp;gt;{&amp;lt;/LeftDelim&amp;gt;&amp;lt;RightDelim&amp;gt;}&amp;lt;/RightDelim&amp;gt;&amp;lt;FontName&amp;gt;Times New Roman&amp;lt;/FontName&amp;gt;&amp;lt;FontSize&amp;gt;12&amp;lt;/FontSize&amp;gt;&amp;lt;ReflistTitle&amp;gt;&amp;lt;/ReflistTitle&amp;gt;&amp;lt;StartingRefnum&amp;gt;1&amp;lt;/StartingRefnum&amp;gt;&amp;lt;FirstLineIndent&amp;gt;0&amp;lt;/FirstLineIndent&amp;gt;&amp;lt;HangingIndent&amp;gt;720&amp;lt;/HangingIndent&amp;gt;&amp;lt;LineSpacing&amp;gt;0&amp;lt;/LineSpacing&amp;gt;&amp;lt;SpaceAfter&amp;gt;0&amp;lt;/SpaceAfter&amp;gt;&amp;lt;HyperlinksEnabled&amp;gt;1&amp;lt;/HyperlinksEnabled&amp;gt;&amp;lt;HyperlinksVisible&amp;gt;0&amp;lt;/HyperlinksVisible&amp;gt;&amp;lt;/ENLayout&amp;gt;&quot;/&gt;&lt;w:docVar w:name=&quot;EN.Libraries&quot; w:val=&quot;&amp;lt;Libraries&amp;gt;&amp;lt;item db-id=&amp;quot;vrwpvxd0zr2t0jezztipva9u9wrarxrwa5t2&amp;quot;&amp;gt;Open Innovation&amp;lt;record-ids&amp;gt;&amp;lt;item&amp;gt;13&amp;lt;/item&amp;gt;&amp;lt;/record-ids&amp;gt;&amp;lt;/item&amp;gt;&amp;lt;/Libraries&amp;gt;&quot;/&gt;&lt;/w:docVars&gt;&lt;wsp:rsids&gt;&lt;wsp:rsidRoot wsp:val=&quot;00ED7A05&quot;/&gt;&lt;wsp:rsid wsp:val=&quot;00014A3E&quot;/&gt;&lt;wsp:rsid wsp:val=&quot;000166A9&quot;/&gt;&lt;wsp:rsid wsp:val=&quot;0002243E&quot;/&gt;&lt;wsp:rsid wsp:val=&quot;00057004&quot;/&gt;&lt;wsp:rsid wsp:val=&quot;00064371&quot;/&gt;&lt;wsp:rsid wsp:val=&quot;00076A95&quot;/&gt;&lt;wsp:rsid wsp:val=&quot;000B5C42&quot;/&gt;&lt;wsp:rsid wsp:val=&quot;000B7AF9&quot;/&gt;&lt;wsp:rsid wsp:val=&quot;000E2573&quot;/&gt;&lt;wsp:rsid wsp:val=&quot;0010217F&quot;/&gt;&lt;wsp:rsid wsp:val=&quot;00162292&quot;/&gt;&lt;wsp:rsid wsp:val=&quot;001854FB&quot;/&gt;&lt;wsp:rsid wsp:val=&quot;00193642&quot;/&gt;&lt;wsp:rsid wsp:val=&quot;001B6F14&quot;/&gt;&lt;wsp:rsid wsp:val=&quot;001C39F6&quot;/&gt;&lt;wsp:rsid wsp:val=&quot;001C66FE&quot;/&gt;&lt;wsp:rsid wsp:val=&quot;001D6904&quot;/&gt;&lt;wsp:rsid wsp:val=&quot;001D7AED&quot;/&gt;&lt;wsp:rsid wsp:val=&quot;00236E6D&quot;/&gt;&lt;wsp:rsid wsp:val=&quot;002429E5&quot;/&gt;&lt;wsp:rsid wsp:val=&quot;00280CEF&quot;/&gt;&lt;wsp:rsid wsp:val=&quot;0028757A&quot;/&gt;&lt;wsp:rsid wsp:val=&quot;002D17EE&quot;/&gt;&lt;wsp:rsid wsp:val=&quot;002E2492&quot;/&gt;&lt;wsp:rsid wsp:val=&quot;0030468B&quot;/&gt;&lt;wsp:rsid wsp:val=&quot;00304BD0&quot;/&gt;&lt;wsp:rsid wsp:val=&quot;00307D77&quot;/&gt;&lt;wsp:rsid wsp:val=&quot;00313E9E&quot;/&gt;&lt;wsp:rsid wsp:val=&quot;003150D5&quot;/&gt;&lt;wsp:rsid wsp:val=&quot;00320F78&quot;/&gt;&lt;wsp:rsid wsp:val=&quot;0035768F&quot;/&gt;&lt;wsp:rsid wsp:val=&quot;00371BAE&quot;/&gt;&lt;wsp:rsid wsp:val=&quot;00376F42&quot;/&gt;&lt;wsp:rsid wsp:val=&quot;0038177C&quot;/&gt;&lt;wsp:rsid wsp:val=&quot;00387024&quot;/&gt;&lt;wsp:rsid wsp:val=&quot;003C1575&quot;/&gt;&lt;wsp:rsid wsp:val=&quot;003D25E7&quot;/&gt;&lt;wsp:rsid wsp:val=&quot;003D5275&quot;/&gt;&lt;wsp:rsid wsp:val=&quot;003D63DF&quot;/&gt;&lt;wsp:rsid wsp:val=&quot;003D737F&quot;/&gt;&lt;wsp:rsid wsp:val=&quot;003F7474&quot;/&gt;&lt;wsp:rsid wsp:val=&quot;00404616&quot;/&gt;&lt;wsp:rsid wsp:val=&quot;00407B6A&quot;/&gt;&lt;wsp:rsid wsp:val=&quot;00414400&quot;/&gt;&lt;wsp:rsid wsp:val=&quot;004308DC&quot;/&gt;&lt;wsp:rsid wsp:val=&quot;0044196E&quot;/&gt;&lt;wsp:rsid wsp:val=&quot;00474210&quot;/&gt;&lt;wsp:rsid wsp:val=&quot;00480B96&quot;/&gt;&lt;wsp:rsid wsp:val=&quot;0048303E&quot;/&gt;&lt;wsp:rsid wsp:val=&quot;004920F6&quot;/&gt;&lt;wsp:rsid wsp:val=&quot;004A67E8&quot;/&gt;&lt;wsp:rsid wsp:val=&quot;004C3D65&quot;/&gt;&lt;wsp:rsid wsp:val=&quot;004D3C55&quot;/&gt;&lt;wsp:rsid wsp:val=&quot;004D6472&quot;/&gt;&lt;wsp:rsid wsp:val=&quot;004E3CE3&quot;/&gt;&lt;wsp:rsid wsp:val=&quot;005352E0&quot;/&gt;&lt;wsp:rsid wsp:val=&quot;00552852&quot;/&gt;&lt;wsp:rsid wsp:val=&quot;00597D3F&quot;/&gt;&lt;wsp:rsid wsp:val=&quot;005B79E9&quot;/&gt;&lt;wsp:rsid wsp:val=&quot;005C58D5&quot;/&gt;&lt;wsp:rsid wsp:val=&quot;005E4912&quot;/&gt;&lt;wsp:rsid wsp:val=&quot;005E6F1F&quot;/&gt;&lt;wsp:rsid wsp:val=&quot;005F44D1&quot;/&gt;&lt;wsp:rsid wsp:val=&quot;00603A8A&quot;/&gt;&lt;wsp:rsid wsp:val=&quot;00604A70&quot;/&gt;&lt;wsp:rsid wsp:val=&quot;00621129&quot;/&gt;&lt;wsp:rsid wsp:val=&quot;00633916&quot;/&gt;&lt;wsp:rsid wsp:val=&quot;00641D2B&quot;/&gt;&lt;wsp:rsid wsp:val=&quot;00662D3E&quot;/&gt;&lt;wsp:rsid wsp:val=&quot;00672DDD&quot;/&gt;&lt;wsp:rsid wsp:val=&quot;00676C91&quot;/&gt;&lt;wsp:rsid wsp:val=&quot;006855CA&quot;/&gt;&lt;wsp:rsid wsp:val=&quot;00690B77&quot;/&gt;&lt;wsp:rsid wsp:val=&quot;006C4000&quot;/&gt;&lt;wsp:rsid wsp:val=&quot;006D6821&quot;/&gt;&lt;wsp:rsid wsp:val=&quot;006E56E8&quot;/&gt;&lt;wsp:rsid wsp:val=&quot;006F1220&quot;/&gt;&lt;wsp:rsid wsp:val=&quot;00711200&quot;/&gt;&lt;wsp:rsid wsp:val=&quot;0072397F&quot;/&gt;&lt;wsp:rsid wsp:val=&quot;00731922&quot;/&gt;&lt;wsp:rsid wsp:val=&quot;00731ACB&quot;/&gt;&lt;wsp:rsid wsp:val=&quot;007368AD&quot;/&gt;&lt;wsp:rsid wsp:val=&quot;0074133D&quot;/&gt;&lt;wsp:rsid wsp:val=&quot;00751476&quot;/&gt;&lt;wsp:rsid wsp:val=&quot;0075196D&quot;/&gt;&lt;wsp:rsid wsp:val=&quot;0075558C&quot;/&gt;&lt;wsp:rsid wsp:val=&quot;00755F52&quot;/&gt;&lt;wsp:rsid wsp:val=&quot;00761EFA&quot;/&gt;&lt;wsp:rsid wsp:val=&quot;00764873&quot;/&gt;&lt;wsp:rsid wsp:val=&quot;007778DD&quot;/&gt;&lt;wsp:rsid wsp:val=&quot;00796693&quot;/&gt;&lt;wsp:rsid wsp:val=&quot;007C7591&quot;/&gt;&lt;wsp:rsid wsp:val=&quot;007D5CD5&quot;/&gt;&lt;wsp:rsid wsp:val=&quot;007F6AE9&quot;/&gt;&lt;wsp:rsid wsp:val=&quot;00822CF6&quot;/&gt;&lt;wsp:rsid wsp:val=&quot;00832193&quot;/&gt;&lt;wsp:rsid wsp:val=&quot;00836F89&quot;/&gt;&lt;wsp:rsid wsp:val=&quot;00846459&quot;/&gt;&lt;wsp:rsid wsp:val=&quot;00863435&quot;/&gt;&lt;wsp:rsid wsp:val=&quot;00872827&quot;/&gt;&lt;wsp:rsid wsp:val=&quot;0087349A&quot;/&gt;&lt;wsp:rsid wsp:val=&quot;00882BE6&quot;/&gt;&lt;wsp:rsid wsp:val=&quot;008842F9&quot;/&gt;&lt;wsp:rsid wsp:val=&quot;00894D8C&quot;/&gt;&lt;wsp:rsid wsp:val=&quot;00895DF4&quot;/&gt;&lt;wsp:rsid wsp:val=&quot;008A36EA&quot;/&gt;&lt;wsp:rsid wsp:val=&quot;008B1A4D&quot;/&gt;&lt;wsp:rsid wsp:val=&quot;008D589C&quot;/&gt;&lt;wsp:rsid wsp:val=&quot;008E7085&quot;/&gt;&lt;wsp:rsid wsp:val=&quot;008F60C3&quot;/&gt;&lt;wsp:rsid wsp:val=&quot;00910AE4&quot;/&gt;&lt;wsp:rsid wsp:val=&quot;0093163E&quot;/&gt;&lt;wsp:rsid wsp:val=&quot;00936436&quot;/&gt;&lt;wsp:rsid wsp:val=&quot;009472B2&quot;/&gt;&lt;wsp:rsid wsp:val=&quot;0095047C&quot;/&gt;&lt;wsp:rsid wsp:val=&quot;00966BAC&quot;/&gt;&lt;wsp:rsid wsp:val=&quot;0099413B&quot;/&gt;&lt;wsp:rsid wsp:val=&quot;009A2ABE&quot;/&gt;&lt;wsp:rsid wsp:val=&quot;009A6A2F&quot;/&gt;&lt;wsp:rsid wsp:val=&quot;009C755C&quot;/&gt;&lt;wsp:rsid wsp:val=&quot;009C780F&quot;/&gt;&lt;wsp:rsid wsp:val=&quot;009E1A69&quot;/&gt;&lt;wsp:rsid wsp:val=&quot;009E1B75&quot;/&gt;&lt;wsp:rsid wsp:val=&quot;00A34F5F&quot;/&gt;&lt;wsp:rsid wsp:val=&quot;00A4323B&quot;/&gt;&lt;wsp:rsid wsp:val=&quot;00A46A68&quot;/&gt;&lt;wsp:rsid wsp:val=&quot;00A50EE9&quot;/&gt;&lt;wsp:rsid wsp:val=&quot;00A86F48&quot;/&gt;&lt;wsp:rsid wsp:val=&quot;00AD0A33&quot;/&gt;&lt;wsp:rsid wsp:val=&quot;00AF3E4D&quot;/&gt;&lt;wsp:rsid wsp:val=&quot;00B07524&quot;/&gt;&lt;wsp:rsid wsp:val=&quot;00B35B7C&quot;/&gt;&lt;wsp:rsid wsp:val=&quot;00B3635F&quot;/&gt;&lt;wsp:rsid wsp:val=&quot;00B53C15&quot;/&gt;&lt;wsp:rsid wsp:val=&quot;00B546AB&quot;/&gt;&lt;wsp:rsid wsp:val=&quot;00BA3D92&quot;/&gt;&lt;wsp:rsid wsp:val=&quot;00BD3522&quot;/&gt;&lt;wsp:rsid wsp:val=&quot;00BD43E6&quot;/&gt;&lt;wsp:rsid wsp:val=&quot;00BF1C00&quot;/&gt;&lt;wsp:rsid wsp:val=&quot;00C0799A&quot;/&gt;&lt;wsp:rsid wsp:val=&quot;00C11D0D&quot;/&gt;&lt;wsp:rsid wsp:val=&quot;00C509C3&quot;/&gt;&lt;wsp:rsid wsp:val=&quot;00C70EAE&quot;/&gt;&lt;wsp:rsid wsp:val=&quot;00C83B65&quot;/&gt;&lt;wsp:rsid wsp:val=&quot;00C95439&quot;/&gt;&lt;wsp:rsid wsp:val=&quot;00CB1E5D&quot;/&gt;&lt;wsp:rsid wsp:val=&quot;00CD50B5&quot;/&gt;&lt;wsp:rsid wsp:val=&quot;00CD73A9&quot;/&gt;&lt;wsp:rsid wsp:val=&quot;00CE3BBD&quot;/&gt;&lt;wsp:rsid wsp:val=&quot;00CE4608&quot;/&gt;&lt;wsp:rsid wsp:val=&quot;00CF6FFA&quot;/&gt;&lt;wsp:rsid wsp:val=&quot;00D067C3&quot;/&gt;&lt;wsp:rsid wsp:val=&quot;00D06F12&quot;/&gt;&lt;wsp:rsid wsp:val=&quot;00D21EF3&quot;/&gt;&lt;wsp:rsid wsp:val=&quot;00D46790&quot;/&gt;&lt;wsp:rsid wsp:val=&quot;00D62420&quot;/&gt;&lt;wsp:rsid wsp:val=&quot;00D6661F&quot;/&gt;&lt;wsp:rsid wsp:val=&quot;00D91C27&quot;/&gt;&lt;wsp:rsid wsp:val=&quot;00DC5925&quot;/&gt;&lt;wsp:rsid wsp:val=&quot;00DC60FA&quot;/&gt;&lt;wsp:rsid wsp:val=&quot;00DE23AF&quot;/&gt;&lt;wsp:rsid wsp:val=&quot;00DE58EF&quot;/&gt;&lt;wsp:rsid wsp:val=&quot;00E00A8E&quot;/&gt;&lt;wsp:rsid wsp:val=&quot;00E10BA9&quot;/&gt;&lt;wsp:rsid wsp:val=&quot;00E14598&quot;/&gt;&lt;wsp:rsid wsp:val=&quot;00E17018&quot;/&gt;&lt;wsp:rsid wsp:val=&quot;00E17598&quot;/&gt;&lt;wsp:rsid wsp:val=&quot;00E23873&quot;/&gt;&lt;wsp:rsid wsp:val=&quot;00E603D9&quot;/&gt;&lt;wsp:rsid wsp:val=&quot;00EA5199&quot;/&gt;&lt;wsp:rsid wsp:val=&quot;00EC59D9&quot;/&gt;&lt;wsp:rsid wsp:val=&quot;00ED7A05&quot;/&gt;&lt;wsp:rsid wsp:val=&quot;00EE334C&quot;/&gt;&lt;wsp:rsid wsp:val=&quot;00F02153&quot;/&gt;&lt;wsp:rsid wsp:val=&quot;00F15675&quot;/&gt;&lt;wsp:rsid wsp:val=&quot;00F21250&quot;/&gt;&lt;wsp:rsid wsp:val=&quot;00F2398D&quot;/&gt;&lt;wsp:rsid wsp:val=&quot;00F54C2B&quot;/&gt;&lt;wsp:rsid wsp:val=&quot;00F634A3&quot;/&gt;&lt;wsp:rsid wsp:val=&quot;00F64F05&quot;/&gt;&lt;wsp:rsid wsp:val=&quot;00F667F6&quot;/&gt;&lt;wsp:rsid wsp:val=&quot;00F710F9&quot;/&gt;&lt;wsp:rsid wsp:val=&quot;00F87F40&quot;/&gt;&lt;wsp:rsid wsp:val=&quot;00F920F6&quot;/&gt;&lt;wsp:rsid wsp:val=&quot;00FA0AE4&quot;/&gt;&lt;wsp:rsid wsp:val=&quot;00FA0AF8&quot;/&gt;&lt;wsp:rsid wsp:val=&quot;00FA4B98&quot;/&gt;&lt;wsp:rsid wsp:val=&quot;00FB4DBA&quot;/&gt;&lt;wsp:rsid wsp:val=&quot;00FB667E&quot;/&gt;&lt;wsp:rsid wsp:val=&quot;00FD3604&quot;/&gt;&lt;wsp:rsid wsp:val=&quot;00FE552D&quot;/&gt;&lt;wsp:rsid wsp:val=&quot;00FF195C&quot;/&gt;&lt;/wsp:rsids&gt;&lt;/w:docPr&gt;&lt;w:body&gt;&lt;wx:sect&gt;&lt;w:p wsp:rsidR=&quot;00000000&quot; wsp:rsidRDefault=&quot;00E23873&quot; wsp:rsidP=&quot;00E23873&quot;&gt;&lt;m:oMathPara&gt;&lt;m:oMath&gt;&lt;m:acc&gt;&lt;m:accPr&gt;&lt;m:chr m:val=&quot;Ì…&quot;/&gt;&lt;m:ctrlPr&gt;&lt;w:rPr&gt;&lt;w:rFonts w:ascii=&quot;Cambria Math&quot; w:fareast=&quot;Calibri&quot; w:h-ansi=&quot;Cambria Math&quot; w:cs=&quot;Times New Roman&quot;/&gt;&lt;wx:font wx:val=&quot;Cambria Math&quot;/&gt;&lt;w:i/&gt;&lt;w:sz-cs w:val=&quot;22&quot;/&gt;&lt;/w:rPr&gt;&lt;/m:ctrlPr&gt;&lt;/m:accPr&gt;&lt;m:e&gt;&lt;m:r&gt;&lt;w:rPr&gt;&lt;w:rFonts w:ascii=&quot;Cambria Math&quot; w:fareast=&quot;Calibri&quot; w:h-ansi=&quot;Cambria Math&quot; w:cs=&quot;Times New Roman&quot;/&gt;&lt;wx:font wx:val=&quot;Cambria Math&quot;/&gt;&lt;w:i/&gt;&lt;w:sz-cs w:val=&quot;22&quot;/&gt;&lt;/w:rPr&gt;&lt;m:t&gt;S&lt;/m:t&gt;&lt;/m:r&gt;&lt;/m:e&gt;&lt;/m:acc&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15" o:title="" chromakey="white"/>
          </v:shape>
        </w:pict>
      </w:r>
      <w:r w:rsidRPr="00CC73F3">
        <w:rPr>
          <w:rFonts w:eastAsia="Calibri"/>
          <w:szCs w:val="22"/>
          <w:vertAlign w:val="superscript"/>
        </w:rPr>
        <w:fldChar w:fldCharType="end"/>
      </w:r>
      <w:proofErr w:type="spellStart"/>
      <w:r w:rsidRPr="00CC73F3">
        <w:rPr>
          <w:rFonts w:eastAsia="Calibri"/>
          <w:szCs w:val="22"/>
          <w:vertAlign w:val="superscript"/>
        </w:rPr>
        <w:t>2</w:t>
      </w:r>
      <w:r w:rsidRPr="00CC73F3">
        <w:rPr>
          <w:rFonts w:eastAsia="Calibri"/>
          <w:i/>
          <w:szCs w:val="22"/>
          <w:vertAlign w:val="subscript"/>
        </w:rPr>
        <w:t>x</w:t>
      </w:r>
      <w:proofErr w:type="spellEnd"/>
      <w:r w:rsidRPr="00CC73F3">
        <w:rPr>
          <w:rFonts w:eastAsia="Calibri"/>
          <w:i/>
          <w:szCs w:val="22"/>
          <w:vertAlign w:val="subscript"/>
        </w:rPr>
        <w:t xml:space="preserve"> j</w:t>
      </w:r>
      <w:r w:rsidRPr="00CC73F3">
        <w:rPr>
          <w:rFonts w:eastAsia="Calibri"/>
          <w:szCs w:val="22"/>
        </w:rPr>
        <w:t xml:space="preserve"> is the mean of observed variance among the independent raters, and σ</w:t>
      </w:r>
      <w:r w:rsidRPr="00CC73F3">
        <w:rPr>
          <w:rFonts w:eastAsia="Calibri"/>
          <w:szCs w:val="22"/>
          <w:vertAlign w:val="superscript"/>
        </w:rPr>
        <w:t xml:space="preserve">2 </w:t>
      </w:r>
      <w:r w:rsidRPr="00CC73F3">
        <w:rPr>
          <w:rFonts w:eastAsia="Calibri"/>
          <w:i/>
          <w:szCs w:val="22"/>
          <w:vertAlign w:val="subscript"/>
        </w:rPr>
        <w:t>E</w:t>
      </w:r>
      <w:r w:rsidRPr="00CC73F3">
        <w:rPr>
          <w:rFonts w:eastAsia="Calibri"/>
          <w:szCs w:val="22"/>
        </w:rPr>
        <w:t xml:space="preserve"> is the expected variance of the uniform (or random) distribution.</w:t>
      </w:r>
    </w:p>
    <w:p w:rsidR="00070FC5" w:rsidRPr="00CC73F3" w:rsidRDefault="00070FC5" w:rsidP="00D639F5">
      <w:pPr>
        <w:spacing w:line="480" w:lineRule="auto"/>
        <w:rPr>
          <w:rFonts w:eastAsia="Calibri"/>
          <w:szCs w:val="22"/>
        </w:rPr>
      </w:pPr>
      <w:r w:rsidRPr="00CC73F3">
        <w:rPr>
          <w:rFonts w:eastAsia="Calibri"/>
          <w:szCs w:val="22"/>
        </w:rPr>
        <w:tab/>
        <w:t xml:space="preserve">Following the recommendation of </w:t>
      </w:r>
      <w:r w:rsidRPr="00CC73F3">
        <w:rPr>
          <w:rFonts w:eastAsia="Calibri"/>
          <w:noProof/>
          <w:szCs w:val="22"/>
        </w:rPr>
        <w:t>(LeBreton &amp; Senter, 2007)</w:t>
      </w:r>
      <w:r w:rsidRPr="00CC73F3">
        <w:rPr>
          <w:rFonts w:eastAsia="Calibri"/>
          <w:szCs w:val="22"/>
        </w:rPr>
        <w:t>, the following standards are used here to interpret interrater agreement estimates: .51 to .70 indicates moderate agreement; .71 to .90 indicates strong agreement; and .91 to 1.00 indicates very strong agreement. Based on the results of this calculation, 4 of the 5 products showed moderate or strong agreement among the 10 expert judges (see Table 18). The mobile device body charger did not show at least moderate agreement among the expert judges and was dropped from subsequent analysis in the experiment.</w:t>
      </w:r>
    </w:p>
    <w:p w:rsidR="00070FC5" w:rsidRPr="00CC73F3" w:rsidRDefault="00070FC5" w:rsidP="00D639F5">
      <w:pPr>
        <w:pStyle w:val="Caption"/>
      </w:pPr>
    </w:p>
    <w:p w:rsidR="00070FC5" w:rsidRPr="00CC73F3" w:rsidRDefault="00070FC5" w:rsidP="00D639F5">
      <w:pPr>
        <w:pStyle w:val="Caption"/>
        <w:rPr>
          <w:rFonts w:eastAsia="Calibri"/>
        </w:rPr>
      </w:pPr>
      <w:bookmarkStart w:id="85" w:name="_Toc420570943"/>
      <w:proofErr w:type="gramStart"/>
      <w:r w:rsidRPr="00CC73F3">
        <w:t xml:space="preserve">Table </w:t>
      </w:r>
      <w:fldSimple w:instr=" SEQ Table \* ARABIC ">
        <w:r w:rsidRPr="00CC73F3">
          <w:rPr>
            <w:noProof/>
          </w:rPr>
          <w:t>18</w:t>
        </w:r>
      </w:fldSimple>
      <w:r w:rsidRPr="00CC73F3">
        <w:rPr>
          <w:rFonts w:eastAsia="Calibri"/>
        </w:rPr>
        <w:t>.</w:t>
      </w:r>
      <w:proofErr w:type="gramEnd"/>
      <w:r w:rsidRPr="00CC73F3">
        <w:rPr>
          <w:rFonts w:eastAsia="Calibri"/>
        </w:rPr>
        <w:t xml:space="preserve"> Inter-Rater Agreement (Mean Rating) for Experimental Product Set</w:t>
      </w:r>
      <w:bookmarkEnd w:id="85"/>
    </w:p>
    <w:p w:rsidR="00070FC5" w:rsidRPr="00CC73F3" w:rsidRDefault="00070FC5" w:rsidP="00D639F5">
      <w:pPr>
        <w:jc w:val="center"/>
        <w:rPr>
          <w:rFonts w:eastAsia="Calibri"/>
          <w:szCs w:val="22"/>
        </w:rPr>
      </w:pPr>
    </w:p>
    <w:tbl>
      <w:tblPr>
        <w:tblW w:w="0" w:type="auto"/>
        <w:jc w:val="center"/>
        <w:tblInd w:w="515" w:type="dxa"/>
        <w:tblLook w:val="04A0" w:firstRow="1" w:lastRow="0" w:firstColumn="1" w:lastColumn="0" w:noHBand="0" w:noVBand="1"/>
      </w:tblPr>
      <w:tblGrid>
        <w:gridCol w:w="2821"/>
        <w:gridCol w:w="1890"/>
        <w:gridCol w:w="1800"/>
        <w:gridCol w:w="2550"/>
      </w:tblGrid>
      <w:tr w:rsidR="00070FC5" w:rsidRPr="00CC73F3" w:rsidTr="00D639F5">
        <w:trPr>
          <w:jc w:val="center"/>
        </w:trPr>
        <w:tc>
          <w:tcPr>
            <w:tcW w:w="2821"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Product</w:t>
            </w:r>
          </w:p>
        </w:tc>
        <w:tc>
          <w:tcPr>
            <w:tcW w:w="189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Feasibility R</w:t>
            </w:r>
            <w:r w:rsidRPr="00CC73F3">
              <w:rPr>
                <w:rFonts w:eastAsia="Calibri"/>
                <w:b/>
                <w:vertAlign w:val="subscript"/>
              </w:rPr>
              <w:t>wg(j)</w:t>
            </w:r>
          </w:p>
        </w:tc>
        <w:tc>
          <w:tcPr>
            <w:tcW w:w="180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Novelty R</w:t>
            </w:r>
            <w:r w:rsidRPr="00CC73F3">
              <w:rPr>
                <w:rFonts w:eastAsia="Calibri"/>
                <w:b/>
                <w:vertAlign w:val="subscript"/>
              </w:rPr>
              <w:t>wg(j)</w:t>
            </w:r>
          </w:p>
        </w:tc>
        <w:tc>
          <w:tcPr>
            <w:tcW w:w="255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Meaningfulness R</w:t>
            </w:r>
            <w:r w:rsidRPr="00CC73F3">
              <w:rPr>
                <w:rFonts w:eastAsia="Calibri"/>
                <w:b/>
                <w:vertAlign w:val="subscript"/>
              </w:rPr>
              <w:t>wg(j)</w:t>
            </w:r>
          </w:p>
        </w:tc>
      </w:tr>
      <w:tr w:rsidR="00070FC5" w:rsidRPr="00CC73F3" w:rsidTr="00D639F5">
        <w:trPr>
          <w:jc w:val="center"/>
        </w:trPr>
        <w:tc>
          <w:tcPr>
            <w:tcW w:w="2821"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Drumstick Holder</w:t>
            </w:r>
          </w:p>
        </w:tc>
        <w:tc>
          <w:tcPr>
            <w:tcW w:w="1890"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.89 (6.70)</w:t>
            </w:r>
          </w:p>
        </w:tc>
        <w:tc>
          <w:tcPr>
            <w:tcW w:w="1800"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.57 (3.00)</w:t>
            </w:r>
          </w:p>
        </w:tc>
        <w:tc>
          <w:tcPr>
            <w:tcW w:w="2550"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.82 (3.83)</w:t>
            </w:r>
          </w:p>
        </w:tc>
      </w:tr>
      <w:tr w:rsidR="00070FC5" w:rsidRPr="00CC73F3" w:rsidTr="00D639F5">
        <w:trPr>
          <w:jc w:val="center"/>
        </w:trPr>
        <w:tc>
          <w:tcPr>
            <w:tcW w:w="2821" w:type="dxa"/>
            <w:shd w:val="clear" w:color="auto" w:fill="auto"/>
          </w:tcPr>
          <w:p w:rsidR="00070FC5" w:rsidRPr="00CC73F3" w:rsidRDefault="00070FC5" w:rsidP="00D639F5">
            <w:pPr>
              <w:rPr>
                <w:rFonts w:eastAsia="Calibri"/>
              </w:rPr>
            </w:pPr>
            <w:r w:rsidRPr="00CC73F3">
              <w:rPr>
                <w:rFonts w:eastAsia="Calibri"/>
              </w:rPr>
              <w:t xml:space="preserve">Body Charger </w:t>
            </w:r>
            <w:r w:rsidRPr="00CC73F3">
              <w:rPr>
                <w:rFonts w:eastAsia="Calibri"/>
                <w:vertAlign w:val="superscript"/>
              </w:rPr>
              <w:t>a</w:t>
            </w:r>
          </w:p>
        </w:tc>
        <w:tc>
          <w:tcPr>
            <w:tcW w:w="1890" w:type="dxa"/>
            <w:shd w:val="clear" w:color="auto" w:fill="auto"/>
          </w:tcPr>
          <w:p w:rsidR="00070FC5" w:rsidRPr="00CC73F3" w:rsidRDefault="00070FC5" w:rsidP="00D639F5">
            <w:pPr>
              <w:jc w:val="center"/>
              <w:rPr>
                <w:rFonts w:eastAsia="Calibri"/>
              </w:rPr>
            </w:pPr>
            <w:r w:rsidRPr="00CC73F3">
              <w:rPr>
                <w:rFonts w:eastAsia="Calibri"/>
              </w:rPr>
              <w:t>.21 (4.70)</w:t>
            </w:r>
          </w:p>
        </w:tc>
        <w:tc>
          <w:tcPr>
            <w:tcW w:w="1800" w:type="dxa"/>
            <w:shd w:val="clear" w:color="auto" w:fill="auto"/>
          </w:tcPr>
          <w:p w:rsidR="00070FC5" w:rsidRPr="00CC73F3" w:rsidRDefault="00070FC5" w:rsidP="00D639F5">
            <w:pPr>
              <w:jc w:val="center"/>
              <w:rPr>
                <w:rFonts w:eastAsia="Calibri"/>
              </w:rPr>
            </w:pPr>
            <w:r w:rsidRPr="00CC73F3">
              <w:rPr>
                <w:rFonts w:eastAsia="Calibri"/>
              </w:rPr>
              <w:t>.49 (4.40)</w:t>
            </w:r>
          </w:p>
        </w:tc>
        <w:tc>
          <w:tcPr>
            <w:tcW w:w="2550" w:type="dxa"/>
            <w:shd w:val="clear" w:color="auto" w:fill="auto"/>
          </w:tcPr>
          <w:p w:rsidR="00070FC5" w:rsidRPr="00CC73F3" w:rsidRDefault="00070FC5" w:rsidP="00D639F5">
            <w:pPr>
              <w:jc w:val="center"/>
              <w:rPr>
                <w:rFonts w:eastAsia="Calibri"/>
              </w:rPr>
            </w:pPr>
            <w:r w:rsidRPr="00CC73F3">
              <w:rPr>
                <w:rFonts w:eastAsia="Calibri"/>
              </w:rPr>
              <w:t>.21 (3.68)</w:t>
            </w:r>
          </w:p>
        </w:tc>
      </w:tr>
      <w:tr w:rsidR="00070FC5" w:rsidRPr="00CC73F3" w:rsidTr="00D639F5">
        <w:trPr>
          <w:jc w:val="center"/>
        </w:trPr>
        <w:tc>
          <w:tcPr>
            <w:tcW w:w="2821" w:type="dxa"/>
            <w:shd w:val="clear" w:color="auto" w:fill="auto"/>
          </w:tcPr>
          <w:p w:rsidR="00070FC5" w:rsidRPr="00CC73F3" w:rsidRDefault="00070FC5" w:rsidP="00D639F5">
            <w:pPr>
              <w:rPr>
                <w:rFonts w:eastAsia="Calibri"/>
              </w:rPr>
            </w:pPr>
            <w:r w:rsidRPr="00CC73F3">
              <w:rPr>
                <w:rFonts w:eastAsia="Calibri"/>
              </w:rPr>
              <w:t>Video-Enabled Submarine</w:t>
            </w:r>
          </w:p>
        </w:tc>
        <w:tc>
          <w:tcPr>
            <w:tcW w:w="1890" w:type="dxa"/>
            <w:shd w:val="clear" w:color="auto" w:fill="auto"/>
          </w:tcPr>
          <w:p w:rsidR="00070FC5" w:rsidRPr="00CC73F3" w:rsidRDefault="00070FC5" w:rsidP="00D639F5">
            <w:pPr>
              <w:jc w:val="center"/>
              <w:rPr>
                <w:rFonts w:eastAsia="Calibri"/>
              </w:rPr>
            </w:pPr>
            <w:r w:rsidRPr="00CC73F3">
              <w:rPr>
                <w:rFonts w:eastAsia="Calibri"/>
              </w:rPr>
              <w:t>.71 (5.47)</w:t>
            </w:r>
          </w:p>
        </w:tc>
        <w:tc>
          <w:tcPr>
            <w:tcW w:w="1800" w:type="dxa"/>
            <w:shd w:val="clear" w:color="auto" w:fill="auto"/>
          </w:tcPr>
          <w:p w:rsidR="00070FC5" w:rsidRPr="00CC73F3" w:rsidRDefault="00070FC5" w:rsidP="00D639F5">
            <w:pPr>
              <w:jc w:val="center"/>
              <w:rPr>
                <w:rFonts w:eastAsia="Calibri"/>
              </w:rPr>
            </w:pPr>
            <w:r w:rsidRPr="00CC73F3">
              <w:rPr>
                <w:rFonts w:eastAsia="Calibri"/>
              </w:rPr>
              <w:t>.57 (3.95)</w:t>
            </w:r>
          </w:p>
        </w:tc>
        <w:tc>
          <w:tcPr>
            <w:tcW w:w="2550" w:type="dxa"/>
            <w:shd w:val="clear" w:color="auto" w:fill="auto"/>
          </w:tcPr>
          <w:p w:rsidR="00070FC5" w:rsidRPr="00CC73F3" w:rsidRDefault="00070FC5" w:rsidP="00D639F5">
            <w:pPr>
              <w:jc w:val="center"/>
              <w:rPr>
                <w:rFonts w:eastAsia="Calibri"/>
              </w:rPr>
            </w:pPr>
            <w:r w:rsidRPr="00CC73F3">
              <w:rPr>
                <w:rFonts w:eastAsia="Calibri"/>
              </w:rPr>
              <w:t>.55 (4.83)</w:t>
            </w:r>
          </w:p>
        </w:tc>
      </w:tr>
      <w:tr w:rsidR="00070FC5" w:rsidRPr="00CC73F3" w:rsidTr="00D639F5">
        <w:trPr>
          <w:jc w:val="center"/>
        </w:trPr>
        <w:tc>
          <w:tcPr>
            <w:tcW w:w="2821" w:type="dxa"/>
            <w:shd w:val="clear" w:color="auto" w:fill="auto"/>
          </w:tcPr>
          <w:p w:rsidR="00070FC5" w:rsidRPr="00CC73F3" w:rsidRDefault="00070FC5" w:rsidP="00D639F5">
            <w:pPr>
              <w:rPr>
                <w:rFonts w:eastAsia="Calibri"/>
              </w:rPr>
            </w:pPr>
            <w:r w:rsidRPr="00CC73F3">
              <w:rPr>
                <w:rFonts w:eastAsia="Calibri"/>
              </w:rPr>
              <w:t>Under-Chair Drawer</w:t>
            </w:r>
          </w:p>
        </w:tc>
        <w:tc>
          <w:tcPr>
            <w:tcW w:w="1890" w:type="dxa"/>
            <w:shd w:val="clear" w:color="auto" w:fill="auto"/>
          </w:tcPr>
          <w:p w:rsidR="00070FC5" w:rsidRPr="00CC73F3" w:rsidRDefault="00070FC5" w:rsidP="00D639F5">
            <w:pPr>
              <w:jc w:val="center"/>
              <w:rPr>
                <w:rFonts w:eastAsia="Calibri"/>
              </w:rPr>
            </w:pPr>
            <w:r w:rsidRPr="00CC73F3">
              <w:rPr>
                <w:rFonts w:eastAsia="Calibri"/>
              </w:rPr>
              <w:t>.75 (5.97)</w:t>
            </w:r>
          </w:p>
        </w:tc>
        <w:tc>
          <w:tcPr>
            <w:tcW w:w="1800" w:type="dxa"/>
            <w:shd w:val="clear" w:color="auto" w:fill="auto"/>
          </w:tcPr>
          <w:p w:rsidR="00070FC5" w:rsidRPr="00CC73F3" w:rsidRDefault="00070FC5" w:rsidP="00D639F5">
            <w:pPr>
              <w:jc w:val="center"/>
              <w:rPr>
                <w:rFonts w:eastAsia="Calibri"/>
              </w:rPr>
            </w:pPr>
            <w:r w:rsidRPr="00CC73F3">
              <w:rPr>
                <w:rFonts w:eastAsia="Calibri"/>
              </w:rPr>
              <w:t>.56 (3.10)</w:t>
            </w:r>
          </w:p>
        </w:tc>
        <w:tc>
          <w:tcPr>
            <w:tcW w:w="2550" w:type="dxa"/>
            <w:shd w:val="clear" w:color="auto" w:fill="auto"/>
          </w:tcPr>
          <w:p w:rsidR="00070FC5" w:rsidRPr="00CC73F3" w:rsidRDefault="00070FC5" w:rsidP="00D639F5">
            <w:pPr>
              <w:jc w:val="center"/>
              <w:rPr>
                <w:rFonts w:eastAsia="Calibri"/>
              </w:rPr>
            </w:pPr>
            <w:r w:rsidRPr="00CC73F3">
              <w:rPr>
                <w:rFonts w:eastAsia="Calibri"/>
              </w:rPr>
              <w:t>.76 (3.63)</w:t>
            </w:r>
          </w:p>
        </w:tc>
      </w:tr>
      <w:tr w:rsidR="00070FC5" w:rsidRPr="00CC73F3" w:rsidTr="00D639F5">
        <w:trPr>
          <w:jc w:val="center"/>
        </w:trPr>
        <w:tc>
          <w:tcPr>
            <w:tcW w:w="2821" w:type="dxa"/>
            <w:tcBorders>
              <w:bottom w:val="single" w:sz="18" w:space="0" w:color="auto"/>
            </w:tcBorders>
            <w:shd w:val="clear" w:color="auto" w:fill="auto"/>
          </w:tcPr>
          <w:p w:rsidR="00070FC5" w:rsidRPr="00CC73F3" w:rsidRDefault="00070FC5" w:rsidP="00D639F5">
            <w:pPr>
              <w:rPr>
                <w:rFonts w:eastAsia="Calibri"/>
              </w:rPr>
            </w:pPr>
            <w:r w:rsidRPr="00CC73F3">
              <w:rPr>
                <w:rFonts w:eastAsia="Calibri"/>
              </w:rPr>
              <w:t>Smoke Detector</w:t>
            </w:r>
          </w:p>
        </w:tc>
        <w:tc>
          <w:tcPr>
            <w:tcW w:w="1890"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.83 (6.33)</w:t>
            </w:r>
          </w:p>
        </w:tc>
        <w:tc>
          <w:tcPr>
            <w:tcW w:w="1800"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.63 (3.58)</w:t>
            </w:r>
          </w:p>
        </w:tc>
        <w:tc>
          <w:tcPr>
            <w:tcW w:w="2550"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.57 (4.48)</w:t>
            </w:r>
          </w:p>
        </w:tc>
      </w:tr>
      <w:tr w:rsidR="00070FC5" w:rsidRPr="00CC73F3" w:rsidTr="00D639F5">
        <w:trPr>
          <w:jc w:val="center"/>
        </w:trPr>
        <w:tc>
          <w:tcPr>
            <w:tcW w:w="9061" w:type="dxa"/>
            <w:gridSpan w:val="4"/>
            <w:tcBorders>
              <w:top w:val="single" w:sz="18" w:space="0" w:color="auto"/>
            </w:tcBorders>
            <w:shd w:val="clear" w:color="auto" w:fill="auto"/>
          </w:tcPr>
          <w:p w:rsidR="00070FC5" w:rsidRPr="00CC73F3" w:rsidRDefault="00070FC5" w:rsidP="00D639F5">
            <w:pPr>
              <w:rPr>
                <w:rFonts w:eastAsia="Calibri"/>
                <w:sz w:val="20"/>
                <w:szCs w:val="20"/>
              </w:rPr>
            </w:pPr>
            <w:proofErr w:type="spellStart"/>
            <w:proofErr w:type="gramStart"/>
            <w:r w:rsidRPr="00CC73F3">
              <w:rPr>
                <w:rFonts w:eastAsia="Calibri"/>
                <w:sz w:val="20"/>
                <w:szCs w:val="20"/>
                <w:vertAlign w:val="superscript"/>
              </w:rPr>
              <w:t>a</w:t>
            </w:r>
            <w:proofErr w:type="spellEnd"/>
            <w:proofErr w:type="gramEnd"/>
            <w:r w:rsidRPr="00CC73F3">
              <w:rPr>
                <w:rFonts w:eastAsia="Calibri"/>
                <w:sz w:val="20"/>
                <w:szCs w:val="20"/>
              </w:rPr>
              <w:t xml:space="preserve"> The Mobile Body Charger product was dropped from the analysis due to low agreement among the raters.</w:t>
            </w:r>
          </w:p>
        </w:tc>
      </w:tr>
    </w:tbl>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szCs w:val="22"/>
        </w:rPr>
        <w:tab/>
        <w:t>After determining which products had moderate or higher agreement among the raters, the team rating scores for the novelty, meaningfulness and feasibility dimensions were examined. The mean distance scores from the expert ratings, along with the standard deviations of the distance scores for novelty, meaningfulness, and feasibility are shown in Table 19.</w:t>
      </w:r>
    </w:p>
    <w:p w:rsidR="00070FC5" w:rsidRPr="00CC73F3" w:rsidRDefault="00070FC5" w:rsidP="00D639F5">
      <w:pPr>
        <w:spacing w:line="480" w:lineRule="auto"/>
        <w:rPr>
          <w:rFonts w:eastAsia="Calibri"/>
          <w:szCs w:val="22"/>
        </w:rPr>
      </w:pPr>
    </w:p>
    <w:p w:rsidR="00070FC5" w:rsidRPr="00CC73F3" w:rsidRDefault="00070FC5" w:rsidP="00D639F5">
      <w:pPr>
        <w:pStyle w:val="Caption"/>
        <w:rPr>
          <w:rFonts w:eastAsia="Calibri"/>
        </w:rPr>
      </w:pPr>
      <w:bookmarkStart w:id="86" w:name="_Toc420570944"/>
      <w:proofErr w:type="gramStart"/>
      <w:r w:rsidRPr="00CC73F3">
        <w:t xml:space="preserve">Table </w:t>
      </w:r>
      <w:fldSimple w:instr=" SEQ Table \* ARABIC ">
        <w:r w:rsidRPr="00CC73F3">
          <w:rPr>
            <w:noProof/>
          </w:rPr>
          <w:t>19</w:t>
        </w:r>
      </w:fldSimple>
      <w:r w:rsidRPr="00CC73F3">
        <w:rPr>
          <w:rFonts w:eastAsia="Calibri"/>
        </w:rPr>
        <w:t>.</w:t>
      </w:r>
      <w:proofErr w:type="gramEnd"/>
      <w:r w:rsidRPr="00CC73F3">
        <w:rPr>
          <w:rFonts w:eastAsia="Calibri"/>
        </w:rPr>
        <w:t xml:space="preserve"> Pretest Distance Means (</w:t>
      </w:r>
      <w:r w:rsidR="00117A2D">
        <w:rPr>
          <w:rFonts w:eastAsia="Calibri"/>
        </w:rPr>
        <w:t>SD</w:t>
      </w:r>
      <w:r w:rsidRPr="00CC73F3">
        <w:rPr>
          <w:rFonts w:eastAsia="Calibri"/>
        </w:rPr>
        <w:t>) for Study 1 Product Concepts</w:t>
      </w:r>
      <w:bookmarkEnd w:id="86"/>
      <w:r w:rsidRPr="00CC73F3">
        <w:rPr>
          <w:rFonts w:eastAsia="Calibri"/>
        </w:rPr>
        <w:t xml:space="preserve"> </w:t>
      </w:r>
    </w:p>
    <w:p w:rsidR="00070FC5" w:rsidRPr="00CC73F3" w:rsidRDefault="00070FC5" w:rsidP="00D639F5">
      <w:pPr>
        <w:rPr>
          <w:rFonts w:eastAsia="Calibri"/>
          <w:szCs w:val="22"/>
        </w:rPr>
      </w:pPr>
    </w:p>
    <w:tbl>
      <w:tblPr>
        <w:tblW w:w="5000" w:type="pct"/>
        <w:tblLook w:val="04A0" w:firstRow="1" w:lastRow="0" w:firstColumn="1" w:lastColumn="0" w:noHBand="0" w:noVBand="1"/>
      </w:tblPr>
      <w:tblGrid>
        <w:gridCol w:w="2769"/>
        <w:gridCol w:w="2195"/>
        <w:gridCol w:w="2074"/>
        <w:gridCol w:w="2538"/>
      </w:tblGrid>
      <w:tr w:rsidR="00070FC5" w:rsidRPr="00CC73F3" w:rsidTr="00D639F5">
        <w:trPr>
          <w:trHeight w:val="600"/>
        </w:trPr>
        <w:tc>
          <w:tcPr>
            <w:tcW w:w="1446" w:type="pct"/>
            <w:tcBorders>
              <w:top w:val="single" w:sz="18" w:space="0" w:color="auto"/>
              <w:left w:val="nil"/>
              <w:bottom w:val="single" w:sz="18" w:space="0" w:color="auto"/>
              <w:right w:val="nil"/>
            </w:tcBorders>
            <w:shd w:val="clear" w:color="auto" w:fill="auto"/>
            <w:noWrap/>
            <w:vAlign w:val="center"/>
            <w:hideMark/>
          </w:tcPr>
          <w:p w:rsidR="00070FC5" w:rsidRPr="00CC73F3" w:rsidRDefault="00070FC5" w:rsidP="00D639F5">
            <w:pPr>
              <w:rPr>
                <w:b/>
                <w:bCs/>
                <w:color w:val="000000"/>
              </w:rPr>
            </w:pPr>
            <w:r w:rsidRPr="00CC73F3">
              <w:rPr>
                <w:b/>
                <w:bCs/>
                <w:color w:val="000000"/>
              </w:rPr>
              <w:t xml:space="preserve">Product </w:t>
            </w:r>
            <w:r w:rsidRPr="00CC73F3">
              <w:rPr>
                <w:b/>
                <w:bCs/>
                <w:color w:val="000000"/>
                <w:vertAlign w:val="superscript"/>
              </w:rPr>
              <w:t>a</w:t>
            </w:r>
          </w:p>
        </w:tc>
        <w:tc>
          <w:tcPr>
            <w:tcW w:w="1146" w:type="pct"/>
            <w:tcBorders>
              <w:top w:val="single" w:sz="18" w:space="0" w:color="auto"/>
              <w:left w:val="nil"/>
              <w:bottom w:val="single" w:sz="18" w:space="0" w:color="auto"/>
              <w:right w:val="nil"/>
            </w:tcBorders>
            <w:shd w:val="clear" w:color="auto" w:fill="auto"/>
            <w:vAlign w:val="center"/>
            <w:hideMark/>
          </w:tcPr>
          <w:p w:rsidR="00070FC5" w:rsidRPr="00CC73F3" w:rsidRDefault="00070FC5" w:rsidP="00D639F5">
            <w:pPr>
              <w:jc w:val="center"/>
              <w:rPr>
                <w:b/>
                <w:bCs/>
                <w:color w:val="000000"/>
              </w:rPr>
            </w:pPr>
            <w:r w:rsidRPr="00CC73F3">
              <w:rPr>
                <w:b/>
                <w:bCs/>
                <w:color w:val="000000"/>
              </w:rPr>
              <w:t>Feasibility Mean Distance/SD</w:t>
            </w:r>
          </w:p>
        </w:tc>
        <w:tc>
          <w:tcPr>
            <w:tcW w:w="1083" w:type="pct"/>
            <w:tcBorders>
              <w:top w:val="single" w:sz="18" w:space="0" w:color="auto"/>
              <w:left w:val="nil"/>
              <w:bottom w:val="single" w:sz="18" w:space="0" w:color="auto"/>
              <w:right w:val="nil"/>
            </w:tcBorders>
            <w:shd w:val="clear" w:color="auto" w:fill="auto"/>
            <w:vAlign w:val="center"/>
            <w:hideMark/>
          </w:tcPr>
          <w:p w:rsidR="00070FC5" w:rsidRPr="00CC73F3" w:rsidRDefault="00070FC5" w:rsidP="00D639F5">
            <w:pPr>
              <w:jc w:val="center"/>
              <w:rPr>
                <w:b/>
                <w:bCs/>
                <w:color w:val="000000"/>
              </w:rPr>
            </w:pPr>
            <w:r w:rsidRPr="00CC73F3">
              <w:rPr>
                <w:b/>
                <w:bCs/>
                <w:color w:val="000000"/>
              </w:rPr>
              <w:t>Novelty Mean Distance/SD</w:t>
            </w:r>
          </w:p>
        </w:tc>
        <w:tc>
          <w:tcPr>
            <w:tcW w:w="1325" w:type="pct"/>
            <w:tcBorders>
              <w:top w:val="single" w:sz="18" w:space="0" w:color="auto"/>
              <w:left w:val="nil"/>
              <w:bottom w:val="single" w:sz="18" w:space="0" w:color="auto"/>
              <w:right w:val="nil"/>
            </w:tcBorders>
            <w:shd w:val="clear" w:color="auto" w:fill="auto"/>
            <w:vAlign w:val="center"/>
            <w:hideMark/>
          </w:tcPr>
          <w:p w:rsidR="00070FC5" w:rsidRPr="00CC73F3" w:rsidRDefault="00070FC5" w:rsidP="00D639F5">
            <w:pPr>
              <w:jc w:val="center"/>
              <w:rPr>
                <w:b/>
                <w:bCs/>
                <w:color w:val="000000"/>
              </w:rPr>
            </w:pPr>
            <w:r w:rsidRPr="00CC73F3">
              <w:rPr>
                <w:b/>
                <w:bCs/>
                <w:color w:val="000000"/>
              </w:rPr>
              <w:t>Meaningfulness Mean Distance/SD</w:t>
            </w:r>
          </w:p>
        </w:tc>
      </w:tr>
      <w:tr w:rsidR="00070FC5" w:rsidRPr="00CC73F3" w:rsidTr="00D639F5">
        <w:trPr>
          <w:trHeight w:val="300"/>
        </w:trPr>
        <w:tc>
          <w:tcPr>
            <w:tcW w:w="1446" w:type="pct"/>
            <w:tcBorders>
              <w:top w:val="single" w:sz="18" w:space="0" w:color="auto"/>
              <w:left w:val="nil"/>
              <w:bottom w:val="nil"/>
              <w:right w:val="nil"/>
            </w:tcBorders>
            <w:shd w:val="clear" w:color="auto" w:fill="auto"/>
            <w:noWrap/>
            <w:vAlign w:val="bottom"/>
            <w:hideMark/>
          </w:tcPr>
          <w:p w:rsidR="00070FC5" w:rsidRPr="00CC73F3" w:rsidRDefault="00070FC5" w:rsidP="00D639F5">
            <w:pPr>
              <w:rPr>
                <w:color w:val="000000"/>
              </w:rPr>
            </w:pPr>
            <w:r w:rsidRPr="00CC73F3">
              <w:rPr>
                <w:color w:val="000000"/>
              </w:rPr>
              <w:t>Drumstick holder</w:t>
            </w:r>
          </w:p>
        </w:tc>
        <w:tc>
          <w:tcPr>
            <w:tcW w:w="1146" w:type="pct"/>
            <w:tcBorders>
              <w:top w:val="single" w:sz="18" w:space="0" w:color="auto"/>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1.19 (1.09)</w:t>
            </w:r>
          </w:p>
        </w:tc>
        <w:tc>
          <w:tcPr>
            <w:tcW w:w="1083" w:type="pct"/>
            <w:tcBorders>
              <w:top w:val="single" w:sz="18" w:space="0" w:color="auto"/>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1.15 (.81)</w:t>
            </w:r>
          </w:p>
        </w:tc>
        <w:tc>
          <w:tcPr>
            <w:tcW w:w="1325" w:type="pct"/>
            <w:tcBorders>
              <w:top w:val="single" w:sz="18" w:space="0" w:color="auto"/>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1.27 (.83)</w:t>
            </w:r>
          </w:p>
        </w:tc>
      </w:tr>
      <w:tr w:rsidR="00070FC5" w:rsidRPr="00CC73F3" w:rsidTr="00D639F5">
        <w:trPr>
          <w:trHeight w:val="300"/>
        </w:trPr>
        <w:tc>
          <w:tcPr>
            <w:tcW w:w="1446" w:type="pct"/>
            <w:tcBorders>
              <w:top w:val="nil"/>
              <w:left w:val="nil"/>
              <w:bottom w:val="nil"/>
              <w:right w:val="nil"/>
            </w:tcBorders>
            <w:shd w:val="clear" w:color="auto" w:fill="auto"/>
            <w:noWrap/>
            <w:vAlign w:val="bottom"/>
            <w:hideMark/>
          </w:tcPr>
          <w:p w:rsidR="00070FC5" w:rsidRPr="00CC73F3" w:rsidRDefault="00070FC5" w:rsidP="00D639F5">
            <w:pPr>
              <w:rPr>
                <w:color w:val="000000"/>
              </w:rPr>
            </w:pPr>
            <w:r w:rsidRPr="00CC73F3">
              <w:rPr>
                <w:color w:val="000000"/>
              </w:rPr>
              <w:t>Video-Enabled Submarine</w:t>
            </w:r>
          </w:p>
        </w:tc>
        <w:tc>
          <w:tcPr>
            <w:tcW w:w="1146" w:type="pct"/>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1.89 (1.10)</w:t>
            </w:r>
          </w:p>
        </w:tc>
        <w:tc>
          <w:tcPr>
            <w:tcW w:w="1083" w:type="pct"/>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1.05 (.71)</w:t>
            </w:r>
          </w:p>
        </w:tc>
        <w:tc>
          <w:tcPr>
            <w:tcW w:w="1325" w:type="pct"/>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1.00 (.79)</w:t>
            </w:r>
          </w:p>
        </w:tc>
      </w:tr>
      <w:tr w:rsidR="00070FC5" w:rsidRPr="00CC73F3" w:rsidTr="00D639F5">
        <w:trPr>
          <w:trHeight w:val="300"/>
        </w:trPr>
        <w:tc>
          <w:tcPr>
            <w:tcW w:w="1446" w:type="pct"/>
            <w:tcBorders>
              <w:top w:val="nil"/>
              <w:left w:val="nil"/>
              <w:bottom w:val="nil"/>
              <w:right w:val="nil"/>
            </w:tcBorders>
            <w:shd w:val="clear" w:color="auto" w:fill="auto"/>
            <w:noWrap/>
            <w:vAlign w:val="bottom"/>
            <w:hideMark/>
          </w:tcPr>
          <w:p w:rsidR="00070FC5" w:rsidRPr="00CC73F3" w:rsidRDefault="00070FC5" w:rsidP="00D639F5">
            <w:pPr>
              <w:rPr>
                <w:color w:val="000000"/>
              </w:rPr>
            </w:pPr>
            <w:r w:rsidRPr="00CC73F3">
              <w:rPr>
                <w:color w:val="000000"/>
              </w:rPr>
              <w:t>Under-Chair Drawer</w:t>
            </w:r>
          </w:p>
        </w:tc>
        <w:tc>
          <w:tcPr>
            <w:tcW w:w="1146" w:type="pct"/>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.91 (.72)</w:t>
            </w:r>
          </w:p>
        </w:tc>
        <w:tc>
          <w:tcPr>
            <w:tcW w:w="1083" w:type="pct"/>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1.15 (.80)</w:t>
            </w:r>
          </w:p>
        </w:tc>
        <w:tc>
          <w:tcPr>
            <w:tcW w:w="1325" w:type="pct"/>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1.43 (.88)</w:t>
            </w:r>
          </w:p>
        </w:tc>
      </w:tr>
      <w:tr w:rsidR="00070FC5" w:rsidRPr="00CC73F3" w:rsidTr="00D639F5">
        <w:trPr>
          <w:trHeight w:val="300"/>
        </w:trPr>
        <w:tc>
          <w:tcPr>
            <w:tcW w:w="1446" w:type="pct"/>
            <w:tcBorders>
              <w:top w:val="nil"/>
              <w:left w:val="nil"/>
              <w:right w:val="nil"/>
            </w:tcBorders>
            <w:shd w:val="clear" w:color="auto" w:fill="auto"/>
            <w:noWrap/>
            <w:vAlign w:val="bottom"/>
            <w:hideMark/>
          </w:tcPr>
          <w:p w:rsidR="00070FC5" w:rsidRPr="00CC73F3" w:rsidRDefault="00070FC5" w:rsidP="00D639F5">
            <w:pPr>
              <w:rPr>
                <w:color w:val="000000"/>
              </w:rPr>
            </w:pPr>
            <w:r w:rsidRPr="00CC73F3">
              <w:rPr>
                <w:color w:val="000000"/>
              </w:rPr>
              <w:t>Smoke Detector</w:t>
            </w:r>
          </w:p>
        </w:tc>
        <w:tc>
          <w:tcPr>
            <w:tcW w:w="1146" w:type="pct"/>
            <w:tcBorders>
              <w:top w:val="nil"/>
              <w:left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1.49 (1.16)</w:t>
            </w:r>
          </w:p>
        </w:tc>
        <w:tc>
          <w:tcPr>
            <w:tcW w:w="1083" w:type="pct"/>
            <w:tcBorders>
              <w:top w:val="nil"/>
              <w:left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1.04 (.74)</w:t>
            </w:r>
          </w:p>
        </w:tc>
        <w:tc>
          <w:tcPr>
            <w:tcW w:w="1325" w:type="pct"/>
            <w:tcBorders>
              <w:top w:val="nil"/>
              <w:left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1.37 (.86)</w:t>
            </w:r>
          </w:p>
        </w:tc>
      </w:tr>
      <w:tr w:rsidR="00070FC5" w:rsidRPr="00CC73F3" w:rsidTr="00D639F5">
        <w:trPr>
          <w:trHeight w:val="300"/>
        </w:trPr>
        <w:tc>
          <w:tcPr>
            <w:tcW w:w="1446" w:type="pct"/>
            <w:tcBorders>
              <w:top w:val="nil"/>
              <w:left w:val="nil"/>
              <w:bottom w:val="single" w:sz="18" w:space="0" w:color="auto"/>
              <w:right w:val="nil"/>
            </w:tcBorders>
            <w:shd w:val="clear" w:color="auto" w:fill="auto"/>
            <w:noWrap/>
            <w:vAlign w:val="bottom"/>
            <w:hideMark/>
          </w:tcPr>
          <w:p w:rsidR="00070FC5" w:rsidRPr="00CC73F3" w:rsidRDefault="00070FC5" w:rsidP="00D639F5">
            <w:pPr>
              <w:rPr>
                <w:color w:val="000000"/>
              </w:rPr>
            </w:pPr>
            <w:r w:rsidRPr="00CC73F3">
              <w:rPr>
                <w:color w:val="000000"/>
              </w:rPr>
              <w:t xml:space="preserve">All (Euclidean Distance) </w:t>
            </w:r>
            <w:r w:rsidRPr="00CC73F3">
              <w:rPr>
                <w:color w:val="000000"/>
                <w:vertAlign w:val="superscript"/>
              </w:rPr>
              <w:t>b</w:t>
            </w:r>
          </w:p>
        </w:tc>
        <w:tc>
          <w:tcPr>
            <w:tcW w:w="1146" w:type="pct"/>
            <w:tcBorders>
              <w:top w:val="nil"/>
              <w:left w:val="nil"/>
              <w:bottom w:val="single" w:sz="18" w:space="0" w:color="auto"/>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9.75 (1.13)</w:t>
            </w:r>
          </w:p>
        </w:tc>
        <w:tc>
          <w:tcPr>
            <w:tcW w:w="1083" w:type="pct"/>
            <w:tcBorders>
              <w:top w:val="nil"/>
              <w:left w:val="nil"/>
              <w:bottom w:val="single" w:sz="18" w:space="0" w:color="auto"/>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4.87 (.78)</w:t>
            </w:r>
          </w:p>
        </w:tc>
        <w:tc>
          <w:tcPr>
            <w:tcW w:w="1325" w:type="pct"/>
            <w:tcBorders>
              <w:top w:val="nil"/>
              <w:left w:val="nil"/>
              <w:bottom w:val="single" w:sz="18" w:space="0" w:color="auto"/>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6.13 (.93)</w:t>
            </w:r>
          </w:p>
        </w:tc>
      </w:tr>
    </w:tbl>
    <w:p w:rsidR="00070FC5" w:rsidRPr="00CC73F3" w:rsidRDefault="00070FC5" w:rsidP="00D639F5">
      <w:pPr>
        <w:rPr>
          <w:rFonts w:eastAsia="Calibri"/>
          <w:sz w:val="20"/>
          <w:szCs w:val="20"/>
        </w:rPr>
      </w:pPr>
      <w:proofErr w:type="spellStart"/>
      <w:proofErr w:type="gramStart"/>
      <w:r w:rsidRPr="00CC73F3">
        <w:rPr>
          <w:rFonts w:eastAsia="Calibri"/>
          <w:sz w:val="20"/>
          <w:szCs w:val="20"/>
          <w:vertAlign w:val="superscript"/>
        </w:rPr>
        <w:t>a</w:t>
      </w:r>
      <w:proofErr w:type="spellEnd"/>
      <w:proofErr w:type="gramEnd"/>
      <w:r w:rsidRPr="00CC73F3">
        <w:rPr>
          <w:rFonts w:eastAsia="Calibri"/>
          <w:sz w:val="20"/>
          <w:szCs w:val="20"/>
        </w:rPr>
        <w:t xml:space="preserve"> The Mobile Body Charger product was dropped from the main experiment due to low interrater reliability.</w:t>
      </w:r>
    </w:p>
    <w:p w:rsidR="00070FC5" w:rsidRPr="00CC73F3" w:rsidRDefault="00070FC5" w:rsidP="00D639F5">
      <w:pPr>
        <w:rPr>
          <w:rFonts w:eastAsia="Calibri"/>
          <w:szCs w:val="22"/>
        </w:rPr>
      </w:pPr>
    </w:p>
    <w:p w:rsidR="00070FC5" w:rsidRPr="00CC73F3" w:rsidRDefault="00070FC5" w:rsidP="00D639F5">
      <w:pPr>
        <w:pStyle w:val="Heading3"/>
      </w:pPr>
    </w:p>
    <w:p w:rsidR="00070FC5" w:rsidRPr="00CC73F3" w:rsidRDefault="00070FC5" w:rsidP="00D639F5">
      <w:pPr>
        <w:pStyle w:val="Heading3"/>
      </w:pPr>
      <w:bookmarkStart w:id="87" w:name="_Toc420572604"/>
      <w:r w:rsidRPr="00CC73F3">
        <w:t>Study 1 and 2 Team Sample Characteristics</w:t>
      </w:r>
      <w:bookmarkEnd w:id="87"/>
      <w:r w:rsidRPr="00CC73F3">
        <w:t xml:space="preserve"> </w:t>
      </w:r>
    </w:p>
    <w:p w:rsidR="00070FC5" w:rsidRPr="00CC73F3" w:rsidRDefault="00070FC5" w:rsidP="00D639F5">
      <w:pPr>
        <w:spacing w:line="480" w:lineRule="auto"/>
        <w:rPr>
          <w:rFonts w:eastAsia="Calibri"/>
          <w:szCs w:val="22"/>
        </w:rPr>
      </w:pPr>
      <w:r w:rsidRPr="00CC73F3">
        <w:rPr>
          <w:rFonts w:eastAsia="Calibri"/>
          <w:szCs w:val="22"/>
        </w:rPr>
        <w:tab/>
        <w:t>The main experimental exercises for Studies 1 and 2 were conducted consecutively using the same sample, and the same experimental manipulations (i.e., the teams were primed in one of the four conditions, then asked to complete Study 1 followed by Study 2). To reinforce the experimental manipulations over the duration of the exercises, the sample manipulations were given to each team again between Study 1 and Study 2 (e.g., Barrick &amp; Spilker 2003; Meloy 2000). The sample consisted of 158 teams of two individuals. Undergraduate students from marketing, advertising, and supply chain classes at a public university in the southeast United States were recruited for the study. Each team was paid between $10-20 for participating in the survey ($5-10 per person), depending on how far their answers deviated from the responses aggregated from a panel of 10 new product development experts with experience in developing consumer goods and how accurate they were in correctly choosing the best- and worst-selling products in the Study 2 choice sets. Team members split their total earnings for their performance in the study 50/50, so both partners received the exact same monetary compensation.</w:t>
      </w:r>
    </w:p>
    <w:p w:rsidR="00070FC5" w:rsidRPr="00CC73F3" w:rsidRDefault="00070FC5" w:rsidP="00D639F5">
      <w:pPr>
        <w:spacing w:line="480" w:lineRule="auto"/>
        <w:rPr>
          <w:rFonts w:eastAsia="Calibri"/>
          <w:szCs w:val="22"/>
        </w:rPr>
      </w:pPr>
      <w:r w:rsidRPr="00CC73F3">
        <w:rPr>
          <w:rFonts w:eastAsia="Calibri"/>
          <w:szCs w:val="22"/>
        </w:rPr>
        <w:tab/>
        <w:t>The individuals used in the sample had an average age of 23.5 years, and had an average of 3.2 years of full-time work experience. Of the participants in the study 52.2% were female.</w:t>
      </w:r>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88" w:name="_Toc420572605"/>
      <w:r w:rsidRPr="00CC73F3">
        <w:t>Manipulation and Confound Checks</w:t>
      </w:r>
      <w:bookmarkEnd w:id="88"/>
    </w:p>
    <w:p w:rsidR="00070FC5" w:rsidRPr="00CC73F3" w:rsidRDefault="00070FC5" w:rsidP="00D639F5">
      <w:pPr>
        <w:spacing w:line="480" w:lineRule="auto"/>
        <w:rPr>
          <w:rFonts w:eastAsia="Calibri"/>
          <w:szCs w:val="22"/>
        </w:rPr>
      </w:pPr>
      <w:r w:rsidRPr="00CC73F3">
        <w:rPr>
          <w:rFonts w:eastAsia="Calibri"/>
          <w:szCs w:val="22"/>
        </w:rPr>
        <w:tab/>
        <w:t>A manipulation and confound check was conducted for the main experiments to ensure that teams were being correctly primed in their respective experimental conditions, and that the experimental manipulations were not significantly influencing one another. Two analysis of variance (ANOVA) models were analyzed. The first model used the reflexivity composite as the dependent variable and the two-level experimental factors (reflexivity and regulatory focus) as independent variables. The second model used the regulatory focus composite as the dependent variable and the two-level experimental factors (reflexivity and regulatory focus) as independent variables. The results, shown in Table 20 below show that the experimental conditions were manipulated as intended (i.e., the high reflexivity group and promotion groups differed significantly from their counterparts) and that they did not significantly influence one another.</w:t>
      </w:r>
    </w:p>
    <w:p w:rsidR="00070FC5" w:rsidRPr="00CC73F3" w:rsidRDefault="00070FC5" w:rsidP="00D639F5">
      <w:pPr>
        <w:rPr>
          <w:rFonts w:eastAsia="Calibri"/>
          <w:b/>
          <w:szCs w:val="22"/>
        </w:rPr>
      </w:pPr>
    </w:p>
    <w:p w:rsidR="00070FC5" w:rsidRPr="00CC73F3" w:rsidRDefault="00070FC5" w:rsidP="00D639F5">
      <w:pPr>
        <w:rPr>
          <w:rFonts w:eastAsia="Calibri"/>
          <w:b/>
          <w:szCs w:val="22"/>
        </w:rPr>
      </w:pPr>
    </w:p>
    <w:p w:rsidR="00070FC5" w:rsidRPr="00CC73F3" w:rsidRDefault="00070FC5" w:rsidP="00D639F5">
      <w:pPr>
        <w:pStyle w:val="Caption"/>
        <w:rPr>
          <w:rFonts w:eastAsia="Calibri"/>
        </w:rPr>
      </w:pPr>
      <w:bookmarkStart w:id="89" w:name="_Toc420570945"/>
      <w:proofErr w:type="gramStart"/>
      <w:r w:rsidRPr="00CC73F3">
        <w:t xml:space="preserve">Table </w:t>
      </w:r>
      <w:fldSimple w:instr=" SEQ Table \* ARABIC ">
        <w:r w:rsidRPr="00CC73F3">
          <w:rPr>
            <w:noProof/>
          </w:rPr>
          <w:t>20</w:t>
        </w:r>
      </w:fldSimple>
      <w:r w:rsidRPr="00CC73F3">
        <w:rPr>
          <w:rFonts w:eastAsia="Calibri"/>
        </w:rPr>
        <w:t>.</w:t>
      </w:r>
      <w:proofErr w:type="gramEnd"/>
      <w:r w:rsidRPr="00CC73F3">
        <w:rPr>
          <w:rFonts w:eastAsia="Calibri"/>
        </w:rPr>
        <w:t xml:space="preserve"> Manipulation and Confound Checks for Study 1 and Study 2</w:t>
      </w:r>
      <w:bookmarkEnd w:id="89"/>
    </w:p>
    <w:p w:rsidR="00070FC5" w:rsidRPr="00CC73F3" w:rsidRDefault="00070FC5" w:rsidP="00D639F5">
      <w:pPr>
        <w:rPr>
          <w:rFonts w:eastAsia="Calibri"/>
          <w:b/>
          <w:szCs w:val="22"/>
        </w:rPr>
      </w:pPr>
    </w:p>
    <w:tbl>
      <w:tblPr>
        <w:tblW w:w="8811" w:type="dxa"/>
        <w:jc w:val="center"/>
        <w:tblInd w:w="1710" w:type="dxa"/>
        <w:tblLook w:val="04A0" w:firstRow="1" w:lastRow="0" w:firstColumn="1" w:lastColumn="0" w:noHBand="0" w:noVBand="1"/>
      </w:tblPr>
      <w:tblGrid>
        <w:gridCol w:w="2601"/>
        <w:gridCol w:w="2975"/>
        <w:gridCol w:w="3235"/>
      </w:tblGrid>
      <w:tr w:rsidR="00070FC5" w:rsidRPr="00CC73F3" w:rsidTr="00D639F5">
        <w:trPr>
          <w:jc w:val="center"/>
        </w:trPr>
        <w:tc>
          <w:tcPr>
            <w:tcW w:w="2601" w:type="dxa"/>
            <w:tcBorders>
              <w:top w:val="single" w:sz="18" w:space="0" w:color="auto"/>
              <w:bottom w:val="single" w:sz="18" w:space="0" w:color="auto"/>
            </w:tcBorders>
            <w:shd w:val="clear" w:color="auto" w:fill="auto"/>
          </w:tcPr>
          <w:p w:rsidR="00070FC5" w:rsidRPr="00CC73F3" w:rsidRDefault="00070FC5" w:rsidP="00D639F5">
            <w:pPr>
              <w:rPr>
                <w:rFonts w:eastAsia="Calibri"/>
                <w:b/>
              </w:rPr>
            </w:pPr>
            <w:r w:rsidRPr="00CC73F3">
              <w:rPr>
                <w:rFonts w:eastAsia="Calibri"/>
                <w:b/>
              </w:rPr>
              <w:t>Manipulation</w:t>
            </w:r>
          </w:p>
        </w:tc>
        <w:tc>
          <w:tcPr>
            <w:tcW w:w="2975"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Reflexivity Composite</w:t>
            </w:r>
          </w:p>
        </w:tc>
        <w:tc>
          <w:tcPr>
            <w:tcW w:w="3235"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Regulatory Focus Composite</w:t>
            </w:r>
          </w:p>
        </w:tc>
      </w:tr>
      <w:tr w:rsidR="00070FC5" w:rsidRPr="00CC73F3" w:rsidTr="00D639F5">
        <w:trPr>
          <w:trHeight w:val="735"/>
          <w:jc w:val="center"/>
        </w:trPr>
        <w:tc>
          <w:tcPr>
            <w:tcW w:w="2601" w:type="dxa"/>
            <w:tcBorders>
              <w:top w:val="single" w:sz="18" w:space="0" w:color="auto"/>
            </w:tcBorders>
            <w:shd w:val="clear" w:color="auto" w:fill="auto"/>
            <w:vAlign w:val="center"/>
          </w:tcPr>
          <w:p w:rsidR="00070FC5" w:rsidRPr="00CC73F3" w:rsidRDefault="00070FC5" w:rsidP="00D639F5">
            <w:pPr>
              <w:rPr>
                <w:rFonts w:eastAsia="Calibri"/>
              </w:rPr>
            </w:pPr>
            <w:r w:rsidRPr="00CC73F3">
              <w:rPr>
                <w:rFonts w:eastAsia="Calibri"/>
                <w:b/>
              </w:rPr>
              <w:t xml:space="preserve">Reflexivity </w:t>
            </w:r>
            <w:r w:rsidRPr="00CC73F3">
              <w:rPr>
                <w:rFonts w:eastAsia="Calibri"/>
              </w:rPr>
              <w:br/>
            </w:r>
            <w:r w:rsidRPr="00CC73F3">
              <w:rPr>
                <w:rFonts w:eastAsia="Calibri"/>
                <w:i/>
              </w:rPr>
              <w:t>(High/Low)</w:t>
            </w:r>
          </w:p>
        </w:tc>
        <w:tc>
          <w:tcPr>
            <w:tcW w:w="2975" w:type="dxa"/>
            <w:tcBorders>
              <w:top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i/>
              </w:rPr>
              <w:t>p</w:t>
            </w:r>
            <w:r w:rsidRPr="00CC73F3">
              <w:rPr>
                <w:rFonts w:eastAsia="Calibri"/>
                <w:b/>
              </w:rPr>
              <w:t xml:space="preserve"> &lt; .001, η</w:t>
            </w:r>
            <w:r w:rsidRPr="00CC73F3">
              <w:rPr>
                <w:rFonts w:eastAsia="Calibri"/>
                <w:b/>
                <w:vertAlign w:val="superscript"/>
              </w:rPr>
              <w:t>2</w:t>
            </w:r>
            <w:r w:rsidRPr="00CC73F3">
              <w:rPr>
                <w:rFonts w:eastAsia="Calibri"/>
                <w:b/>
              </w:rPr>
              <w:t xml:space="preserve"> = .10</w:t>
            </w:r>
          </w:p>
        </w:tc>
        <w:tc>
          <w:tcPr>
            <w:tcW w:w="3235" w:type="dxa"/>
            <w:tcBorders>
              <w:top w:val="single" w:sz="18" w:space="0" w:color="auto"/>
            </w:tcBorders>
            <w:shd w:val="clear" w:color="auto" w:fill="auto"/>
            <w:vAlign w:val="center"/>
          </w:tcPr>
          <w:p w:rsidR="00070FC5" w:rsidRPr="00CC73F3" w:rsidRDefault="00070FC5" w:rsidP="00D639F5">
            <w:pPr>
              <w:jc w:val="center"/>
              <w:rPr>
                <w:rFonts w:eastAsia="Calibri"/>
              </w:rPr>
            </w:pPr>
            <w:r w:rsidRPr="00CC73F3">
              <w:rPr>
                <w:rFonts w:eastAsia="Calibri"/>
                <w:i/>
              </w:rPr>
              <w:t>p</w:t>
            </w:r>
            <w:r w:rsidRPr="00CC73F3">
              <w:rPr>
                <w:rFonts w:eastAsia="Calibri"/>
              </w:rPr>
              <w:t xml:space="preserve"> = .20, η</w:t>
            </w:r>
            <w:r w:rsidRPr="00CC73F3">
              <w:rPr>
                <w:rFonts w:eastAsia="Calibri"/>
                <w:vertAlign w:val="superscript"/>
              </w:rPr>
              <w:t>2</w:t>
            </w:r>
            <w:r w:rsidRPr="00CC73F3">
              <w:rPr>
                <w:rFonts w:eastAsia="Calibri"/>
              </w:rPr>
              <w:t xml:space="preserve"> = .01</w:t>
            </w:r>
          </w:p>
        </w:tc>
      </w:tr>
      <w:tr w:rsidR="00070FC5" w:rsidRPr="00CC73F3" w:rsidTr="00D639F5">
        <w:trPr>
          <w:trHeight w:val="900"/>
          <w:jc w:val="center"/>
        </w:trPr>
        <w:tc>
          <w:tcPr>
            <w:tcW w:w="2601" w:type="dxa"/>
            <w:tcBorders>
              <w:bottom w:val="single" w:sz="18" w:space="0" w:color="auto"/>
            </w:tcBorders>
            <w:shd w:val="clear" w:color="auto" w:fill="auto"/>
            <w:vAlign w:val="center"/>
          </w:tcPr>
          <w:p w:rsidR="00070FC5" w:rsidRPr="00CC73F3" w:rsidRDefault="00070FC5" w:rsidP="00D639F5">
            <w:pPr>
              <w:rPr>
                <w:rFonts w:eastAsia="Calibri"/>
                <w:b/>
              </w:rPr>
            </w:pPr>
            <w:r w:rsidRPr="00CC73F3">
              <w:rPr>
                <w:rFonts w:eastAsia="Calibri"/>
                <w:b/>
              </w:rPr>
              <w:t>Regulatory Focus</w:t>
            </w:r>
          </w:p>
          <w:p w:rsidR="00070FC5" w:rsidRPr="00CC73F3" w:rsidRDefault="00070FC5" w:rsidP="00D639F5">
            <w:pPr>
              <w:rPr>
                <w:rFonts w:eastAsia="Calibri"/>
                <w:i/>
              </w:rPr>
            </w:pPr>
            <w:r w:rsidRPr="00CC73F3">
              <w:rPr>
                <w:rFonts w:eastAsia="Calibri"/>
                <w:i/>
              </w:rPr>
              <w:t>(Prevention/Promotion)</w:t>
            </w:r>
          </w:p>
        </w:tc>
        <w:tc>
          <w:tcPr>
            <w:tcW w:w="2975" w:type="dxa"/>
            <w:tcBorders>
              <w:bottom w:val="single" w:sz="18" w:space="0" w:color="auto"/>
            </w:tcBorders>
            <w:shd w:val="clear" w:color="auto" w:fill="auto"/>
            <w:vAlign w:val="center"/>
          </w:tcPr>
          <w:p w:rsidR="00070FC5" w:rsidRPr="00CC73F3" w:rsidRDefault="00070FC5" w:rsidP="00D639F5">
            <w:pPr>
              <w:jc w:val="center"/>
              <w:rPr>
                <w:rFonts w:eastAsia="Calibri"/>
              </w:rPr>
            </w:pPr>
            <w:r w:rsidRPr="00CC73F3">
              <w:rPr>
                <w:rFonts w:eastAsia="Calibri"/>
                <w:i/>
              </w:rPr>
              <w:t>p</w:t>
            </w:r>
            <w:r w:rsidRPr="00CC73F3">
              <w:rPr>
                <w:rFonts w:eastAsia="Calibri"/>
              </w:rPr>
              <w:t xml:space="preserve"> = .63, η</w:t>
            </w:r>
            <w:r w:rsidRPr="00CC73F3">
              <w:rPr>
                <w:rFonts w:eastAsia="Calibri"/>
                <w:vertAlign w:val="superscript"/>
              </w:rPr>
              <w:t>2</w:t>
            </w:r>
            <w:r w:rsidRPr="00CC73F3">
              <w:rPr>
                <w:rFonts w:eastAsia="Calibri"/>
              </w:rPr>
              <w:t xml:space="preserve"> = .001</w:t>
            </w:r>
          </w:p>
        </w:tc>
        <w:tc>
          <w:tcPr>
            <w:tcW w:w="3235" w:type="dxa"/>
            <w:tcBorders>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i/>
              </w:rPr>
              <w:t>p</w:t>
            </w:r>
            <w:r w:rsidRPr="00CC73F3">
              <w:rPr>
                <w:rFonts w:eastAsia="Calibri"/>
                <w:b/>
              </w:rPr>
              <w:t xml:space="preserve"> &lt;.001, η</w:t>
            </w:r>
            <w:r w:rsidRPr="00CC73F3">
              <w:rPr>
                <w:rFonts w:eastAsia="Calibri"/>
                <w:b/>
                <w:vertAlign w:val="superscript"/>
              </w:rPr>
              <w:t>2</w:t>
            </w:r>
            <w:r w:rsidRPr="00CC73F3">
              <w:rPr>
                <w:rFonts w:eastAsia="Calibri"/>
                <w:b/>
              </w:rPr>
              <w:t xml:space="preserve"> = .14</w:t>
            </w:r>
          </w:p>
        </w:tc>
      </w:tr>
    </w:tbl>
    <w:p w:rsidR="00070FC5" w:rsidRPr="00CC73F3" w:rsidRDefault="00070FC5" w:rsidP="00D639F5">
      <w:pPr>
        <w:spacing w:line="480" w:lineRule="auto"/>
        <w:rPr>
          <w:rFonts w:eastAsia="Calibri"/>
          <w:b/>
          <w:szCs w:val="22"/>
        </w:rPr>
      </w:pPr>
    </w:p>
    <w:p w:rsidR="00070FC5" w:rsidRPr="00CC73F3" w:rsidRDefault="00070FC5" w:rsidP="00D639F5">
      <w:pPr>
        <w:pStyle w:val="Heading3"/>
      </w:pPr>
      <w:bookmarkStart w:id="90" w:name="_Toc420572606"/>
      <w:r w:rsidRPr="00CC73F3">
        <w:t>Study 1 Procedure</w:t>
      </w:r>
      <w:bookmarkEnd w:id="90"/>
    </w:p>
    <w:p w:rsidR="00070FC5" w:rsidRPr="00CC73F3" w:rsidRDefault="00070FC5" w:rsidP="00D639F5">
      <w:pPr>
        <w:spacing w:line="480" w:lineRule="auto"/>
        <w:rPr>
          <w:rFonts w:eastAsia="Calibri"/>
          <w:szCs w:val="22"/>
        </w:rPr>
      </w:pPr>
      <w:r w:rsidRPr="00CC73F3">
        <w:rPr>
          <w:rFonts w:eastAsia="Calibri"/>
          <w:szCs w:val="22"/>
        </w:rPr>
        <w:tab/>
        <w:t>As described in the previous chapter, teams were primed to adopt a prevention or a promotion group regulatory focus and to be high or low on the degree to which they reflected on and processed their knowledge before making a rating decision about five different products – a drumstick holder, a body-motion mobile device charger, a video-enabled submarine, and under-chair drawer attachment and a smoke detector that silenced the low battery chirp at night. The image and description profiles for each product that each team saw in the rating exercise are shown in Appendix 1.</w:t>
      </w:r>
    </w:p>
    <w:p w:rsidR="00070FC5" w:rsidRPr="00CC73F3" w:rsidRDefault="00070FC5" w:rsidP="00D639F5">
      <w:pPr>
        <w:spacing w:line="480" w:lineRule="auto"/>
        <w:rPr>
          <w:rFonts w:eastAsia="Calibri"/>
          <w:szCs w:val="22"/>
        </w:rPr>
      </w:pPr>
      <w:r w:rsidRPr="00CC73F3">
        <w:rPr>
          <w:rFonts w:eastAsia="Calibri"/>
          <w:szCs w:val="22"/>
        </w:rPr>
        <w:tab/>
        <w:t>After completing a short practice exercise to acclimate them to the task, teams were asked to rate each of the five products on three dimensions – novelty, meaningfulness, and feasibility. Team responses for each dimension were then compared to the aggregate expert score across all 4 products to develop a distance score dependent variable for novelty, meaningfulness, and feasibility.</w:t>
      </w:r>
    </w:p>
    <w:p w:rsidR="00070FC5" w:rsidRPr="00CC73F3" w:rsidRDefault="00070FC5" w:rsidP="00D639F5">
      <w:pPr>
        <w:spacing w:line="480" w:lineRule="auto"/>
        <w:rPr>
          <w:rFonts w:eastAsia="Calibri"/>
          <w:szCs w:val="22"/>
        </w:rPr>
      </w:pPr>
      <w:r w:rsidRPr="00CC73F3">
        <w:rPr>
          <w:rFonts w:eastAsia="Calibri"/>
          <w:szCs w:val="22"/>
        </w:rPr>
        <w:tab/>
        <w:t>To account for potential confounds, several control variables were collected – individual team member affect, individual team member regulatory focus as a chronic personality trait, level of familiarity among the team members, and level of product category knowledge for each of the products displayed in the experiment.</w:t>
      </w:r>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91" w:name="_Toc420572607"/>
      <w:r w:rsidRPr="00CC73F3">
        <w:t>Study 1 Analysis</w:t>
      </w:r>
      <w:bookmarkEnd w:id="91"/>
    </w:p>
    <w:p w:rsidR="00070FC5" w:rsidRPr="00CC73F3" w:rsidRDefault="00070FC5" w:rsidP="00D639F5">
      <w:pPr>
        <w:spacing w:line="480" w:lineRule="auto"/>
        <w:rPr>
          <w:rFonts w:eastAsia="Calibri"/>
          <w:szCs w:val="22"/>
        </w:rPr>
      </w:pPr>
      <w:r w:rsidRPr="00CC73F3">
        <w:rPr>
          <w:rFonts w:eastAsia="Calibri"/>
          <w:szCs w:val="22"/>
        </w:rPr>
        <w:tab/>
        <w:t xml:space="preserve">The data was analyzed using analysis of covariance (ANCOVA) with regulatory focus and reflexivity as independent variables and the Euclidean distance scores across all 4 products for novelty, meaningfulness, and feasibility as dependent variables. The mean distance score for novelty across the four products was 4.88 with a standard deviation of .84. The mean distance </w:t>
      </w:r>
    </w:p>
    <w:p w:rsidR="00070FC5" w:rsidRPr="00CC73F3" w:rsidRDefault="00070FC5" w:rsidP="00D639F5">
      <w:pPr>
        <w:pStyle w:val="Caption"/>
        <w:rPr>
          <w:rFonts w:eastAsia="Calibri"/>
        </w:rPr>
      </w:pPr>
      <w:r w:rsidRPr="00CC73F3">
        <w:rPr>
          <w:rFonts w:eastAsia="Calibri"/>
        </w:rPr>
        <w:br w:type="page"/>
      </w:r>
      <w:bookmarkStart w:id="92" w:name="_Toc420570946"/>
      <w:proofErr w:type="gramStart"/>
      <w:r w:rsidRPr="00CC73F3">
        <w:t xml:space="preserve">Table </w:t>
      </w:r>
      <w:fldSimple w:instr=" SEQ Table \* ARABIC ">
        <w:r w:rsidRPr="00CC73F3">
          <w:rPr>
            <w:noProof/>
          </w:rPr>
          <w:t>21</w:t>
        </w:r>
      </w:fldSimple>
      <w:r w:rsidRPr="00CC73F3">
        <w:rPr>
          <w:rFonts w:eastAsia="Calibri"/>
        </w:rPr>
        <w:t>.</w:t>
      </w:r>
      <w:proofErr w:type="gramEnd"/>
      <w:r w:rsidRPr="00CC73F3">
        <w:rPr>
          <w:rFonts w:eastAsia="Calibri"/>
        </w:rPr>
        <w:t xml:space="preserve"> ANCOVA Results for Study 1</w:t>
      </w:r>
      <w:bookmarkEnd w:id="92"/>
    </w:p>
    <w:p w:rsidR="00070FC5" w:rsidRPr="00CC73F3" w:rsidRDefault="00070FC5" w:rsidP="00D639F5">
      <w:pPr>
        <w:rPr>
          <w:rFonts w:eastAsia="Calibri"/>
        </w:rPr>
      </w:pPr>
    </w:p>
    <w:tbl>
      <w:tblPr>
        <w:tblW w:w="9379" w:type="dxa"/>
        <w:jc w:val="center"/>
        <w:tblInd w:w="884" w:type="dxa"/>
        <w:tblLook w:val="04A0" w:firstRow="1" w:lastRow="0" w:firstColumn="1" w:lastColumn="0" w:noHBand="0" w:noVBand="1"/>
      </w:tblPr>
      <w:tblGrid>
        <w:gridCol w:w="2530"/>
        <w:gridCol w:w="2646"/>
        <w:gridCol w:w="810"/>
        <w:gridCol w:w="1641"/>
        <w:gridCol w:w="1116"/>
        <w:gridCol w:w="636"/>
      </w:tblGrid>
      <w:tr w:rsidR="00070FC5" w:rsidRPr="00CC73F3" w:rsidTr="00D639F5">
        <w:trPr>
          <w:trHeight w:val="611"/>
          <w:jc w:val="center"/>
        </w:trPr>
        <w:tc>
          <w:tcPr>
            <w:tcW w:w="2530"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rsidP="00D639F5">
            <w:pPr>
              <w:jc w:val="center"/>
              <w:rPr>
                <w:b/>
                <w:bCs/>
                <w:color w:val="000000"/>
                <w:sz w:val="22"/>
                <w:szCs w:val="22"/>
              </w:rPr>
            </w:pPr>
            <w:r w:rsidRPr="00CC73F3">
              <w:rPr>
                <w:b/>
                <w:bCs/>
                <w:color w:val="000000"/>
                <w:sz w:val="22"/>
                <w:szCs w:val="22"/>
              </w:rPr>
              <w:t>Dependent Variable (Assessment Accuracy)</w:t>
            </w:r>
          </w:p>
        </w:tc>
        <w:tc>
          <w:tcPr>
            <w:tcW w:w="2646"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rsidP="00D639F5">
            <w:pPr>
              <w:jc w:val="center"/>
              <w:rPr>
                <w:b/>
                <w:bCs/>
                <w:color w:val="000000"/>
                <w:sz w:val="22"/>
                <w:szCs w:val="22"/>
              </w:rPr>
            </w:pPr>
            <w:r w:rsidRPr="00CC73F3">
              <w:rPr>
                <w:b/>
                <w:bCs/>
                <w:color w:val="000000"/>
                <w:sz w:val="22"/>
                <w:szCs w:val="22"/>
              </w:rPr>
              <w:t> </w:t>
            </w:r>
          </w:p>
        </w:tc>
        <w:tc>
          <w:tcPr>
            <w:tcW w:w="810"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rsidP="00D639F5">
            <w:pPr>
              <w:jc w:val="center"/>
              <w:rPr>
                <w:b/>
                <w:bCs/>
                <w:color w:val="000000"/>
                <w:sz w:val="22"/>
                <w:szCs w:val="22"/>
              </w:rPr>
            </w:pPr>
            <w:r w:rsidRPr="00CC73F3">
              <w:rPr>
                <w:b/>
                <w:bCs/>
                <w:color w:val="000000"/>
                <w:sz w:val="22"/>
                <w:szCs w:val="22"/>
              </w:rPr>
              <w:t>d.f.</w:t>
            </w:r>
          </w:p>
        </w:tc>
        <w:tc>
          <w:tcPr>
            <w:tcW w:w="1641" w:type="dxa"/>
            <w:tcBorders>
              <w:top w:val="single" w:sz="18" w:space="0" w:color="auto"/>
              <w:left w:val="nil"/>
              <w:bottom w:val="single" w:sz="18" w:space="0" w:color="auto"/>
              <w:right w:val="nil"/>
            </w:tcBorders>
            <w:shd w:val="clear" w:color="auto" w:fill="auto"/>
            <w:vAlign w:val="center"/>
            <w:hideMark/>
          </w:tcPr>
          <w:p w:rsidR="00070FC5" w:rsidRPr="00CC73F3" w:rsidRDefault="00070FC5" w:rsidP="00D639F5">
            <w:pPr>
              <w:jc w:val="center"/>
              <w:rPr>
                <w:b/>
                <w:bCs/>
                <w:color w:val="000000"/>
                <w:sz w:val="22"/>
                <w:szCs w:val="22"/>
              </w:rPr>
            </w:pPr>
            <w:r w:rsidRPr="00CC73F3">
              <w:rPr>
                <w:b/>
                <w:bCs/>
                <w:color w:val="000000"/>
                <w:sz w:val="22"/>
                <w:szCs w:val="22"/>
              </w:rPr>
              <w:t>Type III sum of squares</w:t>
            </w:r>
          </w:p>
        </w:tc>
        <w:tc>
          <w:tcPr>
            <w:tcW w:w="1116"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rsidP="00D639F5">
            <w:pPr>
              <w:jc w:val="center"/>
              <w:rPr>
                <w:b/>
                <w:bCs/>
                <w:i/>
                <w:iCs/>
                <w:color w:val="000000"/>
                <w:sz w:val="22"/>
                <w:szCs w:val="22"/>
              </w:rPr>
            </w:pPr>
            <w:r w:rsidRPr="00CC73F3">
              <w:rPr>
                <w:b/>
                <w:bCs/>
                <w:i/>
                <w:iCs/>
                <w:color w:val="000000"/>
                <w:sz w:val="22"/>
                <w:szCs w:val="22"/>
              </w:rPr>
              <w:t>F</w:t>
            </w:r>
          </w:p>
        </w:tc>
        <w:tc>
          <w:tcPr>
            <w:tcW w:w="636"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rsidP="00D639F5">
            <w:pPr>
              <w:jc w:val="center"/>
              <w:rPr>
                <w:b/>
                <w:bCs/>
                <w:color w:val="000000"/>
                <w:sz w:val="22"/>
                <w:szCs w:val="22"/>
              </w:rPr>
            </w:pPr>
            <w:r w:rsidRPr="00CC73F3">
              <w:rPr>
                <w:b/>
                <w:bCs/>
                <w:color w:val="000000"/>
                <w:sz w:val="22"/>
                <w:szCs w:val="22"/>
              </w:rPr>
              <w:t>R</w:t>
            </w:r>
            <w:r w:rsidRPr="00CC73F3">
              <w:rPr>
                <w:b/>
                <w:bCs/>
                <w:color w:val="000000"/>
                <w:sz w:val="22"/>
                <w:szCs w:val="22"/>
                <w:vertAlign w:val="superscript"/>
              </w:rPr>
              <w:t>2</w:t>
            </w:r>
          </w:p>
        </w:tc>
      </w:tr>
      <w:tr w:rsidR="00070FC5" w:rsidRPr="00CC73F3" w:rsidTr="00D639F5">
        <w:trPr>
          <w:trHeight w:val="144"/>
          <w:jc w:val="center"/>
        </w:trPr>
        <w:tc>
          <w:tcPr>
            <w:tcW w:w="2530" w:type="dxa"/>
            <w:tcBorders>
              <w:top w:val="single" w:sz="18" w:space="0" w:color="auto"/>
              <w:left w:val="nil"/>
              <w:bottom w:val="nil"/>
              <w:right w:val="nil"/>
            </w:tcBorders>
            <w:shd w:val="clear" w:color="auto" w:fill="auto"/>
            <w:noWrap/>
            <w:hideMark/>
          </w:tcPr>
          <w:p w:rsidR="00070FC5" w:rsidRPr="00CC73F3" w:rsidRDefault="00070FC5" w:rsidP="00D639F5">
            <w:pPr>
              <w:jc w:val="right"/>
              <w:rPr>
                <w:b/>
                <w:bCs/>
                <w:color w:val="000000"/>
                <w:sz w:val="22"/>
                <w:szCs w:val="22"/>
              </w:rPr>
            </w:pPr>
            <w:r w:rsidRPr="00CC73F3">
              <w:rPr>
                <w:b/>
                <w:bCs/>
                <w:color w:val="000000"/>
                <w:sz w:val="22"/>
                <w:szCs w:val="22"/>
              </w:rPr>
              <w:t xml:space="preserve">Model 1: </w:t>
            </w:r>
            <w:r w:rsidRPr="00CC73F3">
              <w:rPr>
                <w:b/>
                <w:bCs/>
                <w:color w:val="000000"/>
                <w:sz w:val="22"/>
                <w:szCs w:val="22"/>
              </w:rPr>
              <w:br/>
              <w:t>Cocreated New</w:t>
            </w:r>
          </w:p>
          <w:p w:rsidR="00070FC5" w:rsidRPr="00CC73F3" w:rsidRDefault="00070FC5" w:rsidP="00D639F5">
            <w:pPr>
              <w:jc w:val="right"/>
              <w:rPr>
                <w:b/>
                <w:bCs/>
                <w:color w:val="000000"/>
                <w:sz w:val="22"/>
                <w:szCs w:val="22"/>
              </w:rPr>
            </w:pPr>
            <w:r w:rsidRPr="00CC73F3">
              <w:rPr>
                <w:b/>
                <w:bCs/>
                <w:color w:val="000000"/>
                <w:sz w:val="22"/>
                <w:szCs w:val="22"/>
              </w:rPr>
              <w:t xml:space="preserve"> Product Novelty </w:t>
            </w:r>
          </w:p>
        </w:tc>
        <w:tc>
          <w:tcPr>
            <w:tcW w:w="2646" w:type="dxa"/>
            <w:tcBorders>
              <w:top w:val="single" w:sz="18" w:space="0" w:color="auto"/>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810" w:type="dxa"/>
            <w:tcBorders>
              <w:top w:val="single" w:sz="18" w:space="0" w:color="auto"/>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1641" w:type="dxa"/>
            <w:tcBorders>
              <w:top w:val="single" w:sz="18" w:space="0" w:color="auto"/>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1116" w:type="dxa"/>
            <w:tcBorders>
              <w:top w:val="single" w:sz="18" w:space="0" w:color="auto"/>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636" w:type="dxa"/>
            <w:tcBorders>
              <w:top w:val="single" w:sz="18" w:space="0" w:color="auto"/>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Model</w:t>
            </w:r>
          </w:p>
        </w:tc>
        <w:tc>
          <w:tcPr>
            <w:tcW w:w="810"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5</w:t>
            </w:r>
          </w:p>
        </w:tc>
        <w:tc>
          <w:tcPr>
            <w:tcW w:w="1641"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8.382</w:t>
            </w:r>
          </w:p>
        </w:tc>
        <w:tc>
          <w:tcPr>
            <w:tcW w:w="111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2.493</w:t>
            </w:r>
            <w:r w:rsidRPr="00CC73F3">
              <w:rPr>
                <w:color w:val="000000"/>
                <w:sz w:val="22"/>
                <w:szCs w:val="22"/>
                <w:vertAlign w:val="superscript"/>
              </w:rPr>
              <w:t>*</w:t>
            </w:r>
          </w:p>
        </w:tc>
        <w:tc>
          <w:tcPr>
            <w:tcW w:w="63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0.08</w:t>
            </w: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Error</w:t>
            </w:r>
          </w:p>
        </w:tc>
        <w:tc>
          <w:tcPr>
            <w:tcW w:w="810"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151</w:t>
            </w:r>
          </w:p>
        </w:tc>
        <w:tc>
          <w:tcPr>
            <w:tcW w:w="1641"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101.521</w:t>
            </w:r>
          </w:p>
        </w:tc>
        <w:tc>
          <w:tcPr>
            <w:tcW w:w="111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Regulatory Focus</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0.023</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0.034</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Reflexivity</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0.036</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0.054</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Reg. Focus * Reflexivity</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0.018</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0.026</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Category Knowledge</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5.181</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7.706</w:t>
            </w:r>
            <w:r w:rsidRPr="00CC73F3">
              <w:rPr>
                <w:color w:val="000000"/>
                <w:sz w:val="22"/>
                <w:szCs w:val="22"/>
                <w:vertAlign w:val="superscript"/>
              </w:rPr>
              <w:t>**</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single" w:sz="4" w:space="0" w:color="auto"/>
              <w:right w:val="nil"/>
            </w:tcBorders>
            <w:shd w:val="clear" w:color="auto" w:fill="auto"/>
            <w:noWrap/>
            <w:vAlign w:val="bottom"/>
            <w:hideMark/>
          </w:tcPr>
          <w:p w:rsidR="00070FC5" w:rsidRPr="00CC73F3" w:rsidRDefault="00070FC5" w:rsidP="00D639F5">
            <w:pPr>
              <w:rPr>
                <w:color w:val="000000"/>
                <w:sz w:val="22"/>
                <w:szCs w:val="22"/>
              </w:rPr>
            </w:pPr>
            <w:r w:rsidRPr="00CC73F3">
              <w:rPr>
                <w:color w:val="000000"/>
                <w:sz w:val="22"/>
                <w:szCs w:val="22"/>
              </w:rPr>
              <w:t> </w:t>
            </w:r>
          </w:p>
        </w:tc>
        <w:tc>
          <w:tcPr>
            <w:tcW w:w="2646" w:type="dxa"/>
            <w:tcBorders>
              <w:top w:val="nil"/>
              <w:left w:val="nil"/>
              <w:bottom w:val="single" w:sz="4"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Individual Regulatory Focus</w:t>
            </w:r>
          </w:p>
        </w:tc>
        <w:tc>
          <w:tcPr>
            <w:tcW w:w="810" w:type="dxa"/>
            <w:tcBorders>
              <w:top w:val="nil"/>
              <w:left w:val="nil"/>
              <w:bottom w:val="single" w:sz="4"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single" w:sz="4"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1.356</w:t>
            </w:r>
          </w:p>
        </w:tc>
        <w:tc>
          <w:tcPr>
            <w:tcW w:w="1116" w:type="dxa"/>
            <w:tcBorders>
              <w:top w:val="nil"/>
              <w:left w:val="nil"/>
              <w:bottom w:val="single" w:sz="4"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2.017</w:t>
            </w:r>
          </w:p>
        </w:tc>
        <w:tc>
          <w:tcPr>
            <w:tcW w:w="636" w:type="dxa"/>
            <w:tcBorders>
              <w:top w:val="nil"/>
              <w:left w:val="nil"/>
              <w:bottom w:val="single" w:sz="4"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 </w:t>
            </w: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hideMark/>
          </w:tcPr>
          <w:p w:rsidR="00070FC5" w:rsidRPr="00CC73F3" w:rsidRDefault="00070FC5" w:rsidP="00D639F5">
            <w:pPr>
              <w:jc w:val="right"/>
              <w:rPr>
                <w:b/>
                <w:bCs/>
                <w:color w:val="000000"/>
                <w:sz w:val="22"/>
                <w:szCs w:val="22"/>
              </w:rPr>
            </w:pPr>
            <w:r w:rsidRPr="00CC73F3">
              <w:rPr>
                <w:b/>
                <w:bCs/>
                <w:color w:val="000000"/>
                <w:sz w:val="22"/>
                <w:szCs w:val="22"/>
              </w:rPr>
              <w:t xml:space="preserve">Model 2: </w:t>
            </w:r>
            <w:r w:rsidRPr="00CC73F3">
              <w:rPr>
                <w:b/>
                <w:bCs/>
                <w:color w:val="000000"/>
                <w:sz w:val="22"/>
                <w:szCs w:val="22"/>
              </w:rPr>
              <w:br/>
              <w:t xml:space="preserve">Cocreated New </w:t>
            </w:r>
          </w:p>
          <w:p w:rsidR="00070FC5" w:rsidRPr="00CC73F3" w:rsidRDefault="00070FC5" w:rsidP="00D639F5">
            <w:pPr>
              <w:jc w:val="right"/>
              <w:rPr>
                <w:b/>
                <w:bCs/>
                <w:color w:val="000000"/>
                <w:sz w:val="22"/>
                <w:szCs w:val="22"/>
              </w:rPr>
            </w:pPr>
            <w:r w:rsidRPr="00CC73F3">
              <w:rPr>
                <w:b/>
                <w:bCs/>
                <w:color w:val="000000"/>
                <w:sz w:val="22"/>
                <w:szCs w:val="22"/>
              </w:rPr>
              <w:t xml:space="preserve">Product Meaningfulness </w:t>
            </w:r>
          </w:p>
        </w:tc>
        <w:tc>
          <w:tcPr>
            <w:tcW w:w="264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810"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1641"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111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Model</w:t>
            </w:r>
          </w:p>
        </w:tc>
        <w:tc>
          <w:tcPr>
            <w:tcW w:w="810"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5</w:t>
            </w:r>
          </w:p>
        </w:tc>
        <w:tc>
          <w:tcPr>
            <w:tcW w:w="1641"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15.799</w:t>
            </w:r>
          </w:p>
        </w:tc>
        <w:tc>
          <w:tcPr>
            <w:tcW w:w="111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3.160</w:t>
            </w:r>
            <w:r w:rsidRPr="00CC73F3">
              <w:rPr>
                <w:color w:val="000000"/>
                <w:sz w:val="22"/>
                <w:szCs w:val="22"/>
                <w:vertAlign w:val="superscript"/>
              </w:rPr>
              <w:t>**</w:t>
            </w:r>
          </w:p>
        </w:tc>
        <w:tc>
          <w:tcPr>
            <w:tcW w:w="63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0.11</w:t>
            </w: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Error</w:t>
            </w:r>
          </w:p>
        </w:tc>
        <w:tc>
          <w:tcPr>
            <w:tcW w:w="810"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151</w:t>
            </w:r>
          </w:p>
        </w:tc>
        <w:tc>
          <w:tcPr>
            <w:tcW w:w="1641"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134.614</w:t>
            </w:r>
          </w:p>
        </w:tc>
        <w:tc>
          <w:tcPr>
            <w:tcW w:w="111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Regulatory Focus</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2.656</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2.980</w:t>
            </w:r>
            <w:r w:rsidRPr="00CC73F3">
              <w:rPr>
                <w:color w:val="000000"/>
                <w:sz w:val="22"/>
                <w:szCs w:val="22"/>
                <w:vertAlign w:val="superscript"/>
              </w:rPr>
              <w:t>†</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Reflexivity</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0.361</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0.405</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Reg. Focus * Reflexivity</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3.759</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4.217</w:t>
            </w:r>
            <w:r w:rsidRPr="00CC73F3">
              <w:rPr>
                <w:color w:val="000000"/>
                <w:sz w:val="22"/>
                <w:szCs w:val="22"/>
                <w:vertAlign w:val="superscript"/>
              </w:rPr>
              <w:t>*</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Category Knowledge</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0.431</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0.484</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single" w:sz="4" w:space="0" w:color="auto"/>
              <w:right w:val="nil"/>
            </w:tcBorders>
            <w:shd w:val="clear" w:color="auto" w:fill="auto"/>
            <w:noWrap/>
            <w:vAlign w:val="bottom"/>
            <w:hideMark/>
          </w:tcPr>
          <w:p w:rsidR="00070FC5" w:rsidRPr="00CC73F3" w:rsidRDefault="00070FC5" w:rsidP="00D639F5">
            <w:pPr>
              <w:rPr>
                <w:color w:val="000000"/>
                <w:sz w:val="22"/>
                <w:szCs w:val="22"/>
              </w:rPr>
            </w:pPr>
            <w:r w:rsidRPr="00CC73F3">
              <w:rPr>
                <w:color w:val="000000"/>
                <w:sz w:val="22"/>
                <w:szCs w:val="22"/>
              </w:rPr>
              <w:t> </w:t>
            </w:r>
          </w:p>
        </w:tc>
        <w:tc>
          <w:tcPr>
            <w:tcW w:w="2646" w:type="dxa"/>
            <w:tcBorders>
              <w:top w:val="nil"/>
              <w:left w:val="nil"/>
              <w:bottom w:val="single" w:sz="4"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Individual Regulatory Focus</w:t>
            </w:r>
          </w:p>
        </w:tc>
        <w:tc>
          <w:tcPr>
            <w:tcW w:w="810" w:type="dxa"/>
            <w:tcBorders>
              <w:top w:val="nil"/>
              <w:left w:val="nil"/>
              <w:bottom w:val="single" w:sz="4"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single" w:sz="4"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7.281</w:t>
            </w:r>
          </w:p>
        </w:tc>
        <w:tc>
          <w:tcPr>
            <w:tcW w:w="1116" w:type="dxa"/>
            <w:tcBorders>
              <w:top w:val="nil"/>
              <w:left w:val="nil"/>
              <w:bottom w:val="single" w:sz="4"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8.168</w:t>
            </w:r>
            <w:r w:rsidRPr="00CC73F3">
              <w:rPr>
                <w:color w:val="000000"/>
                <w:sz w:val="22"/>
                <w:szCs w:val="22"/>
                <w:vertAlign w:val="superscript"/>
              </w:rPr>
              <w:t>**</w:t>
            </w:r>
          </w:p>
        </w:tc>
        <w:tc>
          <w:tcPr>
            <w:tcW w:w="636" w:type="dxa"/>
            <w:tcBorders>
              <w:top w:val="nil"/>
              <w:left w:val="nil"/>
              <w:bottom w:val="single" w:sz="4"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 </w:t>
            </w: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hideMark/>
          </w:tcPr>
          <w:p w:rsidR="00070FC5" w:rsidRPr="00CC73F3" w:rsidRDefault="00070FC5" w:rsidP="00D639F5">
            <w:pPr>
              <w:jc w:val="right"/>
              <w:rPr>
                <w:b/>
                <w:bCs/>
                <w:color w:val="000000"/>
                <w:sz w:val="22"/>
                <w:szCs w:val="22"/>
              </w:rPr>
            </w:pPr>
            <w:r w:rsidRPr="00CC73F3">
              <w:rPr>
                <w:b/>
                <w:bCs/>
                <w:color w:val="000000"/>
                <w:sz w:val="22"/>
                <w:szCs w:val="22"/>
              </w:rPr>
              <w:t xml:space="preserve">Model 3: </w:t>
            </w:r>
          </w:p>
          <w:p w:rsidR="00070FC5" w:rsidRPr="00CC73F3" w:rsidRDefault="00070FC5" w:rsidP="00D639F5">
            <w:pPr>
              <w:jc w:val="right"/>
              <w:rPr>
                <w:b/>
                <w:bCs/>
                <w:color w:val="000000"/>
                <w:sz w:val="22"/>
                <w:szCs w:val="22"/>
              </w:rPr>
            </w:pPr>
            <w:r w:rsidRPr="00CC73F3">
              <w:rPr>
                <w:b/>
                <w:bCs/>
                <w:color w:val="000000"/>
                <w:sz w:val="22"/>
                <w:szCs w:val="22"/>
              </w:rPr>
              <w:t xml:space="preserve">Cocreated New </w:t>
            </w:r>
          </w:p>
          <w:p w:rsidR="00070FC5" w:rsidRPr="00CC73F3" w:rsidRDefault="00070FC5" w:rsidP="00D639F5">
            <w:pPr>
              <w:jc w:val="right"/>
              <w:rPr>
                <w:b/>
                <w:bCs/>
                <w:color w:val="000000"/>
                <w:sz w:val="22"/>
                <w:szCs w:val="22"/>
              </w:rPr>
            </w:pPr>
            <w:r w:rsidRPr="00CC73F3">
              <w:rPr>
                <w:b/>
                <w:bCs/>
                <w:color w:val="000000"/>
                <w:sz w:val="22"/>
                <w:szCs w:val="22"/>
              </w:rPr>
              <w:t>Product Feasibility</w:t>
            </w:r>
          </w:p>
        </w:tc>
        <w:tc>
          <w:tcPr>
            <w:tcW w:w="264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810"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1641"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111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Model</w:t>
            </w:r>
          </w:p>
        </w:tc>
        <w:tc>
          <w:tcPr>
            <w:tcW w:w="810"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5</w:t>
            </w:r>
          </w:p>
        </w:tc>
        <w:tc>
          <w:tcPr>
            <w:tcW w:w="1641"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10.335</w:t>
            </w:r>
          </w:p>
        </w:tc>
        <w:tc>
          <w:tcPr>
            <w:tcW w:w="111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1.67</w:t>
            </w:r>
          </w:p>
        </w:tc>
        <w:tc>
          <w:tcPr>
            <w:tcW w:w="63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0.05</w:t>
            </w: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Error</w:t>
            </w:r>
          </w:p>
        </w:tc>
        <w:tc>
          <w:tcPr>
            <w:tcW w:w="810"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151</w:t>
            </w:r>
          </w:p>
        </w:tc>
        <w:tc>
          <w:tcPr>
            <w:tcW w:w="1641"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187.302</w:t>
            </w:r>
          </w:p>
        </w:tc>
        <w:tc>
          <w:tcPr>
            <w:tcW w:w="111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r w:rsidRPr="00CC73F3">
              <w:rPr>
                <w:color w:val="000000"/>
                <w:sz w:val="22"/>
                <w:szCs w:val="22"/>
              </w:rPr>
              <w:t>0.003</w:t>
            </w:r>
          </w:p>
        </w:tc>
        <w:tc>
          <w:tcPr>
            <w:tcW w:w="636" w:type="dxa"/>
            <w:tcBorders>
              <w:top w:val="nil"/>
              <w:left w:val="nil"/>
              <w:bottom w:val="nil"/>
              <w:right w:val="nil"/>
            </w:tcBorders>
            <w:shd w:val="clear" w:color="auto" w:fill="auto"/>
            <w:noWrap/>
            <w:vAlign w:val="center"/>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Regulatory Focus</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8.155</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6.575</w:t>
            </w:r>
            <w:r w:rsidRPr="00CC73F3">
              <w:rPr>
                <w:color w:val="000000"/>
                <w:sz w:val="22"/>
                <w:szCs w:val="22"/>
                <w:vertAlign w:val="superscript"/>
              </w:rPr>
              <w:t>**</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Reflexivity</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0.006</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0.005</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Reg. Focus * Reflexivity</w:t>
            </w: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0.004</w:t>
            </w: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0.003</w:t>
            </w: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81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641"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11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636"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right w:val="nil"/>
            </w:tcBorders>
            <w:shd w:val="clear" w:color="auto" w:fill="auto"/>
            <w:noWrap/>
            <w:vAlign w:val="bottom"/>
            <w:hideMark/>
          </w:tcPr>
          <w:p w:rsidR="00070FC5" w:rsidRPr="00CC73F3" w:rsidRDefault="00070FC5" w:rsidP="00D639F5">
            <w:pPr>
              <w:rPr>
                <w:color w:val="000000"/>
                <w:sz w:val="22"/>
                <w:szCs w:val="22"/>
              </w:rPr>
            </w:pPr>
          </w:p>
        </w:tc>
        <w:tc>
          <w:tcPr>
            <w:tcW w:w="2646" w:type="dxa"/>
            <w:tcBorders>
              <w:top w:val="nil"/>
              <w:left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Category Knowledge</w:t>
            </w:r>
          </w:p>
        </w:tc>
        <w:tc>
          <w:tcPr>
            <w:tcW w:w="810" w:type="dxa"/>
            <w:tcBorders>
              <w:top w:val="nil"/>
              <w:left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right w:val="nil"/>
            </w:tcBorders>
            <w:shd w:val="clear" w:color="auto" w:fill="auto"/>
            <w:noWrap/>
            <w:vAlign w:val="center"/>
            <w:hideMark/>
          </w:tcPr>
          <w:p w:rsidR="00070FC5" w:rsidRPr="00CC73F3" w:rsidRDefault="00070FC5" w:rsidP="00D639F5">
            <w:pPr>
              <w:jc w:val="center"/>
              <w:rPr>
                <w:color w:val="000000"/>
                <w:sz w:val="22"/>
                <w:szCs w:val="22"/>
              </w:rPr>
            </w:pPr>
          </w:p>
        </w:tc>
        <w:tc>
          <w:tcPr>
            <w:tcW w:w="1116" w:type="dxa"/>
            <w:tcBorders>
              <w:top w:val="nil"/>
              <w:left w:val="nil"/>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1.657</w:t>
            </w:r>
          </w:p>
        </w:tc>
        <w:tc>
          <w:tcPr>
            <w:tcW w:w="636" w:type="dxa"/>
            <w:tcBorders>
              <w:top w:val="nil"/>
              <w:left w:val="nil"/>
              <w:right w:val="nil"/>
            </w:tcBorders>
            <w:shd w:val="clear" w:color="auto" w:fill="auto"/>
            <w:noWrap/>
            <w:vAlign w:val="center"/>
            <w:hideMark/>
          </w:tcPr>
          <w:p w:rsidR="00070FC5" w:rsidRPr="00CC73F3" w:rsidRDefault="00070FC5" w:rsidP="00D639F5">
            <w:pPr>
              <w:jc w:val="center"/>
              <w:rPr>
                <w:color w:val="000000"/>
                <w:sz w:val="22"/>
                <w:szCs w:val="22"/>
              </w:rPr>
            </w:pPr>
          </w:p>
        </w:tc>
      </w:tr>
      <w:tr w:rsidR="00070FC5" w:rsidRPr="00CC73F3" w:rsidTr="00D639F5">
        <w:trPr>
          <w:trHeight w:val="144"/>
          <w:jc w:val="center"/>
        </w:trPr>
        <w:tc>
          <w:tcPr>
            <w:tcW w:w="2530" w:type="dxa"/>
            <w:tcBorders>
              <w:top w:val="nil"/>
              <w:left w:val="nil"/>
              <w:bottom w:val="single" w:sz="18" w:space="0" w:color="auto"/>
              <w:right w:val="nil"/>
            </w:tcBorders>
            <w:shd w:val="clear" w:color="auto" w:fill="auto"/>
            <w:noWrap/>
            <w:vAlign w:val="bottom"/>
            <w:hideMark/>
          </w:tcPr>
          <w:p w:rsidR="00070FC5" w:rsidRPr="00CC73F3" w:rsidRDefault="00070FC5" w:rsidP="00D639F5">
            <w:pPr>
              <w:rPr>
                <w:color w:val="000000"/>
                <w:sz w:val="22"/>
                <w:szCs w:val="22"/>
              </w:rPr>
            </w:pPr>
            <w:r w:rsidRPr="00CC73F3">
              <w:rPr>
                <w:color w:val="000000"/>
                <w:sz w:val="22"/>
                <w:szCs w:val="22"/>
              </w:rPr>
              <w:t> </w:t>
            </w:r>
          </w:p>
        </w:tc>
        <w:tc>
          <w:tcPr>
            <w:tcW w:w="2646"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Individual Regulatory Focus</w:t>
            </w:r>
          </w:p>
        </w:tc>
        <w:tc>
          <w:tcPr>
            <w:tcW w:w="810"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1</w:t>
            </w:r>
          </w:p>
        </w:tc>
        <w:tc>
          <w:tcPr>
            <w:tcW w:w="1641"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 </w:t>
            </w:r>
          </w:p>
        </w:tc>
        <w:tc>
          <w:tcPr>
            <w:tcW w:w="1116"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0.561</w:t>
            </w:r>
          </w:p>
        </w:tc>
        <w:tc>
          <w:tcPr>
            <w:tcW w:w="636"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sz w:val="22"/>
                <w:szCs w:val="22"/>
              </w:rPr>
            </w:pPr>
            <w:r w:rsidRPr="00CC73F3">
              <w:rPr>
                <w:color w:val="000000"/>
                <w:sz w:val="22"/>
                <w:szCs w:val="22"/>
              </w:rPr>
              <w:t> </w:t>
            </w:r>
          </w:p>
        </w:tc>
      </w:tr>
      <w:tr w:rsidR="00070FC5" w:rsidRPr="00CC73F3" w:rsidTr="00D639F5">
        <w:trPr>
          <w:trHeight w:val="144"/>
          <w:jc w:val="center"/>
        </w:trPr>
        <w:tc>
          <w:tcPr>
            <w:tcW w:w="9379" w:type="dxa"/>
            <w:gridSpan w:val="6"/>
            <w:tcBorders>
              <w:top w:val="single" w:sz="18" w:space="0" w:color="auto"/>
              <w:left w:val="nil"/>
              <w:right w:val="nil"/>
            </w:tcBorders>
            <w:shd w:val="clear" w:color="auto" w:fill="auto"/>
            <w:noWrap/>
            <w:vAlign w:val="bottom"/>
          </w:tcPr>
          <w:p w:rsidR="00070FC5" w:rsidRPr="00CC73F3" w:rsidRDefault="00070FC5" w:rsidP="00D639F5">
            <w:pPr>
              <w:rPr>
                <w:color w:val="000000"/>
                <w:sz w:val="22"/>
                <w:szCs w:val="22"/>
              </w:rPr>
            </w:pPr>
            <w:r w:rsidRPr="00CC73F3">
              <w:rPr>
                <w:color w:val="000000"/>
                <w:sz w:val="22"/>
                <w:szCs w:val="22"/>
                <w:vertAlign w:val="superscript"/>
              </w:rPr>
              <w:t>†</w:t>
            </w:r>
            <w:r w:rsidRPr="00CC73F3">
              <w:rPr>
                <w:color w:val="000000"/>
                <w:sz w:val="22"/>
                <w:szCs w:val="22"/>
              </w:rPr>
              <w:t xml:space="preserve"> p &lt; .10</w:t>
            </w:r>
          </w:p>
          <w:p w:rsidR="00070FC5" w:rsidRPr="00CC73F3" w:rsidRDefault="00070FC5" w:rsidP="00D639F5">
            <w:pPr>
              <w:rPr>
                <w:color w:val="000000"/>
                <w:sz w:val="22"/>
                <w:szCs w:val="22"/>
              </w:rPr>
            </w:pPr>
            <w:r w:rsidRPr="00CC73F3">
              <w:rPr>
                <w:color w:val="000000"/>
                <w:sz w:val="22"/>
                <w:szCs w:val="22"/>
                <w:vertAlign w:val="superscript"/>
              </w:rPr>
              <w:t xml:space="preserve">* </w:t>
            </w:r>
            <w:r w:rsidRPr="00CC73F3">
              <w:rPr>
                <w:color w:val="000000"/>
                <w:sz w:val="22"/>
                <w:szCs w:val="22"/>
              </w:rPr>
              <w:t>p &lt; .05</w:t>
            </w:r>
          </w:p>
          <w:p w:rsidR="00070FC5" w:rsidRPr="00CC73F3" w:rsidRDefault="00070FC5" w:rsidP="00D639F5">
            <w:pPr>
              <w:rPr>
                <w:color w:val="000000"/>
                <w:sz w:val="22"/>
                <w:szCs w:val="22"/>
              </w:rPr>
            </w:pPr>
            <w:r w:rsidRPr="00CC73F3">
              <w:rPr>
                <w:color w:val="000000"/>
                <w:sz w:val="22"/>
                <w:szCs w:val="22"/>
                <w:vertAlign w:val="superscript"/>
              </w:rPr>
              <w:t xml:space="preserve">** </w:t>
            </w:r>
            <w:r w:rsidRPr="00CC73F3">
              <w:rPr>
                <w:color w:val="000000"/>
                <w:sz w:val="22"/>
                <w:szCs w:val="22"/>
              </w:rPr>
              <w:t>p &lt; .01</w:t>
            </w:r>
          </w:p>
        </w:tc>
      </w:tr>
    </w:tbl>
    <w:p w:rsidR="00070FC5" w:rsidRPr="00CC73F3" w:rsidRDefault="00070FC5" w:rsidP="00D639F5">
      <w:pPr>
        <w:spacing w:line="480" w:lineRule="auto"/>
        <w:rPr>
          <w:rFonts w:eastAsia="Calibri"/>
          <w:szCs w:val="22"/>
        </w:rPr>
      </w:pPr>
      <w:proofErr w:type="gramStart"/>
      <w:r w:rsidRPr="00CC73F3">
        <w:rPr>
          <w:rFonts w:eastAsia="Calibri"/>
          <w:szCs w:val="22"/>
        </w:rPr>
        <w:t>score</w:t>
      </w:r>
      <w:proofErr w:type="gramEnd"/>
      <w:r w:rsidRPr="00CC73F3">
        <w:rPr>
          <w:rFonts w:eastAsia="Calibri"/>
          <w:szCs w:val="22"/>
        </w:rPr>
        <w:t xml:space="preserve"> for meaningfulness across the four products was 5.92 with a standard deviation of .98. The mean distance score for feasibility across the four products was 9.93 with a standard deviation of 1.12. Four covariates were originally included (individual regulatory focus, individual affect, team familiarity, and product category knowledge), but two were dropped due to non-significance in all of the models used (individual affect and team familiarity). </w:t>
      </w:r>
    </w:p>
    <w:p w:rsidR="00070FC5" w:rsidRPr="00CC73F3" w:rsidRDefault="00070FC5" w:rsidP="00D639F5">
      <w:pPr>
        <w:spacing w:line="480" w:lineRule="auto"/>
        <w:rPr>
          <w:rFonts w:eastAsia="Calibri"/>
          <w:b/>
          <w:szCs w:val="22"/>
        </w:rPr>
      </w:pPr>
    </w:p>
    <w:p w:rsidR="00070FC5" w:rsidRPr="00CC73F3" w:rsidRDefault="00070FC5" w:rsidP="00D639F5">
      <w:pPr>
        <w:pStyle w:val="Heading3"/>
      </w:pPr>
      <w:bookmarkStart w:id="93" w:name="_Toc420572608"/>
      <w:r w:rsidRPr="00CC73F3">
        <w:t>Study 1 Results</w:t>
      </w:r>
      <w:bookmarkEnd w:id="93"/>
    </w:p>
    <w:p w:rsidR="00070FC5" w:rsidRPr="00CC73F3" w:rsidRDefault="00070FC5" w:rsidP="00D639F5">
      <w:pPr>
        <w:spacing w:line="480" w:lineRule="auto"/>
        <w:rPr>
          <w:rFonts w:eastAsia="Calibri"/>
          <w:szCs w:val="22"/>
        </w:rPr>
      </w:pPr>
      <w:r w:rsidRPr="00CC73F3">
        <w:rPr>
          <w:rFonts w:eastAsia="Calibri"/>
          <w:szCs w:val="22"/>
        </w:rPr>
        <w:tab/>
        <w:t xml:space="preserve">In Study 1, the teams participating in the experiment were asked to view product concepts invented by consumers and rate them on their level of novelty, feasibility and meaningfulness. The individual team </w:t>
      </w:r>
      <w:proofErr w:type="gramStart"/>
      <w:r w:rsidRPr="00CC73F3">
        <w:rPr>
          <w:rFonts w:eastAsia="Calibri"/>
          <w:szCs w:val="22"/>
        </w:rPr>
        <w:t>member affect</w:t>
      </w:r>
      <w:proofErr w:type="gramEnd"/>
      <w:r w:rsidRPr="00CC73F3">
        <w:rPr>
          <w:rFonts w:eastAsia="Calibri"/>
          <w:szCs w:val="22"/>
        </w:rPr>
        <w:t xml:space="preserve"> and team member familiarity covariates </w:t>
      </w:r>
      <w:r w:rsidRPr="00CC73F3">
        <w:rPr>
          <w:rFonts w:eastAsia="Calibri"/>
        </w:rPr>
        <w:t>were not significant in any of the models tested for the three dimensions of innovativeness, and were dropped from the analysis. The ANCOVA results for all of the tests in Study 1 are shown above in Table 21.</w:t>
      </w:r>
    </w:p>
    <w:p w:rsidR="00070FC5" w:rsidRPr="00CC73F3" w:rsidRDefault="00070FC5" w:rsidP="00D639F5">
      <w:pPr>
        <w:rPr>
          <w:rFonts w:eastAsia="Calibri"/>
        </w:rPr>
      </w:pPr>
    </w:p>
    <w:p w:rsidR="00070FC5" w:rsidRPr="00CC73F3" w:rsidRDefault="00070FC5" w:rsidP="00D639F5">
      <w:pPr>
        <w:pStyle w:val="Heading3"/>
      </w:pPr>
      <w:bookmarkStart w:id="94" w:name="_Toc420572609"/>
      <w:r w:rsidRPr="00CC73F3">
        <w:t>Hypothesis Tests for the Main Effect of Group Regulatory Focus</w:t>
      </w:r>
      <w:bookmarkEnd w:id="94"/>
    </w:p>
    <w:p w:rsidR="00070FC5" w:rsidRPr="00CC73F3" w:rsidRDefault="00070FC5" w:rsidP="00D639F5">
      <w:pPr>
        <w:spacing w:line="480" w:lineRule="auto"/>
        <w:rPr>
          <w:rFonts w:eastAsia="Calibri"/>
          <w:szCs w:val="22"/>
        </w:rPr>
      </w:pPr>
      <w:r w:rsidRPr="00CC73F3">
        <w:rPr>
          <w:rFonts w:eastAsia="Calibri"/>
          <w:szCs w:val="22"/>
        </w:rPr>
        <w:tab/>
        <w:t xml:space="preserve">Hypothesis 1a states that teams with a </w:t>
      </w:r>
      <w:r w:rsidRPr="00CC73F3">
        <w:rPr>
          <w:rFonts w:eastAsia="Calibri"/>
          <w:i/>
          <w:szCs w:val="22"/>
        </w:rPr>
        <w:t>Promotion</w:t>
      </w:r>
      <w:r w:rsidRPr="00CC73F3">
        <w:rPr>
          <w:rFonts w:eastAsia="Calibri"/>
          <w:szCs w:val="22"/>
        </w:rPr>
        <w:t xml:space="preserve"> orientation will be more accurate at assessing cocreated new product novelty than teams with a </w:t>
      </w:r>
      <w:r w:rsidRPr="00CC73F3">
        <w:rPr>
          <w:rFonts w:eastAsia="Calibri"/>
          <w:i/>
          <w:szCs w:val="22"/>
        </w:rPr>
        <w:t>Prevention</w:t>
      </w:r>
      <w:r w:rsidRPr="00CC73F3">
        <w:rPr>
          <w:rFonts w:eastAsia="Calibri"/>
          <w:szCs w:val="22"/>
        </w:rPr>
        <w:t xml:space="preserve"> orientation. The analysis of the main effect showed that regulatory focus had no significant effect on novelty (M</w:t>
      </w:r>
      <w:r w:rsidRPr="00CC73F3">
        <w:rPr>
          <w:rFonts w:eastAsia="Calibri"/>
          <w:szCs w:val="22"/>
          <w:vertAlign w:val="subscript"/>
        </w:rPr>
        <w:t>Prevention</w:t>
      </w:r>
      <w:r w:rsidRPr="00CC73F3">
        <w:rPr>
          <w:rFonts w:eastAsia="Calibri"/>
          <w:szCs w:val="22"/>
        </w:rPr>
        <w:t>= 4.89 vs. M</w:t>
      </w:r>
      <w:r w:rsidRPr="00CC73F3">
        <w:rPr>
          <w:rFonts w:eastAsia="Calibri"/>
          <w:szCs w:val="22"/>
          <w:vertAlign w:val="subscript"/>
        </w:rPr>
        <w:t>Promotion</w:t>
      </w:r>
      <w:r w:rsidRPr="00CC73F3">
        <w:rPr>
          <w:rFonts w:eastAsia="Calibri"/>
          <w:szCs w:val="22"/>
        </w:rPr>
        <w:t xml:space="preserve"> = 4.86;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1,151) = .03,</w:t>
      </w:r>
      <w:r w:rsidRPr="00CC73F3">
        <w:rPr>
          <w:rFonts w:eastAsia="Calibri"/>
          <w:i/>
          <w:szCs w:val="22"/>
        </w:rPr>
        <w:t xml:space="preserve"> </w:t>
      </w:r>
      <w:r w:rsidRPr="00CC73F3">
        <w:rPr>
          <w:rFonts w:eastAsia="Calibri"/>
          <w:szCs w:val="22"/>
        </w:rPr>
        <w:t xml:space="preserve">NS), thus </w:t>
      </w:r>
      <w:r w:rsidRPr="00CC73F3">
        <w:rPr>
          <w:rFonts w:eastAsia="Calibri"/>
          <w:i/>
          <w:szCs w:val="22"/>
        </w:rPr>
        <w:t>H1a</w:t>
      </w:r>
      <w:r w:rsidRPr="00CC73F3">
        <w:rPr>
          <w:rFonts w:eastAsia="Calibri"/>
          <w:szCs w:val="22"/>
        </w:rPr>
        <w:t xml:space="preserve"> is not supported.</w:t>
      </w:r>
    </w:p>
    <w:p w:rsidR="00070FC5" w:rsidRPr="00CC73F3" w:rsidRDefault="00070FC5" w:rsidP="00D639F5">
      <w:pPr>
        <w:spacing w:line="480" w:lineRule="auto"/>
        <w:rPr>
          <w:rFonts w:eastAsia="Calibri"/>
          <w:szCs w:val="22"/>
        </w:rPr>
      </w:pPr>
      <w:r w:rsidRPr="00CC73F3">
        <w:rPr>
          <w:rFonts w:eastAsia="Calibri"/>
          <w:szCs w:val="22"/>
        </w:rPr>
        <w:tab/>
        <w:t xml:space="preserve">Hypotheses 1b states that teams with a </w:t>
      </w:r>
      <w:r w:rsidRPr="00CC73F3">
        <w:rPr>
          <w:rFonts w:eastAsia="Calibri"/>
          <w:i/>
          <w:szCs w:val="22"/>
        </w:rPr>
        <w:t>Prevention</w:t>
      </w:r>
      <w:r w:rsidRPr="00CC73F3">
        <w:rPr>
          <w:rFonts w:eastAsia="Calibri"/>
          <w:szCs w:val="22"/>
        </w:rPr>
        <w:t xml:space="preserve"> orientation will be more accurate at assessing cocreated new product meaningfulness than teams with a </w:t>
      </w:r>
      <w:r w:rsidRPr="00CC73F3">
        <w:rPr>
          <w:rFonts w:eastAsia="Calibri"/>
          <w:i/>
          <w:szCs w:val="22"/>
        </w:rPr>
        <w:t>Promotion</w:t>
      </w:r>
      <w:r w:rsidRPr="00CC73F3">
        <w:rPr>
          <w:rFonts w:eastAsia="Calibri"/>
          <w:szCs w:val="22"/>
        </w:rPr>
        <w:t xml:space="preserve"> orientation. The analysis showed that teams in the </w:t>
      </w:r>
      <w:r w:rsidRPr="00CC73F3">
        <w:rPr>
          <w:rFonts w:eastAsia="Calibri"/>
          <w:i/>
          <w:szCs w:val="22"/>
        </w:rPr>
        <w:t>Prevention</w:t>
      </w:r>
      <w:r w:rsidRPr="00CC73F3">
        <w:rPr>
          <w:rFonts w:eastAsia="Calibri"/>
          <w:szCs w:val="22"/>
        </w:rPr>
        <w:t xml:space="preserve"> condition rated the products closer to the expert ratings of meaningfulness than teams in the </w:t>
      </w:r>
      <w:r w:rsidRPr="00CC73F3">
        <w:rPr>
          <w:rFonts w:eastAsia="Calibri"/>
          <w:i/>
          <w:szCs w:val="22"/>
        </w:rPr>
        <w:t>Promotion</w:t>
      </w:r>
      <w:r w:rsidRPr="00CC73F3">
        <w:rPr>
          <w:rFonts w:eastAsia="Calibri"/>
          <w:szCs w:val="22"/>
        </w:rPr>
        <w:t xml:space="preserve"> condition at the </w:t>
      </w:r>
      <w:r w:rsidRPr="00CC73F3">
        <w:rPr>
          <w:rFonts w:eastAsia="Calibri"/>
          <w:i/>
          <w:szCs w:val="22"/>
        </w:rPr>
        <w:t>p</w:t>
      </w:r>
      <w:r w:rsidRPr="00CC73F3">
        <w:rPr>
          <w:rFonts w:eastAsia="Calibri"/>
          <w:szCs w:val="22"/>
        </w:rPr>
        <w:t xml:space="preserve"> &lt; .10 level but not the </w:t>
      </w:r>
      <w:r w:rsidRPr="00CC73F3">
        <w:rPr>
          <w:rFonts w:eastAsia="Calibri"/>
          <w:i/>
          <w:szCs w:val="22"/>
        </w:rPr>
        <w:t>p</w:t>
      </w:r>
      <w:r w:rsidRPr="00CC73F3">
        <w:rPr>
          <w:rFonts w:eastAsia="Calibri"/>
          <w:szCs w:val="22"/>
        </w:rPr>
        <w:t xml:space="preserve"> &lt; .05 level (M</w:t>
      </w:r>
      <w:r w:rsidRPr="00CC73F3">
        <w:rPr>
          <w:rFonts w:eastAsia="Calibri"/>
          <w:szCs w:val="22"/>
          <w:vertAlign w:val="subscript"/>
        </w:rPr>
        <w:t>Prevention</w:t>
      </w:r>
      <w:r w:rsidRPr="00CC73F3">
        <w:rPr>
          <w:rFonts w:eastAsia="Calibri"/>
          <w:szCs w:val="22"/>
        </w:rPr>
        <w:t>= 5.79 vs. M</w:t>
      </w:r>
      <w:r w:rsidRPr="00CC73F3">
        <w:rPr>
          <w:rFonts w:eastAsia="Calibri"/>
          <w:szCs w:val="22"/>
          <w:vertAlign w:val="subscript"/>
        </w:rPr>
        <w:t>Promotion</w:t>
      </w:r>
      <w:r w:rsidRPr="00CC73F3">
        <w:rPr>
          <w:rFonts w:eastAsia="Calibri"/>
          <w:szCs w:val="22"/>
        </w:rPr>
        <w:t xml:space="preserve"> = 6.06; </w:t>
      </w:r>
      <w:r w:rsidRPr="00CC73F3">
        <w:rPr>
          <w:rFonts w:eastAsia="Calibri"/>
          <w:i/>
          <w:szCs w:val="22"/>
        </w:rPr>
        <w:t>F</w:t>
      </w:r>
      <w:r w:rsidRPr="00CC73F3">
        <w:rPr>
          <w:rFonts w:eastAsia="Calibri"/>
          <w:szCs w:val="22"/>
        </w:rPr>
        <w:t>(1,151) = 2.98,</w:t>
      </w:r>
      <w:r w:rsidRPr="00CC73F3">
        <w:rPr>
          <w:rFonts w:eastAsia="Calibri"/>
          <w:i/>
          <w:szCs w:val="22"/>
        </w:rPr>
        <w:t xml:space="preserve"> p</w:t>
      </w:r>
      <w:r w:rsidRPr="00CC73F3">
        <w:rPr>
          <w:rFonts w:eastAsia="Calibri"/>
          <w:szCs w:val="22"/>
        </w:rPr>
        <w:t xml:space="preserve">= .09, </w:t>
      </w:r>
      <w:r w:rsidRPr="00CC73F3">
        <w:rPr>
          <w:rFonts w:ascii="Calibri" w:eastAsia="Calibri" w:hAnsi="Calibri"/>
          <w:i/>
          <w:szCs w:val="22"/>
        </w:rPr>
        <w:t>η</w:t>
      </w:r>
      <w:r w:rsidRPr="00CC73F3">
        <w:rPr>
          <w:rFonts w:eastAsia="Calibri"/>
          <w:i/>
          <w:szCs w:val="22"/>
          <w:vertAlign w:val="superscript"/>
        </w:rPr>
        <w:t>2</w:t>
      </w:r>
      <w:r w:rsidRPr="00CC73F3">
        <w:rPr>
          <w:rFonts w:eastAsia="Calibri"/>
          <w:szCs w:val="22"/>
        </w:rPr>
        <w:t xml:space="preserve"> = .02), see Figure 4. Based on this result, </w:t>
      </w:r>
      <w:r w:rsidRPr="00CC73F3">
        <w:rPr>
          <w:rFonts w:eastAsia="Calibri"/>
          <w:i/>
          <w:szCs w:val="22"/>
        </w:rPr>
        <w:t>H1b</w:t>
      </w:r>
      <w:r w:rsidRPr="00CC73F3">
        <w:rPr>
          <w:rFonts w:eastAsia="Calibri"/>
          <w:szCs w:val="22"/>
        </w:rPr>
        <w:t xml:space="preserve"> is marginally supported.</w:t>
      </w:r>
    </w:p>
    <w:p w:rsidR="00070FC5" w:rsidRPr="00CC73F3" w:rsidRDefault="007E2E0A" w:rsidP="00D639F5">
      <w:pPr>
        <w:jc w:val="center"/>
        <w:rPr>
          <w:rFonts w:eastAsia="Calibri"/>
          <w:b/>
          <w:i/>
          <w:szCs w:val="22"/>
        </w:rPr>
      </w:pPr>
      <w:r>
        <w:rPr>
          <w:rFonts w:eastAsia="Calibri"/>
          <w:noProof/>
          <w:szCs w:val="22"/>
        </w:rPr>
        <w:pict>
          <v:shape id="Picture 12" o:spid="_x0000_i1031" type="#_x0000_t75" style="width:381.75pt;height:206.25pt;visibility:visible">
            <v:imagedata r:id="rId16" o:title="" croptop="-1f" cropbottom="1587f"/>
          </v:shape>
        </w:pict>
      </w:r>
    </w:p>
    <w:p w:rsidR="00070FC5" w:rsidRPr="00CC73F3" w:rsidRDefault="00070FC5" w:rsidP="00D639F5">
      <w:pPr>
        <w:jc w:val="center"/>
        <w:rPr>
          <w:rFonts w:eastAsia="Calibri"/>
          <w:b/>
          <w:i/>
          <w:szCs w:val="22"/>
        </w:rPr>
      </w:pPr>
    </w:p>
    <w:p w:rsidR="00070FC5" w:rsidRPr="00CC73F3" w:rsidRDefault="00070FC5" w:rsidP="00D639F5">
      <w:pPr>
        <w:pStyle w:val="Caption"/>
        <w:rPr>
          <w:rFonts w:eastAsia="Calibri"/>
        </w:rPr>
      </w:pPr>
      <w:bookmarkStart w:id="95" w:name="_Toc420524234"/>
      <w:proofErr w:type="gramStart"/>
      <w:r w:rsidRPr="00CC73F3">
        <w:t xml:space="preserve">Figure </w:t>
      </w:r>
      <w:fldSimple w:instr=" SEQ Figure \* ARABIC ">
        <w:r w:rsidRPr="00CC73F3">
          <w:rPr>
            <w:noProof/>
          </w:rPr>
          <w:t>4</w:t>
        </w:r>
      </w:fldSimple>
      <w:r w:rsidRPr="00CC73F3">
        <w:rPr>
          <w:rFonts w:eastAsia="Calibri"/>
        </w:rPr>
        <w:t>.</w:t>
      </w:r>
      <w:proofErr w:type="gramEnd"/>
      <w:r w:rsidRPr="00CC73F3">
        <w:rPr>
          <w:rFonts w:eastAsia="Calibri"/>
        </w:rPr>
        <w:t xml:space="preserve"> Distance from Expert Ratings of Meaningfulness</w:t>
      </w:r>
      <w:bookmarkEnd w:id="95"/>
    </w:p>
    <w:p w:rsidR="00070FC5" w:rsidRPr="00CC73F3" w:rsidRDefault="00070FC5" w:rsidP="00D639F5">
      <w:pPr>
        <w:spacing w:line="480" w:lineRule="auto"/>
        <w:rPr>
          <w:rFonts w:eastAsia="Calibri"/>
          <w:sz w:val="16"/>
          <w:szCs w:val="16"/>
        </w:rPr>
      </w:pP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i/>
          <w:szCs w:val="22"/>
        </w:rPr>
        <w:t>Hypothesis 1c</w:t>
      </w:r>
      <w:r w:rsidRPr="00CC73F3">
        <w:rPr>
          <w:rFonts w:eastAsia="Calibri"/>
          <w:szCs w:val="22"/>
        </w:rPr>
        <w:t xml:space="preserve"> states that teams with a prevention orientation will be more accurate at assessing cocreated new product feasibility. The analysis of the main effect of regulatory focus showed that teams in the </w:t>
      </w:r>
      <w:r w:rsidRPr="00CC73F3">
        <w:rPr>
          <w:rFonts w:eastAsia="Calibri"/>
          <w:i/>
          <w:szCs w:val="22"/>
        </w:rPr>
        <w:t>Prevention</w:t>
      </w:r>
      <w:r w:rsidRPr="00CC73F3">
        <w:rPr>
          <w:rFonts w:eastAsia="Calibri"/>
          <w:szCs w:val="22"/>
        </w:rPr>
        <w:t xml:space="preserve"> condition rated the products closer to the expert ratings of feasibility than teams in the </w:t>
      </w:r>
      <w:r w:rsidRPr="00CC73F3">
        <w:rPr>
          <w:rFonts w:eastAsia="Calibri"/>
          <w:i/>
          <w:szCs w:val="22"/>
        </w:rPr>
        <w:t>Promotion</w:t>
      </w:r>
      <w:r w:rsidRPr="00CC73F3">
        <w:rPr>
          <w:rFonts w:eastAsia="Calibri"/>
          <w:szCs w:val="22"/>
        </w:rPr>
        <w:t xml:space="preserve"> condition (M</w:t>
      </w:r>
      <w:r w:rsidRPr="00CC73F3">
        <w:rPr>
          <w:rFonts w:eastAsia="Calibri"/>
          <w:szCs w:val="22"/>
          <w:vertAlign w:val="subscript"/>
        </w:rPr>
        <w:t>Prevention</w:t>
      </w:r>
      <w:r w:rsidRPr="00CC73F3">
        <w:rPr>
          <w:rFonts w:eastAsia="Calibri"/>
          <w:szCs w:val="22"/>
        </w:rPr>
        <w:t>= 9.71 vs. M</w:t>
      </w:r>
      <w:r w:rsidRPr="00CC73F3">
        <w:rPr>
          <w:rFonts w:eastAsia="Calibri"/>
          <w:szCs w:val="22"/>
          <w:vertAlign w:val="subscript"/>
        </w:rPr>
        <w:t>Promotion</w:t>
      </w:r>
      <w:r w:rsidRPr="00CC73F3">
        <w:rPr>
          <w:rFonts w:eastAsia="Calibri"/>
          <w:szCs w:val="22"/>
        </w:rPr>
        <w:t xml:space="preserve"> = 10.17; </w:t>
      </w:r>
      <w:r w:rsidRPr="00CC73F3">
        <w:rPr>
          <w:rFonts w:eastAsia="Calibri"/>
          <w:i/>
          <w:szCs w:val="22"/>
        </w:rPr>
        <w:t>F</w:t>
      </w:r>
      <w:r w:rsidRPr="00CC73F3">
        <w:rPr>
          <w:rFonts w:eastAsia="Calibri"/>
          <w:szCs w:val="22"/>
        </w:rPr>
        <w:t>(1,151) = 6.58,</w:t>
      </w:r>
      <w:r w:rsidRPr="00CC73F3">
        <w:rPr>
          <w:rFonts w:eastAsia="Calibri"/>
          <w:i/>
          <w:szCs w:val="22"/>
        </w:rPr>
        <w:t xml:space="preserve"> p</w:t>
      </w:r>
      <w:r w:rsidRPr="00CC73F3">
        <w:rPr>
          <w:rFonts w:eastAsia="Calibri"/>
          <w:szCs w:val="22"/>
        </w:rPr>
        <w:t xml:space="preserve">= .01, </w:t>
      </w:r>
      <w:r w:rsidRPr="00CC73F3">
        <w:rPr>
          <w:rFonts w:ascii="Calibri" w:eastAsia="Calibri" w:hAnsi="Calibri"/>
          <w:i/>
          <w:szCs w:val="22"/>
        </w:rPr>
        <w:t>η</w:t>
      </w:r>
      <w:r w:rsidRPr="00CC73F3">
        <w:rPr>
          <w:rFonts w:eastAsia="Calibri"/>
          <w:i/>
          <w:szCs w:val="22"/>
          <w:vertAlign w:val="superscript"/>
        </w:rPr>
        <w:t>2</w:t>
      </w:r>
      <w:r w:rsidRPr="00CC73F3">
        <w:rPr>
          <w:rFonts w:eastAsia="Calibri"/>
          <w:szCs w:val="22"/>
        </w:rPr>
        <w:t xml:space="preserve"> = .04), see Figure 5. Based on this result, </w:t>
      </w:r>
      <w:r w:rsidRPr="00CC73F3">
        <w:rPr>
          <w:rFonts w:eastAsia="Calibri"/>
          <w:i/>
          <w:szCs w:val="22"/>
        </w:rPr>
        <w:t>H1c</w:t>
      </w:r>
      <w:r w:rsidRPr="00CC73F3">
        <w:rPr>
          <w:rFonts w:eastAsia="Calibri"/>
          <w:szCs w:val="22"/>
        </w:rPr>
        <w:t xml:space="preserve"> is supported.</w:t>
      </w:r>
    </w:p>
    <w:p w:rsidR="00070FC5" w:rsidRPr="00CC73F3" w:rsidRDefault="00070FC5" w:rsidP="00D639F5">
      <w:pPr>
        <w:pStyle w:val="Heading3"/>
      </w:pPr>
      <w:bookmarkStart w:id="96" w:name="_Toc420572610"/>
      <w:r w:rsidRPr="00CC73F3">
        <w:t>Hypothesis Tests for the Main Effect of Reflexivity</w:t>
      </w:r>
      <w:bookmarkEnd w:id="96"/>
    </w:p>
    <w:p w:rsidR="00070FC5" w:rsidRPr="00CC73F3" w:rsidRDefault="00070FC5" w:rsidP="00D639F5">
      <w:pPr>
        <w:spacing w:line="480" w:lineRule="auto"/>
        <w:rPr>
          <w:rFonts w:eastAsia="Calibri"/>
          <w:b/>
          <w:szCs w:val="22"/>
        </w:rPr>
      </w:pPr>
      <w:r w:rsidRPr="00CC73F3">
        <w:rPr>
          <w:rFonts w:eastAsia="Calibri"/>
          <w:szCs w:val="22"/>
        </w:rPr>
        <w:tab/>
      </w:r>
      <w:r w:rsidRPr="00CC73F3">
        <w:rPr>
          <w:rFonts w:eastAsia="Calibri"/>
          <w:i/>
          <w:szCs w:val="22"/>
        </w:rPr>
        <w:t>Hypothesis 2a</w:t>
      </w:r>
      <w:r w:rsidRPr="00CC73F3">
        <w:rPr>
          <w:rFonts w:eastAsia="Calibri"/>
          <w:szCs w:val="22"/>
        </w:rPr>
        <w:t xml:space="preserve"> states that high reflexivity will positively influence teams’ rating accuracy on novelty. Reflexivity did not significantly influence teams’ assessments of cocreated new product </w:t>
      </w:r>
      <w:r w:rsidRPr="00CC73F3">
        <w:rPr>
          <w:rFonts w:eastAsia="Calibri"/>
          <w:i/>
          <w:szCs w:val="22"/>
        </w:rPr>
        <w:t>novelty</w:t>
      </w:r>
      <w:r w:rsidRPr="00CC73F3">
        <w:rPr>
          <w:rFonts w:eastAsia="Calibri"/>
          <w:szCs w:val="22"/>
        </w:rPr>
        <w:t xml:space="preserve"> (M</w:t>
      </w:r>
      <w:r w:rsidRPr="00CC73F3">
        <w:rPr>
          <w:rFonts w:eastAsia="Calibri"/>
          <w:szCs w:val="22"/>
          <w:vertAlign w:val="subscript"/>
        </w:rPr>
        <w:t>HiReflex</w:t>
      </w:r>
      <w:r w:rsidRPr="00CC73F3">
        <w:rPr>
          <w:rFonts w:eastAsia="Calibri"/>
          <w:szCs w:val="22"/>
        </w:rPr>
        <w:t>= 4.89 vs. M</w:t>
      </w:r>
      <w:r w:rsidRPr="00CC73F3">
        <w:rPr>
          <w:rFonts w:eastAsia="Calibri"/>
          <w:szCs w:val="22"/>
          <w:vertAlign w:val="subscript"/>
        </w:rPr>
        <w:t>LoReflex</w:t>
      </w:r>
      <w:r w:rsidRPr="00CC73F3">
        <w:rPr>
          <w:rFonts w:eastAsia="Calibri"/>
          <w:szCs w:val="22"/>
        </w:rPr>
        <w:t xml:space="preserve"> = 4.86;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1,151) = .01,</w:t>
      </w:r>
      <w:r w:rsidRPr="00CC73F3">
        <w:rPr>
          <w:rFonts w:eastAsia="Calibri"/>
          <w:i/>
          <w:szCs w:val="22"/>
        </w:rPr>
        <w:t xml:space="preserve"> </w:t>
      </w:r>
      <w:r w:rsidRPr="00CC73F3">
        <w:rPr>
          <w:rFonts w:eastAsia="Calibri"/>
          <w:szCs w:val="22"/>
        </w:rPr>
        <w:t xml:space="preserve">NS), thus </w:t>
      </w:r>
      <w:r w:rsidRPr="00CC73F3">
        <w:rPr>
          <w:rFonts w:eastAsia="Calibri"/>
          <w:i/>
          <w:szCs w:val="22"/>
        </w:rPr>
        <w:t xml:space="preserve">H2a </w:t>
      </w:r>
      <w:r w:rsidRPr="00CC73F3">
        <w:rPr>
          <w:rFonts w:eastAsia="Calibri"/>
          <w:szCs w:val="22"/>
        </w:rPr>
        <w:t>is not supported.</w:t>
      </w: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i/>
          <w:szCs w:val="22"/>
        </w:rPr>
        <w:t>Hypothesis 2b</w:t>
      </w:r>
      <w:r w:rsidRPr="00CC73F3">
        <w:rPr>
          <w:rFonts w:eastAsia="Calibri"/>
          <w:szCs w:val="22"/>
        </w:rPr>
        <w:t xml:space="preserve"> states that high reflexivity will positively influence teams’ rating accuracy on the meaningfulness dimension. The main effect of reflexivity on cocreated new product </w:t>
      </w:r>
      <w:r w:rsidRPr="00CC73F3">
        <w:rPr>
          <w:rFonts w:eastAsia="Calibri"/>
          <w:i/>
          <w:szCs w:val="22"/>
        </w:rPr>
        <w:t>novelty</w:t>
      </w:r>
      <w:r w:rsidRPr="00CC73F3">
        <w:rPr>
          <w:rFonts w:eastAsia="Calibri"/>
          <w:szCs w:val="22"/>
        </w:rPr>
        <w:t xml:space="preserve"> assessment accuracy was also not significant (M</w:t>
      </w:r>
      <w:r w:rsidRPr="00CC73F3">
        <w:rPr>
          <w:rFonts w:eastAsia="Calibri"/>
          <w:szCs w:val="22"/>
          <w:vertAlign w:val="subscript"/>
        </w:rPr>
        <w:t>HiReflex</w:t>
      </w:r>
      <w:r w:rsidRPr="00CC73F3">
        <w:rPr>
          <w:rFonts w:eastAsia="Calibri"/>
          <w:szCs w:val="22"/>
        </w:rPr>
        <w:t>= 5.97 vs. M</w:t>
      </w:r>
      <w:r w:rsidRPr="00CC73F3">
        <w:rPr>
          <w:rFonts w:eastAsia="Calibri"/>
          <w:szCs w:val="22"/>
          <w:vertAlign w:val="subscript"/>
        </w:rPr>
        <w:t>LoReflex</w:t>
      </w:r>
      <w:r w:rsidRPr="00CC73F3">
        <w:rPr>
          <w:rFonts w:eastAsia="Calibri"/>
          <w:szCs w:val="22"/>
        </w:rPr>
        <w:t xml:space="preserve"> = 5.87;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1,151) = .01,</w:t>
      </w:r>
      <w:r w:rsidRPr="00CC73F3">
        <w:rPr>
          <w:rFonts w:eastAsia="Calibri"/>
          <w:i/>
          <w:szCs w:val="22"/>
        </w:rPr>
        <w:t xml:space="preserve"> </w:t>
      </w:r>
      <w:r w:rsidRPr="00CC73F3">
        <w:rPr>
          <w:rFonts w:eastAsia="Calibri"/>
          <w:szCs w:val="22"/>
        </w:rPr>
        <w:t xml:space="preserve">NS), thus </w:t>
      </w:r>
      <w:r w:rsidRPr="00CC73F3">
        <w:rPr>
          <w:rFonts w:eastAsia="Calibri"/>
          <w:i/>
          <w:szCs w:val="22"/>
        </w:rPr>
        <w:t>H2b</w:t>
      </w:r>
      <w:r w:rsidRPr="00CC73F3">
        <w:rPr>
          <w:rFonts w:eastAsia="Calibri"/>
          <w:szCs w:val="22"/>
        </w:rPr>
        <w:t xml:space="preserve"> is not supported.</w:t>
      </w:r>
    </w:p>
    <w:p w:rsidR="00070FC5" w:rsidRPr="00CC73F3" w:rsidRDefault="00070FC5" w:rsidP="00D639F5">
      <w:pPr>
        <w:spacing w:line="480" w:lineRule="auto"/>
        <w:rPr>
          <w:rFonts w:eastAsia="Calibri"/>
          <w:szCs w:val="22"/>
        </w:rPr>
      </w:pPr>
    </w:p>
    <w:p w:rsidR="00070FC5" w:rsidRPr="00CC73F3" w:rsidRDefault="007E2E0A" w:rsidP="00D639F5">
      <w:pPr>
        <w:spacing w:line="480" w:lineRule="auto"/>
        <w:jc w:val="center"/>
        <w:rPr>
          <w:rFonts w:eastAsia="Calibri"/>
          <w:noProof/>
          <w:szCs w:val="22"/>
        </w:rPr>
      </w:pPr>
      <w:r>
        <w:rPr>
          <w:rFonts w:eastAsia="Calibri"/>
          <w:noProof/>
          <w:szCs w:val="22"/>
        </w:rPr>
        <w:pict>
          <v:shape id="Picture 13" o:spid="_x0000_i1032" type="#_x0000_t75" style="width:358.5pt;height:194.25pt;visibility:visible">
            <v:imagedata r:id="rId17" o:title=""/>
          </v:shape>
        </w:pict>
      </w:r>
    </w:p>
    <w:p w:rsidR="00070FC5" w:rsidRPr="00CC73F3" w:rsidRDefault="00070FC5" w:rsidP="00D639F5">
      <w:pPr>
        <w:pStyle w:val="Caption"/>
        <w:rPr>
          <w:rFonts w:eastAsia="Calibri"/>
        </w:rPr>
      </w:pPr>
      <w:bookmarkStart w:id="97" w:name="_Toc420524235"/>
      <w:proofErr w:type="gramStart"/>
      <w:r w:rsidRPr="00CC73F3">
        <w:t xml:space="preserve">Figure </w:t>
      </w:r>
      <w:fldSimple w:instr=" SEQ Figure \* ARABIC ">
        <w:r w:rsidRPr="00CC73F3">
          <w:rPr>
            <w:noProof/>
          </w:rPr>
          <w:t>5</w:t>
        </w:r>
      </w:fldSimple>
      <w:r w:rsidRPr="00CC73F3">
        <w:rPr>
          <w:rFonts w:eastAsia="Calibri"/>
        </w:rPr>
        <w:t>.</w:t>
      </w:r>
      <w:proofErr w:type="gramEnd"/>
      <w:r w:rsidRPr="00CC73F3">
        <w:rPr>
          <w:rFonts w:eastAsia="Calibri"/>
        </w:rPr>
        <w:t xml:space="preserve"> Distance from Expert Ratings of Feasibility</w:t>
      </w:r>
      <w:bookmarkEnd w:id="97"/>
    </w:p>
    <w:p w:rsidR="00070FC5" w:rsidRPr="00CC73F3" w:rsidRDefault="00070FC5" w:rsidP="00D639F5">
      <w:pPr>
        <w:spacing w:line="480" w:lineRule="auto"/>
        <w:rPr>
          <w:rFonts w:eastAsia="Calibri"/>
          <w:b/>
          <w:szCs w:val="22"/>
        </w:rPr>
      </w:pP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i/>
          <w:szCs w:val="22"/>
        </w:rPr>
        <w:t>Hypothesis 2c</w:t>
      </w:r>
      <w:r w:rsidRPr="00CC73F3">
        <w:rPr>
          <w:rFonts w:eastAsia="Calibri"/>
          <w:szCs w:val="22"/>
        </w:rPr>
        <w:t xml:space="preserve"> states that high reflexivity will positively influence teams’ rating accuracy on f</w:t>
      </w:r>
      <w:r w:rsidRPr="00CC73F3">
        <w:rPr>
          <w:rFonts w:eastAsia="Calibri"/>
          <w:i/>
          <w:szCs w:val="22"/>
        </w:rPr>
        <w:t>easibility</w:t>
      </w:r>
      <w:r w:rsidRPr="00CC73F3">
        <w:rPr>
          <w:rFonts w:eastAsia="Calibri"/>
          <w:szCs w:val="22"/>
        </w:rPr>
        <w:t>. The main effect of reflexivity on assessments of cocreated new product feasibility was not significant (M</w:t>
      </w:r>
      <w:r w:rsidRPr="00CC73F3">
        <w:rPr>
          <w:rFonts w:eastAsia="Calibri"/>
          <w:szCs w:val="22"/>
          <w:vertAlign w:val="subscript"/>
        </w:rPr>
        <w:t>HiReflex</w:t>
      </w:r>
      <w:r w:rsidRPr="00CC73F3">
        <w:rPr>
          <w:rFonts w:eastAsia="Calibri"/>
          <w:szCs w:val="22"/>
        </w:rPr>
        <w:t>= 9.95 vs. M</w:t>
      </w:r>
      <w:r w:rsidRPr="00CC73F3">
        <w:rPr>
          <w:rFonts w:eastAsia="Calibri"/>
          <w:szCs w:val="22"/>
          <w:vertAlign w:val="subscript"/>
        </w:rPr>
        <w:t>LoReflex</w:t>
      </w:r>
      <w:r w:rsidRPr="00CC73F3">
        <w:rPr>
          <w:rFonts w:eastAsia="Calibri"/>
          <w:szCs w:val="22"/>
        </w:rPr>
        <w:t xml:space="preserve"> = 9.93;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1,151) = .01,</w:t>
      </w:r>
      <w:r w:rsidRPr="00CC73F3">
        <w:rPr>
          <w:rFonts w:eastAsia="Calibri"/>
          <w:i/>
          <w:szCs w:val="22"/>
        </w:rPr>
        <w:t xml:space="preserve"> </w:t>
      </w:r>
      <w:r w:rsidRPr="00CC73F3">
        <w:rPr>
          <w:rFonts w:eastAsia="Calibri"/>
          <w:szCs w:val="22"/>
        </w:rPr>
        <w:t xml:space="preserve">NS), thus </w:t>
      </w:r>
      <w:r w:rsidRPr="00CC73F3">
        <w:rPr>
          <w:rFonts w:eastAsia="Calibri"/>
          <w:i/>
          <w:szCs w:val="22"/>
        </w:rPr>
        <w:t>H2c</w:t>
      </w:r>
      <w:r w:rsidRPr="00CC73F3">
        <w:rPr>
          <w:rFonts w:eastAsia="Calibri"/>
          <w:szCs w:val="22"/>
        </w:rPr>
        <w:t xml:space="preserve"> is not supported.</w:t>
      </w:r>
    </w:p>
    <w:p w:rsidR="00070FC5" w:rsidRPr="00CC73F3" w:rsidRDefault="00070FC5" w:rsidP="00D639F5">
      <w:pPr>
        <w:rPr>
          <w:rFonts w:eastAsia="Calibri"/>
          <w:szCs w:val="22"/>
        </w:rPr>
      </w:pPr>
    </w:p>
    <w:p w:rsidR="00070FC5" w:rsidRPr="00CC73F3" w:rsidRDefault="00070FC5" w:rsidP="00D639F5">
      <w:pPr>
        <w:pStyle w:val="Heading3"/>
      </w:pPr>
      <w:bookmarkStart w:id="98" w:name="_Toc420572611"/>
      <w:r w:rsidRPr="00CC73F3">
        <w:t>Hypothesis Tests for the Regulatory Focus by Reflexivity Interaction</w:t>
      </w:r>
      <w:bookmarkEnd w:id="98"/>
    </w:p>
    <w:p w:rsidR="00070FC5" w:rsidRPr="00CC73F3" w:rsidRDefault="00070FC5" w:rsidP="00D639F5">
      <w:pPr>
        <w:spacing w:line="480" w:lineRule="auto"/>
        <w:rPr>
          <w:rFonts w:eastAsia="Calibri"/>
          <w:szCs w:val="22"/>
        </w:rPr>
      </w:pPr>
      <w:r w:rsidRPr="00CC73F3">
        <w:rPr>
          <w:rFonts w:eastAsia="Calibri"/>
          <w:szCs w:val="22"/>
        </w:rPr>
        <w:tab/>
        <w:t>Hypothesis 3 states that being highly reflexive will have a negative effect on promotion-oriented team assessment accuracy, but a positive effect on Prevention-oriented team assessment accuracy. This hypothesis was tested separately for the novelty (H3a), meaningfulness (H3b), and feasibility (H3c) dimensions.</w:t>
      </w:r>
    </w:p>
    <w:p w:rsidR="00070FC5" w:rsidRPr="00CC73F3" w:rsidRDefault="00070FC5" w:rsidP="00D639F5">
      <w:pPr>
        <w:spacing w:line="480" w:lineRule="auto"/>
        <w:rPr>
          <w:rFonts w:eastAsia="Calibri"/>
          <w:szCs w:val="22"/>
        </w:rPr>
      </w:pPr>
      <w:r w:rsidRPr="00CC73F3">
        <w:rPr>
          <w:rFonts w:eastAsia="Calibri"/>
          <w:i/>
          <w:szCs w:val="22"/>
        </w:rPr>
        <w:tab/>
      </w:r>
      <w:r w:rsidRPr="00CC73F3">
        <w:rPr>
          <w:rFonts w:eastAsia="Calibri"/>
          <w:szCs w:val="22"/>
        </w:rPr>
        <w:t>For the novelty dimension, the interaction between group regulatory focus and reflexivity was not significant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1,151) = .03,</w:t>
      </w:r>
      <w:r w:rsidRPr="00CC73F3">
        <w:rPr>
          <w:rFonts w:eastAsia="Calibri"/>
          <w:i/>
          <w:szCs w:val="22"/>
        </w:rPr>
        <w:t xml:space="preserve"> </w:t>
      </w:r>
      <w:r w:rsidRPr="00CC73F3">
        <w:rPr>
          <w:rFonts w:eastAsia="Calibri"/>
          <w:szCs w:val="22"/>
        </w:rPr>
        <w:t xml:space="preserve">NS), thus </w:t>
      </w:r>
      <w:r w:rsidRPr="00CC73F3">
        <w:rPr>
          <w:rFonts w:eastAsia="Calibri"/>
          <w:i/>
          <w:szCs w:val="22"/>
        </w:rPr>
        <w:t xml:space="preserve">H3a </w:t>
      </w:r>
      <w:r w:rsidRPr="00CC73F3">
        <w:rPr>
          <w:rFonts w:eastAsia="Calibri"/>
          <w:szCs w:val="22"/>
        </w:rPr>
        <w:t>is not supported. For the meaningfulness dimension, however, the interaction between group regulatory focus and reflexivity was significant (</w:t>
      </w:r>
      <w:r w:rsidRPr="00CC73F3">
        <w:rPr>
          <w:rFonts w:eastAsia="Calibri"/>
          <w:i/>
          <w:szCs w:val="22"/>
        </w:rPr>
        <w:t>F</w:t>
      </w:r>
      <w:r w:rsidRPr="00CC73F3">
        <w:rPr>
          <w:rFonts w:eastAsia="Calibri"/>
          <w:szCs w:val="22"/>
        </w:rPr>
        <w:t>(1,151) = 4.22,</w:t>
      </w:r>
      <w:r w:rsidRPr="00CC73F3">
        <w:rPr>
          <w:rFonts w:eastAsia="Calibri"/>
          <w:i/>
          <w:szCs w:val="22"/>
        </w:rPr>
        <w:t xml:space="preserve"> p</w:t>
      </w:r>
      <w:r w:rsidRPr="00CC73F3">
        <w:rPr>
          <w:rFonts w:eastAsia="Calibri"/>
          <w:szCs w:val="22"/>
        </w:rPr>
        <w:t xml:space="preserve">= .04, </w:t>
      </w:r>
      <w:r w:rsidRPr="00CC73F3">
        <w:rPr>
          <w:rFonts w:ascii="Calibri" w:eastAsia="Calibri" w:hAnsi="Calibri"/>
          <w:i/>
          <w:szCs w:val="22"/>
        </w:rPr>
        <w:t>η</w:t>
      </w:r>
      <w:r w:rsidRPr="00CC73F3">
        <w:rPr>
          <w:rFonts w:eastAsia="Calibri"/>
          <w:i/>
          <w:szCs w:val="22"/>
          <w:vertAlign w:val="superscript"/>
        </w:rPr>
        <w:t>2</w:t>
      </w:r>
      <w:r w:rsidRPr="00CC73F3">
        <w:rPr>
          <w:rFonts w:eastAsia="Calibri"/>
          <w:szCs w:val="22"/>
        </w:rPr>
        <w:t xml:space="preserve"> = .03), such that at high levels of reflexivity, Prevention-focused teams were significantly more accurate than Promotion-focused teams, while there was no difference between the Prevention and Promotion groups at low levels of reflexivity. As such, </w:t>
      </w:r>
      <w:r w:rsidRPr="00CC73F3">
        <w:rPr>
          <w:rFonts w:eastAsia="Calibri"/>
          <w:i/>
          <w:szCs w:val="22"/>
        </w:rPr>
        <w:t xml:space="preserve">H3b </w:t>
      </w:r>
      <w:r w:rsidRPr="00CC73F3">
        <w:rPr>
          <w:rFonts w:eastAsia="Calibri"/>
          <w:szCs w:val="22"/>
        </w:rPr>
        <w:t>is supported. The interaction is shown in Figure 6. For the feasibility dimension, the interaction between group regulatory focus and reflexivity was not significant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1,151) = .003,</w:t>
      </w:r>
      <w:r w:rsidRPr="00CC73F3">
        <w:rPr>
          <w:rFonts w:eastAsia="Calibri"/>
          <w:i/>
          <w:szCs w:val="22"/>
        </w:rPr>
        <w:t xml:space="preserve"> </w:t>
      </w:r>
      <w:r w:rsidRPr="00CC73F3">
        <w:rPr>
          <w:rFonts w:eastAsia="Calibri"/>
          <w:szCs w:val="22"/>
        </w:rPr>
        <w:t xml:space="preserve">NS), thus </w:t>
      </w:r>
      <w:r w:rsidRPr="00CC73F3">
        <w:rPr>
          <w:rFonts w:eastAsia="Calibri"/>
          <w:i/>
          <w:szCs w:val="22"/>
        </w:rPr>
        <w:t xml:space="preserve">H3c </w:t>
      </w:r>
      <w:r w:rsidRPr="00CC73F3">
        <w:rPr>
          <w:rFonts w:eastAsia="Calibri"/>
          <w:szCs w:val="22"/>
        </w:rPr>
        <w:t>is not supported.</w:t>
      </w:r>
    </w:p>
    <w:p w:rsidR="00070FC5" w:rsidRPr="00CC73F3" w:rsidRDefault="007E2E0A" w:rsidP="00D639F5">
      <w:pPr>
        <w:autoSpaceDE w:val="0"/>
        <w:autoSpaceDN w:val="0"/>
        <w:adjustRightInd w:val="0"/>
        <w:jc w:val="center"/>
      </w:pPr>
      <w:bookmarkStart w:id="99" w:name="_Toc418955200"/>
      <w:r>
        <w:pict>
          <v:shape id="_x0000_i1033" type="#_x0000_t75" style="width:426pt;height:314.25pt">
            <v:imagedata r:id="rId18" o:title="" croptop="3546f" cropbottom="6961f" cropright="5881f"/>
          </v:shape>
        </w:pict>
      </w:r>
    </w:p>
    <w:p w:rsidR="00070FC5" w:rsidRPr="00CC73F3" w:rsidRDefault="00070FC5" w:rsidP="00D639F5">
      <w:pPr>
        <w:autoSpaceDE w:val="0"/>
        <w:autoSpaceDN w:val="0"/>
        <w:adjustRightInd w:val="0"/>
      </w:pPr>
    </w:p>
    <w:p w:rsidR="00070FC5" w:rsidRPr="00CC73F3" w:rsidRDefault="00070FC5" w:rsidP="00D639F5">
      <w:pPr>
        <w:pStyle w:val="Caption"/>
        <w:rPr>
          <w:rFonts w:eastAsia="Calibri"/>
        </w:rPr>
      </w:pPr>
      <w:bookmarkStart w:id="100" w:name="_Toc420524236"/>
      <w:proofErr w:type="gramStart"/>
      <w:r w:rsidRPr="00CC73F3">
        <w:t xml:space="preserve">Figure </w:t>
      </w:r>
      <w:fldSimple w:instr=" SEQ Figure \* ARABIC ">
        <w:r w:rsidRPr="00CC73F3">
          <w:rPr>
            <w:noProof/>
          </w:rPr>
          <w:t>6</w:t>
        </w:r>
      </w:fldSimple>
      <w:r w:rsidRPr="00CC73F3">
        <w:rPr>
          <w:rFonts w:eastAsia="Calibri"/>
        </w:rPr>
        <w:t>.</w:t>
      </w:r>
      <w:proofErr w:type="gramEnd"/>
      <w:r w:rsidRPr="00CC73F3">
        <w:rPr>
          <w:rFonts w:eastAsia="Calibri"/>
        </w:rPr>
        <w:t xml:space="preserve"> Interaction between Regulatory Focus and Reflexivity on Meaningfulness</w:t>
      </w:r>
      <w:bookmarkEnd w:id="100"/>
    </w:p>
    <w:p w:rsidR="00070FC5" w:rsidRPr="00CC73F3" w:rsidRDefault="00070FC5" w:rsidP="00D639F5">
      <w:pPr>
        <w:pStyle w:val="Heading3"/>
      </w:pPr>
    </w:p>
    <w:p w:rsidR="00070FC5" w:rsidRPr="00CC73F3" w:rsidRDefault="00070FC5" w:rsidP="00D639F5">
      <w:pPr>
        <w:pStyle w:val="Heading3"/>
      </w:pPr>
      <w:bookmarkStart w:id="101" w:name="_Toc420572612"/>
      <w:r w:rsidRPr="00CC73F3">
        <w:t>Study 1 Summary of Findings</w:t>
      </w:r>
      <w:bookmarkEnd w:id="99"/>
      <w:bookmarkEnd w:id="101"/>
    </w:p>
    <w:p w:rsidR="00070FC5" w:rsidRPr="00CC73F3" w:rsidRDefault="00070FC5" w:rsidP="00D639F5">
      <w:pPr>
        <w:spacing w:line="480" w:lineRule="auto"/>
        <w:rPr>
          <w:rFonts w:eastAsia="Calibri"/>
          <w:szCs w:val="22"/>
        </w:rPr>
      </w:pPr>
      <w:r w:rsidRPr="00CC73F3">
        <w:rPr>
          <w:rFonts w:eastAsia="Calibri"/>
          <w:szCs w:val="22"/>
        </w:rPr>
        <w:tab/>
        <w:t>Overall, three of the 9 hypotheses for Study 1 were fully or marginally supported. As predicted, a prevention group orientation resulted in significantly more accurate ratings of product feasibility (</w:t>
      </w:r>
      <w:r w:rsidRPr="00CC73F3">
        <w:rPr>
          <w:rFonts w:eastAsia="Calibri"/>
          <w:i/>
          <w:szCs w:val="22"/>
        </w:rPr>
        <w:t>H1c</w:t>
      </w:r>
      <w:r w:rsidRPr="00CC73F3">
        <w:rPr>
          <w:rFonts w:eastAsia="Calibri"/>
          <w:szCs w:val="22"/>
        </w:rPr>
        <w:t>), and marginally more significant ratings of product meaningfulness (</w:t>
      </w:r>
      <w:r w:rsidRPr="00CC73F3">
        <w:rPr>
          <w:rFonts w:eastAsia="Calibri"/>
          <w:i/>
          <w:szCs w:val="22"/>
        </w:rPr>
        <w:t>H1b</w:t>
      </w:r>
      <w:r w:rsidRPr="00CC73F3">
        <w:rPr>
          <w:rFonts w:eastAsia="Calibri"/>
          <w:szCs w:val="22"/>
        </w:rPr>
        <w:t>). Further, the interaction between regulatory focus and reflexivity was significant for the meaningfulness dimension such that prevention focused team were significantly more accurate than promotion focused teams at high levels of reflexivity. A summary of the hypothesis tests is shown in Table 22.</w:t>
      </w:r>
      <w:r w:rsidRPr="00CC73F3">
        <w:rPr>
          <w:rFonts w:eastAsia="Calibri"/>
          <w:szCs w:val="22"/>
        </w:rPr>
        <w:tab/>
      </w:r>
    </w:p>
    <w:p w:rsidR="00070FC5" w:rsidRPr="00CC73F3" w:rsidRDefault="00070FC5" w:rsidP="00D639F5">
      <w:pPr>
        <w:pStyle w:val="Caption"/>
        <w:rPr>
          <w:rFonts w:eastAsia="Calibri"/>
        </w:rPr>
      </w:pPr>
      <w:bookmarkStart w:id="102" w:name="_Toc420570947"/>
      <w:proofErr w:type="gramStart"/>
      <w:r w:rsidRPr="00CC73F3">
        <w:t xml:space="preserve">Table </w:t>
      </w:r>
      <w:fldSimple w:instr=" SEQ Table \* ARABIC ">
        <w:r w:rsidRPr="00CC73F3">
          <w:rPr>
            <w:noProof/>
          </w:rPr>
          <w:t>22</w:t>
        </w:r>
      </w:fldSimple>
      <w:r w:rsidRPr="00CC73F3">
        <w:rPr>
          <w:rFonts w:eastAsia="Calibri"/>
        </w:rPr>
        <w:t>.</w:t>
      </w:r>
      <w:proofErr w:type="gramEnd"/>
      <w:r w:rsidRPr="00CC73F3">
        <w:rPr>
          <w:rFonts w:eastAsia="Calibri"/>
        </w:rPr>
        <w:t xml:space="preserve"> Summary of Study 1 Hypothesis Tests</w:t>
      </w:r>
      <w:bookmarkEnd w:id="102"/>
    </w:p>
    <w:p w:rsidR="00070FC5" w:rsidRPr="00CC73F3" w:rsidRDefault="00070FC5" w:rsidP="00D639F5">
      <w:pPr>
        <w:rPr>
          <w:rFonts w:eastAsia="Calibri"/>
          <w:szCs w:val="22"/>
        </w:rPr>
      </w:pPr>
    </w:p>
    <w:tbl>
      <w:tblPr>
        <w:tblW w:w="4610" w:type="pct"/>
        <w:jc w:val="center"/>
        <w:tblInd w:w="748" w:type="dxa"/>
        <w:tblLook w:val="04A0" w:firstRow="1" w:lastRow="0" w:firstColumn="1" w:lastColumn="0" w:noHBand="0" w:noVBand="1"/>
      </w:tblPr>
      <w:tblGrid>
        <w:gridCol w:w="5841"/>
        <w:gridCol w:w="2988"/>
      </w:tblGrid>
      <w:tr w:rsidR="00070FC5" w:rsidRPr="00CC73F3" w:rsidTr="00D639F5">
        <w:trPr>
          <w:jc w:val="center"/>
        </w:trPr>
        <w:tc>
          <w:tcPr>
            <w:tcW w:w="3308" w:type="pct"/>
            <w:tcBorders>
              <w:top w:val="single" w:sz="18" w:space="0" w:color="auto"/>
              <w:bottom w:val="single" w:sz="18" w:space="0" w:color="auto"/>
            </w:tcBorders>
            <w:shd w:val="clear" w:color="auto" w:fill="auto"/>
          </w:tcPr>
          <w:p w:rsidR="00070FC5" w:rsidRPr="00CC73F3" w:rsidRDefault="00070FC5" w:rsidP="00D639F5">
            <w:pPr>
              <w:rPr>
                <w:rFonts w:eastAsia="Calibri"/>
                <w:b/>
              </w:rPr>
            </w:pPr>
            <w:r w:rsidRPr="00CC73F3">
              <w:rPr>
                <w:rFonts w:eastAsia="Calibri"/>
                <w:b/>
              </w:rPr>
              <w:t>Hypothesis</w:t>
            </w:r>
          </w:p>
        </w:tc>
        <w:tc>
          <w:tcPr>
            <w:tcW w:w="1692" w:type="pct"/>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Finding</w:t>
            </w:r>
          </w:p>
        </w:tc>
      </w:tr>
      <w:tr w:rsidR="00070FC5" w:rsidRPr="00CC73F3" w:rsidTr="00D639F5">
        <w:trPr>
          <w:trHeight w:val="432"/>
          <w:jc w:val="center"/>
        </w:trPr>
        <w:tc>
          <w:tcPr>
            <w:tcW w:w="3308" w:type="pct"/>
            <w:tcBorders>
              <w:top w:val="single" w:sz="18" w:space="0" w:color="auto"/>
            </w:tcBorders>
            <w:shd w:val="clear" w:color="auto" w:fill="auto"/>
            <w:vAlign w:val="center"/>
          </w:tcPr>
          <w:p w:rsidR="00070FC5" w:rsidRPr="00CC73F3" w:rsidRDefault="00070FC5" w:rsidP="00D639F5">
            <w:pPr>
              <w:tabs>
                <w:tab w:val="left" w:pos="722"/>
              </w:tabs>
              <w:rPr>
                <w:rFonts w:eastAsia="Calibri"/>
              </w:rPr>
            </w:pPr>
            <w:r w:rsidRPr="00CC73F3">
              <w:rPr>
                <w:rFonts w:eastAsia="Calibri"/>
              </w:rPr>
              <w:t xml:space="preserve">H1a: Promotion </w:t>
            </w:r>
            <w:r w:rsidRPr="00CC73F3">
              <w:rPr>
                <w:rFonts w:eastAsia="Calibri"/>
              </w:rPr>
              <w:sym w:font="Wingdings" w:char="F0E0"/>
            </w:r>
            <w:r w:rsidRPr="00CC73F3">
              <w:rPr>
                <w:rFonts w:eastAsia="Calibri"/>
              </w:rPr>
              <w:t xml:space="preserve"> Novelty</w:t>
            </w:r>
          </w:p>
        </w:tc>
        <w:tc>
          <w:tcPr>
            <w:tcW w:w="1692" w:type="pct"/>
            <w:tcBorders>
              <w:top w:val="single" w:sz="18"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not significant</w:t>
            </w:r>
          </w:p>
        </w:tc>
      </w:tr>
      <w:tr w:rsidR="00070FC5" w:rsidRPr="00CC73F3" w:rsidTr="00D639F5">
        <w:trPr>
          <w:trHeight w:val="432"/>
          <w:jc w:val="center"/>
        </w:trPr>
        <w:tc>
          <w:tcPr>
            <w:tcW w:w="3308" w:type="pct"/>
            <w:shd w:val="clear" w:color="auto" w:fill="auto"/>
            <w:vAlign w:val="center"/>
          </w:tcPr>
          <w:p w:rsidR="00070FC5" w:rsidRPr="00CC73F3" w:rsidRDefault="00070FC5" w:rsidP="00D639F5">
            <w:pPr>
              <w:rPr>
                <w:rFonts w:eastAsia="Calibri"/>
              </w:rPr>
            </w:pPr>
            <w:r w:rsidRPr="00CC73F3">
              <w:rPr>
                <w:rFonts w:eastAsia="Calibri"/>
              </w:rPr>
              <w:t xml:space="preserve">H1b: Prevention </w:t>
            </w:r>
            <w:r w:rsidRPr="00CC73F3">
              <w:rPr>
                <w:rFonts w:eastAsia="Calibri"/>
              </w:rPr>
              <w:sym w:font="Wingdings" w:char="F0E0"/>
            </w:r>
            <w:r w:rsidRPr="00CC73F3">
              <w:rPr>
                <w:rFonts w:eastAsia="Calibri"/>
              </w:rPr>
              <w:t xml:space="preserve"> Meaningfulness</w:t>
            </w:r>
          </w:p>
        </w:tc>
        <w:tc>
          <w:tcPr>
            <w:tcW w:w="1692" w:type="pct"/>
            <w:shd w:val="clear" w:color="auto" w:fill="auto"/>
            <w:vAlign w:val="center"/>
          </w:tcPr>
          <w:p w:rsidR="00070FC5" w:rsidRPr="00CC73F3" w:rsidRDefault="00070FC5" w:rsidP="00D639F5">
            <w:pPr>
              <w:jc w:val="center"/>
              <w:rPr>
                <w:rFonts w:eastAsia="Calibri"/>
                <w:b/>
              </w:rPr>
            </w:pPr>
            <w:r w:rsidRPr="00CC73F3">
              <w:rPr>
                <w:rFonts w:eastAsia="Calibri"/>
                <w:b/>
              </w:rPr>
              <w:t>supported at p &lt; .10 level</w:t>
            </w:r>
          </w:p>
        </w:tc>
      </w:tr>
      <w:tr w:rsidR="00070FC5" w:rsidRPr="00CC73F3" w:rsidTr="00D639F5">
        <w:trPr>
          <w:trHeight w:val="432"/>
          <w:jc w:val="center"/>
        </w:trPr>
        <w:tc>
          <w:tcPr>
            <w:tcW w:w="3308" w:type="pct"/>
            <w:shd w:val="clear" w:color="auto" w:fill="auto"/>
            <w:vAlign w:val="center"/>
          </w:tcPr>
          <w:p w:rsidR="00070FC5" w:rsidRPr="00CC73F3" w:rsidRDefault="00070FC5" w:rsidP="00D639F5">
            <w:pPr>
              <w:rPr>
                <w:rFonts w:eastAsia="Calibri"/>
              </w:rPr>
            </w:pPr>
            <w:r w:rsidRPr="00CC73F3">
              <w:rPr>
                <w:rFonts w:eastAsia="Calibri"/>
              </w:rPr>
              <w:t xml:space="preserve">H1c: Prevention </w:t>
            </w:r>
            <w:r w:rsidRPr="00CC73F3">
              <w:rPr>
                <w:rFonts w:eastAsia="Calibri"/>
              </w:rPr>
              <w:sym w:font="Wingdings" w:char="F0E0"/>
            </w:r>
            <w:r w:rsidRPr="00CC73F3">
              <w:rPr>
                <w:rFonts w:eastAsia="Calibri"/>
              </w:rPr>
              <w:t xml:space="preserve"> Feasibility</w:t>
            </w:r>
          </w:p>
        </w:tc>
        <w:tc>
          <w:tcPr>
            <w:tcW w:w="1692" w:type="pct"/>
            <w:shd w:val="clear" w:color="auto" w:fill="auto"/>
            <w:vAlign w:val="center"/>
          </w:tcPr>
          <w:p w:rsidR="00070FC5" w:rsidRPr="00CC73F3" w:rsidRDefault="00070FC5" w:rsidP="00D639F5">
            <w:pPr>
              <w:jc w:val="center"/>
              <w:rPr>
                <w:rFonts w:eastAsia="Calibri"/>
                <w:b/>
              </w:rPr>
            </w:pPr>
            <w:r w:rsidRPr="00CC73F3">
              <w:rPr>
                <w:rFonts w:eastAsia="Calibri"/>
                <w:b/>
              </w:rPr>
              <w:t>supported at p &lt; .01 level</w:t>
            </w:r>
          </w:p>
        </w:tc>
      </w:tr>
      <w:tr w:rsidR="00070FC5" w:rsidRPr="00CC73F3" w:rsidTr="00D639F5">
        <w:trPr>
          <w:trHeight w:val="432"/>
          <w:jc w:val="center"/>
        </w:trPr>
        <w:tc>
          <w:tcPr>
            <w:tcW w:w="3308" w:type="pct"/>
            <w:shd w:val="clear" w:color="auto" w:fill="auto"/>
            <w:vAlign w:val="center"/>
          </w:tcPr>
          <w:p w:rsidR="00070FC5" w:rsidRPr="00CC73F3" w:rsidRDefault="00070FC5" w:rsidP="00D639F5">
            <w:pPr>
              <w:rPr>
                <w:rFonts w:eastAsia="Calibri"/>
              </w:rPr>
            </w:pPr>
            <w:r w:rsidRPr="00CC73F3">
              <w:rPr>
                <w:rFonts w:eastAsia="Calibri"/>
              </w:rPr>
              <w:t xml:space="preserve">H2a: High Reflexivity </w:t>
            </w:r>
            <w:r w:rsidRPr="00CC73F3">
              <w:rPr>
                <w:rFonts w:eastAsia="Calibri"/>
              </w:rPr>
              <w:sym w:font="Wingdings" w:char="F0E0"/>
            </w:r>
            <w:r w:rsidRPr="00CC73F3">
              <w:rPr>
                <w:rFonts w:eastAsia="Calibri"/>
              </w:rPr>
              <w:t xml:space="preserve"> Novelty</w:t>
            </w:r>
          </w:p>
        </w:tc>
        <w:tc>
          <w:tcPr>
            <w:tcW w:w="1692" w:type="pct"/>
            <w:shd w:val="clear" w:color="auto" w:fill="auto"/>
            <w:vAlign w:val="center"/>
          </w:tcPr>
          <w:p w:rsidR="00070FC5" w:rsidRPr="00CC73F3" w:rsidRDefault="00070FC5" w:rsidP="00D639F5">
            <w:pPr>
              <w:jc w:val="center"/>
              <w:rPr>
                <w:rFonts w:eastAsia="Calibri"/>
                <w:i/>
              </w:rPr>
            </w:pPr>
            <w:r w:rsidRPr="00CC73F3">
              <w:rPr>
                <w:rFonts w:eastAsia="Calibri"/>
                <w:i/>
              </w:rPr>
              <w:t>not significant</w:t>
            </w:r>
          </w:p>
        </w:tc>
      </w:tr>
      <w:tr w:rsidR="00070FC5" w:rsidRPr="00CC73F3" w:rsidTr="00D639F5">
        <w:trPr>
          <w:trHeight w:val="432"/>
          <w:jc w:val="center"/>
        </w:trPr>
        <w:tc>
          <w:tcPr>
            <w:tcW w:w="3308" w:type="pct"/>
            <w:shd w:val="clear" w:color="auto" w:fill="auto"/>
            <w:vAlign w:val="center"/>
          </w:tcPr>
          <w:p w:rsidR="00070FC5" w:rsidRPr="00CC73F3" w:rsidRDefault="00070FC5" w:rsidP="00D639F5">
            <w:pPr>
              <w:rPr>
                <w:rFonts w:eastAsia="Calibri"/>
              </w:rPr>
            </w:pPr>
            <w:r w:rsidRPr="00CC73F3">
              <w:rPr>
                <w:rFonts w:eastAsia="Calibri"/>
              </w:rPr>
              <w:t xml:space="preserve">H2b: High Reflexivity </w:t>
            </w:r>
            <w:r w:rsidRPr="00CC73F3">
              <w:rPr>
                <w:rFonts w:eastAsia="Calibri"/>
              </w:rPr>
              <w:sym w:font="Wingdings" w:char="F0E0"/>
            </w:r>
            <w:r w:rsidRPr="00CC73F3">
              <w:rPr>
                <w:rFonts w:eastAsia="Calibri"/>
              </w:rPr>
              <w:t xml:space="preserve"> Meaningfulness</w:t>
            </w:r>
          </w:p>
        </w:tc>
        <w:tc>
          <w:tcPr>
            <w:tcW w:w="1692" w:type="pct"/>
            <w:shd w:val="clear" w:color="auto" w:fill="auto"/>
            <w:vAlign w:val="center"/>
          </w:tcPr>
          <w:p w:rsidR="00070FC5" w:rsidRPr="00CC73F3" w:rsidRDefault="00070FC5" w:rsidP="00D639F5">
            <w:pPr>
              <w:jc w:val="center"/>
              <w:rPr>
                <w:rFonts w:eastAsia="Calibri"/>
                <w:i/>
              </w:rPr>
            </w:pPr>
            <w:r w:rsidRPr="00CC73F3">
              <w:rPr>
                <w:rFonts w:eastAsia="Calibri"/>
                <w:i/>
              </w:rPr>
              <w:t>not significant</w:t>
            </w:r>
          </w:p>
        </w:tc>
      </w:tr>
      <w:tr w:rsidR="00070FC5" w:rsidRPr="00CC73F3" w:rsidTr="00D639F5">
        <w:trPr>
          <w:trHeight w:val="432"/>
          <w:jc w:val="center"/>
        </w:trPr>
        <w:tc>
          <w:tcPr>
            <w:tcW w:w="3308" w:type="pct"/>
            <w:shd w:val="clear" w:color="auto" w:fill="auto"/>
            <w:vAlign w:val="center"/>
          </w:tcPr>
          <w:p w:rsidR="00070FC5" w:rsidRPr="00CC73F3" w:rsidRDefault="00070FC5" w:rsidP="00D639F5">
            <w:pPr>
              <w:rPr>
                <w:rFonts w:eastAsia="Calibri"/>
              </w:rPr>
            </w:pPr>
            <w:r w:rsidRPr="00CC73F3">
              <w:rPr>
                <w:rFonts w:eastAsia="Calibri"/>
              </w:rPr>
              <w:t xml:space="preserve">H2c: High Reflexivity </w:t>
            </w:r>
            <w:r w:rsidRPr="00CC73F3">
              <w:rPr>
                <w:rFonts w:eastAsia="Calibri"/>
              </w:rPr>
              <w:sym w:font="Wingdings" w:char="F0E0"/>
            </w:r>
            <w:r w:rsidRPr="00CC73F3">
              <w:rPr>
                <w:rFonts w:eastAsia="Calibri"/>
              </w:rPr>
              <w:t xml:space="preserve"> Feasibility</w:t>
            </w:r>
          </w:p>
        </w:tc>
        <w:tc>
          <w:tcPr>
            <w:tcW w:w="1692" w:type="pct"/>
            <w:shd w:val="clear" w:color="auto" w:fill="auto"/>
            <w:vAlign w:val="center"/>
          </w:tcPr>
          <w:p w:rsidR="00070FC5" w:rsidRPr="00CC73F3" w:rsidRDefault="00070FC5" w:rsidP="00D639F5">
            <w:pPr>
              <w:jc w:val="center"/>
              <w:rPr>
                <w:rFonts w:eastAsia="Calibri"/>
                <w:i/>
              </w:rPr>
            </w:pPr>
            <w:r w:rsidRPr="00CC73F3">
              <w:rPr>
                <w:rFonts w:eastAsia="Calibri"/>
                <w:i/>
              </w:rPr>
              <w:t>not significant</w:t>
            </w:r>
          </w:p>
        </w:tc>
      </w:tr>
      <w:tr w:rsidR="00070FC5" w:rsidRPr="00CC73F3" w:rsidTr="00D639F5">
        <w:trPr>
          <w:trHeight w:val="432"/>
          <w:jc w:val="center"/>
        </w:trPr>
        <w:tc>
          <w:tcPr>
            <w:tcW w:w="3308" w:type="pct"/>
            <w:shd w:val="clear" w:color="auto" w:fill="auto"/>
            <w:vAlign w:val="center"/>
          </w:tcPr>
          <w:p w:rsidR="00070FC5" w:rsidRPr="00CC73F3" w:rsidRDefault="00070FC5" w:rsidP="00D639F5">
            <w:pPr>
              <w:rPr>
                <w:rFonts w:eastAsia="Calibri"/>
              </w:rPr>
            </w:pPr>
            <w:r w:rsidRPr="00CC73F3">
              <w:rPr>
                <w:rFonts w:eastAsia="Calibri"/>
              </w:rPr>
              <w:t xml:space="preserve">H3a: Prevention x High Reflexivity </w:t>
            </w:r>
            <w:r w:rsidRPr="00CC73F3">
              <w:rPr>
                <w:rFonts w:eastAsia="Calibri"/>
              </w:rPr>
              <w:sym w:font="Wingdings" w:char="F0E0"/>
            </w:r>
            <w:r w:rsidRPr="00CC73F3">
              <w:rPr>
                <w:rFonts w:eastAsia="Calibri"/>
              </w:rPr>
              <w:t xml:space="preserve"> Novelty</w:t>
            </w:r>
          </w:p>
        </w:tc>
        <w:tc>
          <w:tcPr>
            <w:tcW w:w="1692" w:type="pct"/>
            <w:shd w:val="clear" w:color="auto" w:fill="auto"/>
            <w:vAlign w:val="center"/>
          </w:tcPr>
          <w:p w:rsidR="00070FC5" w:rsidRPr="00CC73F3" w:rsidRDefault="00070FC5" w:rsidP="00D639F5">
            <w:pPr>
              <w:jc w:val="center"/>
              <w:rPr>
                <w:rFonts w:eastAsia="Calibri"/>
                <w:i/>
              </w:rPr>
            </w:pPr>
            <w:r w:rsidRPr="00CC73F3">
              <w:rPr>
                <w:rFonts w:eastAsia="Calibri"/>
                <w:i/>
              </w:rPr>
              <w:t>not significant</w:t>
            </w:r>
          </w:p>
        </w:tc>
      </w:tr>
      <w:tr w:rsidR="00070FC5" w:rsidRPr="00CC73F3" w:rsidTr="00D639F5">
        <w:trPr>
          <w:trHeight w:val="432"/>
          <w:jc w:val="center"/>
        </w:trPr>
        <w:tc>
          <w:tcPr>
            <w:tcW w:w="3308" w:type="pct"/>
            <w:shd w:val="clear" w:color="auto" w:fill="auto"/>
            <w:vAlign w:val="center"/>
          </w:tcPr>
          <w:p w:rsidR="00070FC5" w:rsidRPr="00CC73F3" w:rsidRDefault="00070FC5" w:rsidP="00D639F5">
            <w:pPr>
              <w:rPr>
                <w:rFonts w:eastAsia="Calibri"/>
              </w:rPr>
            </w:pPr>
            <w:r w:rsidRPr="00CC73F3">
              <w:rPr>
                <w:rFonts w:eastAsia="Calibri"/>
              </w:rPr>
              <w:t xml:space="preserve">H3b: Prevention x High Reflexivity  </w:t>
            </w:r>
            <w:r w:rsidRPr="00CC73F3">
              <w:rPr>
                <w:rFonts w:eastAsia="Calibri"/>
              </w:rPr>
              <w:sym w:font="Wingdings" w:char="F0E0"/>
            </w:r>
            <w:r w:rsidRPr="00CC73F3">
              <w:rPr>
                <w:rFonts w:eastAsia="Calibri"/>
              </w:rPr>
              <w:t xml:space="preserve"> Meaningfulness</w:t>
            </w:r>
          </w:p>
        </w:tc>
        <w:tc>
          <w:tcPr>
            <w:tcW w:w="1692" w:type="pct"/>
            <w:shd w:val="clear" w:color="auto" w:fill="auto"/>
            <w:vAlign w:val="center"/>
          </w:tcPr>
          <w:p w:rsidR="00070FC5" w:rsidRPr="00CC73F3" w:rsidRDefault="00070FC5" w:rsidP="00D639F5">
            <w:pPr>
              <w:jc w:val="center"/>
              <w:rPr>
                <w:rFonts w:eastAsia="Calibri"/>
                <w:b/>
              </w:rPr>
            </w:pPr>
            <w:r w:rsidRPr="00CC73F3">
              <w:rPr>
                <w:rFonts w:eastAsia="Calibri"/>
                <w:b/>
              </w:rPr>
              <w:t>supported at p &lt; .05 level</w:t>
            </w:r>
          </w:p>
        </w:tc>
      </w:tr>
      <w:tr w:rsidR="00070FC5" w:rsidRPr="00CC73F3" w:rsidTr="00D639F5">
        <w:trPr>
          <w:trHeight w:val="432"/>
          <w:jc w:val="center"/>
        </w:trPr>
        <w:tc>
          <w:tcPr>
            <w:tcW w:w="3308" w:type="pct"/>
            <w:tcBorders>
              <w:bottom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 xml:space="preserve">H3c: Prevention x High Reflexivity  </w:t>
            </w:r>
            <w:r w:rsidRPr="00CC73F3">
              <w:rPr>
                <w:rFonts w:eastAsia="Calibri"/>
              </w:rPr>
              <w:sym w:font="Wingdings" w:char="F0E0"/>
            </w:r>
            <w:r w:rsidRPr="00CC73F3">
              <w:rPr>
                <w:rFonts w:eastAsia="Calibri"/>
              </w:rPr>
              <w:t xml:space="preserve"> Feasibility</w:t>
            </w:r>
          </w:p>
        </w:tc>
        <w:tc>
          <w:tcPr>
            <w:tcW w:w="1692" w:type="pct"/>
            <w:tcBorders>
              <w:bottom w:val="single" w:sz="18"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not significant</w:t>
            </w:r>
          </w:p>
        </w:tc>
      </w:tr>
    </w:tbl>
    <w:p w:rsidR="00070FC5" w:rsidRPr="00CC73F3" w:rsidRDefault="00070FC5" w:rsidP="00D639F5">
      <w:pPr>
        <w:spacing w:line="480" w:lineRule="auto"/>
        <w:rPr>
          <w:rFonts w:eastAsia="Calibri"/>
          <w:b/>
          <w:szCs w:val="22"/>
        </w:rPr>
      </w:pPr>
    </w:p>
    <w:p w:rsidR="00070FC5" w:rsidRPr="00CC73F3" w:rsidRDefault="00070FC5" w:rsidP="00D639F5">
      <w:pPr>
        <w:pStyle w:val="Heading2"/>
      </w:pPr>
      <w:bookmarkStart w:id="103" w:name="_Toc420572613"/>
      <w:r w:rsidRPr="00CC73F3">
        <w:t>Study 2</w:t>
      </w:r>
      <w:bookmarkEnd w:id="103"/>
    </w:p>
    <w:p w:rsidR="00070FC5" w:rsidRPr="00CC73F3" w:rsidRDefault="00070FC5" w:rsidP="00D639F5">
      <w:pPr>
        <w:spacing w:line="480" w:lineRule="auto"/>
        <w:rPr>
          <w:rFonts w:eastAsia="Calibri"/>
          <w:szCs w:val="22"/>
        </w:rPr>
      </w:pPr>
      <w:r w:rsidRPr="00CC73F3">
        <w:rPr>
          <w:rFonts w:eastAsia="Calibri"/>
          <w:szCs w:val="22"/>
        </w:rPr>
        <w:tab/>
        <w:t xml:space="preserve">Study 2 was a 2 x 2 between subject experiments. In Study 1, teams were primed to exhibit either a prevention or promotion orientation and to exercise high or low reflexivity in their group decision-making. In Study 2, teams were asked to complete a second group decision exercise under the same conditions, and given a short reminder to reinforce the priming they received at the start of the activity for both regulatory focus and reflexivity. </w:t>
      </w:r>
    </w:p>
    <w:p w:rsidR="00070FC5" w:rsidRPr="00CC73F3" w:rsidRDefault="00070FC5" w:rsidP="00D639F5">
      <w:pPr>
        <w:pStyle w:val="Heading3"/>
      </w:pPr>
    </w:p>
    <w:p w:rsidR="00070FC5" w:rsidRPr="00CC73F3" w:rsidRDefault="00070FC5" w:rsidP="00D639F5">
      <w:pPr>
        <w:pStyle w:val="Heading3"/>
      </w:pPr>
      <w:bookmarkStart w:id="104" w:name="_Toc420572614"/>
      <w:r w:rsidRPr="00CC73F3">
        <w:t>Study 2 Procedure</w:t>
      </w:r>
      <w:bookmarkEnd w:id="104"/>
    </w:p>
    <w:p w:rsidR="00070FC5" w:rsidRPr="00CC73F3" w:rsidRDefault="00070FC5" w:rsidP="00D639F5">
      <w:pPr>
        <w:spacing w:line="480" w:lineRule="auto"/>
        <w:rPr>
          <w:rFonts w:eastAsia="Calibri"/>
          <w:szCs w:val="22"/>
        </w:rPr>
      </w:pPr>
      <w:r w:rsidRPr="00CC73F3">
        <w:rPr>
          <w:rFonts w:eastAsia="Calibri"/>
          <w:szCs w:val="22"/>
        </w:rPr>
        <w:tab/>
        <w:t xml:space="preserve">Teams were asked to view four sets of three products in the same product category and at a similar price point, then rank the products from 1 to 3 according what they believed to be the best-selling (1) to the worst-selling (3) product in the group. At the start of Study 1, each team indicated their familiarity with each of the product categories used in both Study 1 and Study 2. </w:t>
      </w:r>
    </w:p>
    <w:p w:rsidR="00070FC5" w:rsidRPr="00CC73F3" w:rsidRDefault="00070FC5" w:rsidP="00D639F5">
      <w:pPr>
        <w:spacing w:line="480" w:lineRule="auto"/>
        <w:rPr>
          <w:rFonts w:eastAsia="Calibri"/>
          <w:szCs w:val="22"/>
        </w:rPr>
      </w:pPr>
      <w:r w:rsidRPr="00CC73F3">
        <w:rPr>
          <w:rFonts w:eastAsia="Calibri"/>
          <w:szCs w:val="22"/>
        </w:rPr>
        <w:tab/>
        <w:t>The products sets used Study 2 were chosen from the retail website of a firm that exclusively sells products created by the firm’s online user community. For each product set, three products were selected that were in a similar price range, had been on the market at least six months and showed significant differences in sales for the first six months, creating a clear best-seller and worst-seller in each set. The sets used were mobile phone accessories, kitchen gadgets, cleaning products, and cord organization products for small electronic devices. These sets were chosen because they were deemed likely to be categories with which undergraduate subjects would be at least moderately familiar. The procedure for creating and refining the product sets is discussed below in the pretest section for Study 2 and the final set of products used in Study 2 is listed in Appendix 3.</w:t>
      </w:r>
    </w:p>
    <w:p w:rsidR="00070FC5" w:rsidRPr="00CC73F3" w:rsidRDefault="00070FC5" w:rsidP="00D639F5">
      <w:pPr>
        <w:spacing w:line="480" w:lineRule="auto"/>
        <w:rPr>
          <w:rFonts w:eastAsia="Calibri"/>
          <w:szCs w:val="22"/>
        </w:rPr>
      </w:pPr>
      <w:r w:rsidRPr="00CC73F3">
        <w:rPr>
          <w:rFonts w:eastAsia="Calibri"/>
          <w:szCs w:val="22"/>
        </w:rPr>
        <w:tab/>
        <w:t>Once the teams had completed their rankings of the four product sets they were asked to identify any of the products they had seen for sale prior to participating in the experiment, responded to questions measuring group regulatory focus and reflexivity, then answered several question individually to measure the individual affect and chronic regulatory focus of each team member.</w:t>
      </w:r>
    </w:p>
    <w:p w:rsidR="00070FC5" w:rsidRPr="00CC73F3" w:rsidRDefault="00070FC5" w:rsidP="00D639F5">
      <w:pPr>
        <w:spacing w:line="480" w:lineRule="auto"/>
        <w:rPr>
          <w:rFonts w:eastAsia="Calibri"/>
          <w:b/>
          <w:szCs w:val="22"/>
        </w:rPr>
      </w:pPr>
    </w:p>
    <w:p w:rsidR="00070FC5" w:rsidRPr="00CC73F3" w:rsidRDefault="00070FC5" w:rsidP="00D639F5">
      <w:pPr>
        <w:pStyle w:val="Heading3"/>
      </w:pPr>
      <w:bookmarkStart w:id="105" w:name="_Toc420572615"/>
      <w:r w:rsidRPr="00CC73F3">
        <w:t>Study 2 Dependent Variables and Analysis Procedure</w:t>
      </w:r>
      <w:bookmarkEnd w:id="105"/>
    </w:p>
    <w:p w:rsidR="00070FC5" w:rsidRPr="00CC73F3" w:rsidRDefault="00070FC5" w:rsidP="00D639F5">
      <w:pPr>
        <w:spacing w:line="480" w:lineRule="auto"/>
        <w:rPr>
          <w:rFonts w:eastAsia="Calibri"/>
          <w:szCs w:val="22"/>
        </w:rPr>
      </w:pPr>
      <w:r w:rsidRPr="00CC73F3">
        <w:rPr>
          <w:rFonts w:eastAsia="Calibri"/>
          <w:szCs w:val="22"/>
        </w:rPr>
        <w:tab/>
        <w:t>To analyze the data, positive and negative hits were summed across the four product sets. A positive hit occurred when a team correctly chose the best-selling product and a negative hit occurred when team correctly chose the worst-selling product. Since the dependent variable was constructed from counts of positive and negative hits, a negative binomial regression model was used to test the hypothesis using the total number of positive or negative hits across all three product sets as the dependent variable.</w:t>
      </w:r>
    </w:p>
    <w:p w:rsidR="00070FC5" w:rsidRPr="00CC73F3" w:rsidRDefault="00070FC5" w:rsidP="00D639F5">
      <w:pPr>
        <w:rPr>
          <w:rFonts w:eastAsia="Calibri"/>
          <w:b/>
          <w:szCs w:val="22"/>
        </w:rPr>
      </w:pPr>
    </w:p>
    <w:p w:rsidR="00070FC5" w:rsidRPr="00CC73F3" w:rsidRDefault="00070FC5" w:rsidP="00D639F5">
      <w:pPr>
        <w:pStyle w:val="Heading3"/>
      </w:pPr>
      <w:bookmarkStart w:id="106" w:name="_Toc420572616"/>
      <w:r w:rsidRPr="00CC73F3">
        <w:t>Study 2 Pretest</w:t>
      </w:r>
      <w:bookmarkEnd w:id="106"/>
    </w:p>
    <w:p w:rsidR="00070FC5" w:rsidRPr="00CC73F3" w:rsidRDefault="00070FC5" w:rsidP="00D639F5">
      <w:pPr>
        <w:spacing w:line="480" w:lineRule="auto"/>
        <w:rPr>
          <w:rFonts w:eastAsia="Calibri"/>
          <w:szCs w:val="22"/>
        </w:rPr>
      </w:pPr>
      <w:r w:rsidRPr="00CC73F3">
        <w:rPr>
          <w:rFonts w:eastAsia="Calibri"/>
          <w:szCs w:val="22"/>
        </w:rPr>
        <w:tab/>
        <w:t xml:space="preserve">Study 2 was pretested using the same sample and experimental manipulations as in Study 1. Teams were primed in either a prevention or promotion condition, then instructed to be highly reflexive or not at all reflexive in their team decision making. After completing Study 1, teams were given a reminder to reinforce their original priming for both regulatory focus and reflexivity, then asked to complete a choice exercise. Table 23 shows the positive and negative hit percentages for each choice set in the pretest. </w:t>
      </w:r>
    </w:p>
    <w:p w:rsidR="00070FC5" w:rsidRPr="00CC73F3" w:rsidRDefault="00070FC5" w:rsidP="00D639F5">
      <w:pPr>
        <w:spacing w:line="480" w:lineRule="auto"/>
        <w:rPr>
          <w:rFonts w:eastAsia="Calibri"/>
          <w:szCs w:val="22"/>
        </w:rPr>
      </w:pPr>
      <w:r w:rsidRPr="00CC73F3">
        <w:rPr>
          <w:rFonts w:eastAsia="Calibri"/>
          <w:szCs w:val="22"/>
        </w:rPr>
        <w:tab/>
      </w:r>
    </w:p>
    <w:p w:rsidR="00070FC5" w:rsidRPr="00CC73F3" w:rsidRDefault="00070FC5" w:rsidP="00D639F5">
      <w:pPr>
        <w:pStyle w:val="Caption"/>
        <w:rPr>
          <w:rFonts w:eastAsia="Calibri"/>
        </w:rPr>
      </w:pPr>
      <w:bookmarkStart w:id="107" w:name="_Toc420570948"/>
      <w:proofErr w:type="gramStart"/>
      <w:r w:rsidRPr="00CC73F3">
        <w:t xml:space="preserve">Table </w:t>
      </w:r>
      <w:fldSimple w:instr=" SEQ Table \* ARABIC ">
        <w:r w:rsidRPr="00CC73F3">
          <w:rPr>
            <w:noProof/>
          </w:rPr>
          <w:t>23</w:t>
        </w:r>
      </w:fldSimple>
      <w:r w:rsidRPr="00CC73F3">
        <w:rPr>
          <w:rFonts w:eastAsia="Calibri"/>
        </w:rPr>
        <w:t>.</w:t>
      </w:r>
      <w:proofErr w:type="gramEnd"/>
      <w:r w:rsidRPr="00CC73F3">
        <w:rPr>
          <w:rFonts w:eastAsia="Calibri"/>
        </w:rPr>
        <w:t xml:space="preserve"> Overall Pretest Sample Hit Rates for Study 2 Product Choice Sets</w:t>
      </w:r>
      <w:bookmarkEnd w:id="107"/>
      <w:r w:rsidRPr="00CC73F3">
        <w:rPr>
          <w:rFonts w:eastAsia="Calibri"/>
        </w:rPr>
        <w:t xml:space="preserve"> </w:t>
      </w:r>
    </w:p>
    <w:tbl>
      <w:tblPr>
        <w:tblW w:w="0" w:type="auto"/>
        <w:jc w:val="center"/>
        <w:tblInd w:w="2516" w:type="dxa"/>
        <w:tblLook w:val="04A0" w:firstRow="1" w:lastRow="0" w:firstColumn="1" w:lastColumn="0" w:noHBand="0" w:noVBand="1"/>
      </w:tblPr>
      <w:tblGrid>
        <w:gridCol w:w="2956"/>
        <w:gridCol w:w="2014"/>
        <w:gridCol w:w="2090"/>
      </w:tblGrid>
      <w:tr w:rsidR="00070FC5" w:rsidRPr="00CC73F3" w:rsidTr="00D639F5">
        <w:trPr>
          <w:jc w:val="center"/>
        </w:trPr>
        <w:tc>
          <w:tcPr>
            <w:tcW w:w="2956" w:type="dxa"/>
            <w:tcBorders>
              <w:top w:val="single" w:sz="18" w:space="0" w:color="auto"/>
              <w:bottom w:val="single" w:sz="18" w:space="0" w:color="auto"/>
            </w:tcBorders>
            <w:shd w:val="clear" w:color="auto" w:fill="auto"/>
          </w:tcPr>
          <w:p w:rsidR="00070FC5" w:rsidRPr="00CC73F3" w:rsidRDefault="00070FC5" w:rsidP="00D639F5">
            <w:pPr>
              <w:rPr>
                <w:rFonts w:eastAsia="Calibri"/>
                <w:b/>
              </w:rPr>
            </w:pPr>
            <w:r w:rsidRPr="00CC73F3">
              <w:rPr>
                <w:rFonts w:eastAsia="Calibri"/>
                <w:b/>
              </w:rPr>
              <w:t>Product Set</w:t>
            </w:r>
          </w:p>
        </w:tc>
        <w:tc>
          <w:tcPr>
            <w:tcW w:w="2014"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Positive Hit Rate</w:t>
            </w:r>
          </w:p>
        </w:tc>
        <w:tc>
          <w:tcPr>
            <w:tcW w:w="209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Negative Hit Rate</w:t>
            </w:r>
          </w:p>
        </w:tc>
      </w:tr>
      <w:tr w:rsidR="00070FC5" w:rsidRPr="00CC73F3" w:rsidTr="00D639F5">
        <w:trPr>
          <w:jc w:val="center"/>
        </w:trPr>
        <w:tc>
          <w:tcPr>
            <w:tcW w:w="2956"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Kitchen Gadgets</w:t>
            </w:r>
          </w:p>
        </w:tc>
        <w:tc>
          <w:tcPr>
            <w:tcW w:w="2014"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23.9%</w:t>
            </w:r>
          </w:p>
        </w:tc>
        <w:tc>
          <w:tcPr>
            <w:tcW w:w="2090"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15.2%</w:t>
            </w:r>
          </w:p>
        </w:tc>
      </w:tr>
      <w:tr w:rsidR="00070FC5" w:rsidRPr="00CC73F3" w:rsidTr="00D639F5">
        <w:trPr>
          <w:jc w:val="center"/>
        </w:trPr>
        <w:tc>
          <w:tcPr>
            <w:tcW w:w="2956" w:type="dxa"/>
            <w:shd w:val="clear" w:color="auto" w:fill="auto"/>
          </w:tcPr>
          <w:p w:rsidR="00070FC5" w:rsidRPr="00CC73F3" w:rsidRDefault="00070FC5" w:rsidP="00D639F5">
            <w:pPr>
              <w:rPr>
                <w:rFonts w:eastAsia="Calibri"/>
              </w:rPr>
            </w:pPr>
            <w:r w:rsidRPr="00CC73F3">
              <w:rPr>
                <w:rFonts w:eastAsia="Calibri"/>
              </w:rPr>
              <w:t>Mobile Phone Accessories</w:t>
            </w:r>
            <w:r w:rsidRPr="00CC73F3">
              <w:rPr>
                <w:rFonts w:eastAsia="Calibri"/>
                <w:vertAlign w:val="superscript"/>
              </w:rPr>
              <w:t>*</w:t>
            </w:r>
          </w:p>
        </w:tc>
        <w:tc>
          <w:tcPr>
            <w:tcW w:w="2014" w:type="dxa"/>
            <w:shd w:val="clear" w:color="auto" w:fill="auto"/>
          </w:tcPr>
          <w:p w:rsidR="00070FC5" w:rsidRPr="00CC73F3" w:rsidRDefault="00070FC5" w:rsidP="00D639F5">
            <w:pPr>
              <w:jc w:val="center"/>
              <w:rPr>
                <w:rFonts w:eastAsia="Calibri"/>
              </w:rPr>
            </w:pPr>
            <w:r w:rsidRPr="00CC73F3">
              <w:rPr>
                <w:rFonts w:eastAsia="Calibri"/>
              </w:rPr>
              <w:t>4.3%</w:t>
            </w:r>
          </w:p>
        </w:tc>
        <w:tc>
          <w:tcPr>
            <w:tcW w:w="2090" w:type="dxa"/>
            <w:shd w:val="clear" w:color="auto" w:fill="auto"/>
          </w:tcPr>
          <w:p w:rsidR="00070FC5" w:rsidRPr="00CC73F3" w:rsidRDefault="00070FC5" w:rsidP="00D639F5">
            <w:pPr>
              <w:jc w:val="center"/>
              <w:rPr>
                <w:rFonts w:eastAsia="Calibri"/>
              </w:rPr>
            </w:pPr>
            <w:r w:rsidRPr="00CC73F3">
              <w:rPr>
                <w:rFonts w:eastAsia="Calibri"/>
              </w:rPr>
              <w:t>45.7%</w:t>
            </w: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rPr>
            </w:pPr>
            <w:r w:rsidRPr="00CC73F3">
              <w:rPr>
                <w:rFonts w:eastAsia="Calibri"/>
              </w:rPr>
              <w:t>Cleaning Supplies</w:t>
            </w:r>
            <w:r w:rsidRPr="00CC73F3">
              <w:rPr>
                <w:rFonts w:eastAsia="Calibri"/>
                <w:vertAlign w:val="superscript"/>
              </w:rPr>
              <w:t>*</w:t>
            </w:r>
          </w:p>
        </w:tc>
        <w:tc>
          <w:tcPr>
            <w:tcW w:w="2014" w:type="dxa"/>
            <w:shd w:val="clear" w:color="auto" w:fill="auto"/>
          </w:tcPr>
          <w:p w:rsidR="00070FC5" w:rsidRPr="00CC73F3" w:rsidRDefault="00070FC5" w:rsidP="00D639F5">
            <w:pPr>
              <w:jc w:val="center"/>
              <w:rPr>
                <w:rFonts w:eastAsia="Calibri"/>
              </w:rPr>
            </w:pPr>
            <w:r w:rsidRPr="00CC73F3">
              <w:rPr>
                <w:rFonts w:eastAsia="Calibri"/>
              </w:rPr>
              <w:t>7.6%</w:t>
            </w:r>
          </w:p>
        </w:tc>
        <w:tc>
          <w:tcPr>
            <w:tcW w:w="2090" w:type="dxa"/>
            <w:shd w:val="clear" w:color="auto" w:fill="auto"/>
          </w:tcPr>
          <w:p w:rsidR="00070FC5" w:rsidRPr="00CC73F3" w:rsidRDefault="00070FC5" w:rsidP="00D639F5">
            <w:pPr>
              <w:jc w:val="center"/>
              <w:rPr>
                <w:rFonts w:eastAsia="Calibri"/>
              </w:rPr>
            </w:pPr>
            <w:r w:rsidRPr="00CC73F3">
              <w:rPr>
                <w:rFonts w:eastAsia="Calibri"/>
              </w:rPr>
              <w:t>78.3%</w:t>
            </w: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rPr>
            </w:pPr>
            <w:r w:rsidRPr="00CC73F3">
              <w:rPr>
                <w:rFonts w:eastAsia="Calibri"/>
              </w:rPr>
              <w:t>Overall</w:t>
            </w:r>
          </w:p>
        </w:tc>
        <w:tc>
          <w:tcPr>
            <w:tcW w:w="2014" w:type="dxa"/>
            <w:shd w:val="clear" w:color="auto" w:fill="auto"/>
          </w:tcPr>
          <w:p w:rsidR="00070FC5" w:rsidRPr="00CC73F3" w:rsidRDefault="00070FC5" w:rsidP="00D639F5">
            <w:pPr>
              <w:jc w:val="center"/>
              <w:rPr>
                <w:rFonts w:eastAsia="Calibri"/>
              </w:rPr>
            </w:pPr>
          </w:p>
        </w:tc>
        <w:tc>
          <w:tcPr>
            <w:tcW w:w="2090" w:type="dxa"/>
            <w:shd w:val="clear" w:color="auto" w:fill="auto"/>
          </w:tcPr>
          <w:p w:rsidR="00070FC5" w:rsidRPr="00CC73F3" w:rsidRDefault="00070FC5" w:rsidP="00D639F5">
            <w:pPr>
              <w:jc w:val="center"/>
              <w:rPr>
                <w:rFonts w:eastAsia="Calibri"/>
              </w:rPr>
            </w:pP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i/>
              </w:rPr>
            </w:pPr>
            <w:r w:rsidRPr="00CC73F3">
              <w:rPr>
                <w:rFonts w:eastAsia="Calibri"/>
                <w:i/>
              </w:rPr>
              <w:t>0 Hits</w:t>
            </w:r>
          </w:p>
        </w:tc>
        <w:tc>
          <w:tcPr>
            <w:tcW w:w="2014" w:type="dxa"/>
            <w:shd w:val="clear" w:color="auto" w:fill="auto"/>
          </w:tcPr>
          <w:p w:rsidR="00070FC5" w:rsidRPr="00CC73F3" w:rsidRDefault="00070FC5" w:rsidP="00D639F5">
            <w:pPr>
              <w:jc w:val="center"/>
              <w:rPr>
                <w:rFonts w:eastAsia="Calibri"/>
              </w:rPr>
            </w:pPr>
            <w:r w:rsidRPr="00CC73F3">
              <w:rPr>
                <w:rFonts w:eastAsia="Calibri"/>
              </w:rPr>
              <w:t>64.1%</w:t>
            </w:r>
          </w:p>
        </w:tc>
        <w:tc>
          <w:tcPr>
            <w:tcW w:w="2090" w:type="dxa"/>
            <w:shd w:val="clear" w:color="auto" w:fill="auto"/>
          </w:tcPr>
          <w:p w:rsidR="00070FC5" w:rsidRPr="00CC73F3" w:rsidRDefault="00070FC5" w:rsidP="00D639F5">
            <w:pPr>
              <w:jc w:val="center"/>
              <w:rPr>
                <w:rFonts w:eastAsia="Calibri"/>
              </w:rPr>
            </w:pPr>
            <w:r w:rsidRPr="00CC73F3">
              <w:rPr>
                <w:rFonts w:eastAsia="Calibri"/>
              </w:rPr>
              <w:t>12.0%</w:t>
            </w: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i/>
              </w:rPr>
            </w:pPr>
            <w:r w:rsidRPr="00CC73F3">
              <w:rPr>
                <w:rFonts w:eastAsia="Calibri"/>
                <w:i/>
              </w:rPr>
              <w:t>1 Hit</w:t>
            </w:r>
          </w:p>
        </w:tc>
        <w:tc>
          <w:tcPr>
            <w:tcW w:w="2014" w:type="dxa"/>
            <w:shd w:val="clear" w:color="auto" w:fill="auto"/>
          </w:tcPr>
          <w:p w:rsidR="00070FC5" w:rsidRPr="00CC73F3" w:rsidRDefault="00070FC5" w:rsidP="00D639F5">
            <w:pPr>
              <w:jc w:val="center"/>
              <w:rPr>
                <w:rFonts w:eastAsia="Calibri"/>
              </w:rPr>
            </w:pPr>
            <w:r w:rsidRPr="00CC73F3">
              <w:rPr>
                <w:rFonts w:eastAsia="Calibri"/>
              </w:rPr>
              <w:t>35.9%</w:t>
            </w:r>
          </w:p>
        </w:tc>
        <w:tc>
          <w:tcPr>
            <w:tcW w:w="2090" w:type="dxa"/>
            <w:shd w:val="clear" w:color="auto" w:fill="auto"/>
          </w:tcPr>
          <w:p w:rsidR="00070FC5" w:rsidRPr="00CC73F3" w:rsidRDefault="00070FC5" w:rsidP="00D639F5">
            <w:pPr>
              <w:jc w:val="center"/>
              <w:rPr>
                <w:rFonts w:eastAsia="Calibri"/>
              </w:rPr>
            </w:pPr>
            <w:r w:rsidRPr="00CC73F3">
              <w:rPr>
                <w:rFonts w:eastAsia="Calibri"/>
              </w:rPr>
              <w:t>42.4%</w:t>
            </w: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i/>
              </w:rPr>
            </w:pPr>
            <w:r w:rsidRPr="00CC73F3">
              <w:rPr>
                <w:rFonts w:eastAsia="Calibri"/>
                <w:i/>
              </w:rPr>
              <w:t>2 Hits</w:t>
            </w:r>
          </w:p>
        </w:tc>
        <w:tc>
          <w:tcPr>
            <w:tcW w:w="2014" w:type="dxa"/>
            <w:shd w:val="clear" w:color="auto" w:fill="auto"/>
          </w:tcPr>
          <w:p w:rsidR="00070FC5" w:rsidRPr="00CC73F3" w:rsidRDefault="00070FC5" w:rsidP="00D639F5">
            <w:pPr>
              <w:jc w:val="center"/>
              <w:rPr>
                <w:rFonts w:eastAsia="Calibri"/>
              </w:rPr>
            </w:pPr>
            <w:r w:rsidRPr="00CC73F3">
              <w:rPr>
                <w:rFonts w:eastAsia="Calibri"/>
              </w:rPr>
              <w:t>0.0%</w:t>
            </w:r>
          </w:p>
        </w:tc>
        <w:tc>
          <w:tcPr>
            <w:tcW w:w="2090" w:type="dxa"/>
            <w:shd w:val="clear" w:color="auto" w:fill="auto"/>
          </w:tcPr>
          <w:p w:rsidR="00070FC5" w:rsidRPr="00CC73F3" w:rsidRDefault="00070FC5" w:rsidP="00D639F5">
            <w:pPr>
              <w:jc w:val="center"/>
              <w:rPr>
                <w:rFonts w:eastAsia="Calibri"/>
              </w:rPr>
            </w:pPr>
            <w:r w:rsidRPr="00CC73F3">
              <w:rPr>
                <w:rFonts w:eastAsia="Calibri"/>
              </w:rPr>
              <w:t>40.2%</w:t>
            </w:r>
          </w:p>
        </w:tc>
      </w:tr>
      <w:tr w:rsidR="00070FC5" w:rsidRPr="00CC73F3" w:rsidTr="00D639F5">
        <w:trPr>
          <w:trHeight w:val="107"/>
          <w:jc w:val="center"/>
        </w:trPr>
        <w:tc>
          <w:tcPr>
            <w:tcW w:w="2956" w:type="dxa"/>
            <w:tcBorders>
              <w:bottom w:val="single" w:sz="18" w:space="0" w:color="auto"/>
            </w:tcBorders>
            <w:shd w:val="clear" w:color="auto" w:fill="auto"/>
          </w:tcPr>
          <w:p w:rsidR="00070FC5" w:rsidRPr="00CC73F3" w:rsidRDefault="00070FC5" w:rsidP="00D639F5">
            <w:pPr>
              <w:rPr>
                <w:rFonts w:eastAsia="Calibri"/>
                <w:i/>
              </w:rPr>
            </w:pPr>
            <w:r w:rsidRPr="00CC73F3">
              <w:rPr>
                <w:rFonts w:eastAsia="Calibri"/>
                <w:i/>
              </w:rPr>
              <w:t>3 Hits</w:t>
            </w:r>
          </w:p>
        </w:tc>
        <w:tc>
          <w:tcPr>
            <w:tcW w:w="2014"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0.0%</w:t>
            </w:r>
          </w:p>
        </w:tc>
        <w:tc>
          <w:tcPr>
            <w:tcW w:w="2090"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5.4%</w:t>
            </w:r>
          </w:p>
        </w:tc>
      </w:tr>
      <w:tr w:rsidR="00070FC5" w:rsidRPr="00CC73F3" w:rsidTr="00D639F5">
        <w:trPr>
          <w:trHeight w:val="107"/>
          <w:jc w:val="center"/>
        </w:trPr>
        <w:tc>
          <w:tcPr>
            <w:tcW w:w="7060" w:type="dxa"/>
            <w:gridSpan w:val="3"/>
            <w:tcBorders>
              <w:top w:val="single" w:sz="18" w:space="0" w:color="auto"/>
            </w:tcBorders>
            <w:shd w:val="clear" w:color="auto" w:fill="auto"/>
          </w:tcPr>
          <w:p w:rsidR="00070FC5" w:rsidRPr="00CC73F3" w:rsidRDefault="00070FC5" w:rsidP="00D639F5">
            <w:pPr>
              <w:rPr>
                <w:rFonts w:eastAsia="Calibri"/>
                <w:sz w:val="20"/>
                <w:szCs w:val="20"/>
              </w:rPr>
            </w:pPr>
            <w:r w:rsidRPr="00CC73F3">
              <w:rPr>
                <w:rFonts w:eastAsia="Calibri"/>
                <w:sz w:val="20"/>
                <w:szCs w:val="20"/>
              </w:rPr>
              <w:t>* These sets were modified for the main experiment to achieve a higher hit rate.</w:t>
            </w:r>
          </w:p>
        </w:tc>
      </w:tr>
    </w:tbl>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szCs w:val="22"/>
        </w:rPr>
        <w:tab/>
        <w:t>Based on the pretest sample, products sets with negative hit rates lower than 15% were altered for the main experiment in Study 2 to create a more even distribution of hits and misses. For the Mobile Phone Accessories and Cleaning Products choice sets, the best-selling product was replaced with an alternative product, since it had a very low overall hit rate. Additionally, a fourth choice set was added for the main experiment in Study 2, which consisted of three cord management products for small electronics. The final product choice sets for Study 2 are shown in Appendix 2. The actual sales figures used to calculate the best and worst selling products are shown in Table 24.</w:t>
      </w:r>
    </w:p>
    <w:p w:rsidR="00070FC5" w:rsidRPr="00CC73F3" w:rsidRDefault="00070FC5" w:rsidP="00D639F5">
      <w:pPr>
        <w:spacing w:line="480" w:lineRule="auto"/>
        <w:rPr>
          <w:rFonts w:eastAsia="Calibri"/>
          <w:szCs w:val="22"/>
        </w:rPr>
      </w:pPr>
    </w:p>
    <w:p w:rsidR="00070FC5" w:rsidRPr="00CC73F3" w:rsidRDefault="00070FC5" w:rsidP="00D639F5">
      <w:pPr>
        <w:pStyle w:val="Caption"/>
        <w:rPr>
          <w:rFonts w:eastAsia="Calibri"/>
        </w:rPr>
      </w:pPr>
      <w:bookmarkStart w:id="108" w:name="_Toc420570949"/>
      <w:proofErr w:type="gramStart"/>
      <w:r w:rsidRPr="00CC73F3">
        <w:t xml:space="preserve">Table </w:t>
      </w:r>
      <w:fldSimple w:instr=" SEQ Table \* ARABIC ">
        <w:r w:rsidRPr="00CC73F3">
          <w:rPr>
            <w:noProof/>
          </w:rPr>
          <w:t>24</w:t>
        </w:r>
      </w:fldSimple>
      <w:r w:rsidRPr="00CC73F3">
        <w:rPr>
          <w:rFonts w:eastAsia="Calibri"/>
        </w:rPr>
        <w:t>.</w:t>
      </w:r>
      <w:proofErr w:type="gramEnd"/>
      <w:r w:rsidRPr="00CC73F3">
        <w:rPr>
          <w:rFonts w:eastAsia="Calibri"/>
        </w:rPr>
        <w:t xml:space="preserve"> Overall Sales (in Units) for Study 2 Main Experiment Product Choice Sets</w:t>
      </w:r>
      <w:bookmarkEnd w:id="108"/>
    </w:p>
    <w:p w:rsidR="00070FC5" w:rsidRPr="00CC73F3" w:rsidRDefault="00070FC5" w:rsidP="00D639F5">
      <w:pPr>
        <w:rPr>
          <w:rFonts w:eastAsia="Calibri"/>
          <w:szCs w:val="22"/>
        </w:rPr>
      </w:pPr>
    </w:p>
    <w:tbl>
      <w:tblPr>
        <w:tblW w:w="0" w:type="auto"/>
        <w:jc w:val="center"/>
        <w:tblInd w:w="1818" w:type="dxa"/>
        <w:tblLook w:val="04A0" w:firstRow="1" w:lastRow="0" w:firstColumn="1" w:lastColumn="0" w:noHBand="0" w:noVBand="1"/>
      </w:tblPr>
      <w:tblGrid>
        <w:gridCol w:w="2970"/>
        <w:gridCol w:w="1980"/>
      </w:tblGrid>
      <w:tr w:rsidR="00070FC5" w:rsidRPr="00CC73F3" w:rsidTr="00D639F5">
        <w:trPr>
          <w:jc w:val="center"/>
        </w:trPr>
        <w:tc>
          <w:tcPr>
            <w:tcW w:w="297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Product Set</w:t>
            </w:r>
          </w:p>
        </w:tc>
        <w:tc>
          <w:tcPr>
            <w:tcW w:w="198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Sales (Units)</w:t>
            </w:r>
          </w:p>
        </w:tc>
      </w:tr>
      <w:tr w:rsidR="00070FC5" w:rsidRPr="00CC73F3" w:rsidTr="00D639F5">
        <w:trPr>
          <w:jc w:val="center"/>
        </w:trPr>
        <w:tc>
          <w:tcPr>
            <w:tcW w:w="2970" w:type="dxa"/>
            <w:tcBorders>
              <w:top w:val="single" w:sz="18" w:space="0" w:color="auto"/>
            </w:tcBorders>
            <w:shd w:val="clear" w:color="auto" w:fill="auto"/>
          </w:tcPr>
          <w:p w:rsidR="00070FC5" w:rsidRPr="00CC73F3" w:rsidRDefault="00070FC5" w:rsidP="00D639F5">
            <w:pPr>
              <w:rPr>
                <w:rFonts w:eastAsia="Calibri"/>
                <w:b/>
              </w:rPr>
            </w:pPr>
            <w:r w:rsidRPr="00CC73F3">
              <w:rPr>
                <w:rFonts w:eastAsia="Calibri"/>
                <w:b/>
              </w:rPr>
              <w:t>Kitchen Gadgets</w:t>
            </w:r>
          </w:p>
        </w:tc>
        <w:tc>
          <w:tcPr>
            <w:tcW w:w="1980" w:type="dxa"/>
            <w:tcBorders>
              <w:top w:val="single" w:sz="18" w:space="0" w:color="auto"/>
            </w:tcBorders>
            <w:shd w:val="clear" w:color="auto" w:fill="auto"/>
          </w:tcPr>
          <w:p w:rsidR="00070FC5" w:rsidRPr="00CC73F3" w:rsidRDefault="00070FC5" w:rsidP="00D639F5">
            <w:pPr>
              <w:rPr>
                <w:rFonts w:eastAsia="Calibri"/>
              </w:rPr>
            </w:pP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Stem</w:t>
            </w:r>
          </w:p>
        </w:tc>
        <w:tc>
          <w:tcPr>
            <w:tcW w:w="1980" w:type="dxa"/>
            <w:shd w:val="clear" w:color="auto" w:fill="auto"/>
          </w:tcPr>
          <w:p w:rsidR="00070FC5" w:rsidRPr="00CC73F3" w:rsidRDefault="00070FC5" w:rsidP="00D639F5">
            <w:pPr>
              <w:jc w:val="center"/>
              <w:rPr>
                <w:rFonts w:eastAsia="Calibri"/>
              </w:rPr>
            </w:pPr>
            <w:r w:rsidRPr="00CC73F3">
              <w:rPr>
                <w:rFonts w:eastAsia="Calibri"/>
              </w:rPr>
              <w:t>141,862</w:t>
            </w: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Pluck</w:t>
            </w:r>
          </w:p>
        </w:tc>
        <w:tc>
          <w:tcPr>
            <w:tcW w:w="1980" w:type="dxa"/>
            <w:shd w:val="clear" w:color="auto" w:fill="auto"/>
          </w:tcPr>
          <w:p w:rsidR="00070FC5" w:rsidRPr="00CC73F3" w:rsidRDefault="00070FC5" w:rsidP="00D639F5">
            <w:pPr>
              <w:jc w:val="center"/>
              <w:rPr>
                <w:rFonts w:eastAsia="Calibri"/>
              </w:rPr>
            </w:pPr>
            <w:r w:rsidRPr="00CC73F3">
              <w:rPr>
                <w:rFonts w:eastAsia="Calibri"/>
              </w:rPr>
              <w:t>14,317</w:t>
            </w: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Poppit</w:t>
            </w:r>
          </w:p>
        </w:tc>
        <w:tc>
          <w:tcPr>
            <w:tcW w:w="1980" w:type="dxa"/>
            <w:shd w:val="clear" w:color="auto" w:fill="auto"/>
          </w:tcPr>
          <w:p w:rsidR="00070FC5" w:rsidRPr="00CC73F3" w:rsidRDefault="00070FC5" w:rsidP="00D639F5">
            <w:pPr>
              <w:jc w:val="center"/>
              <w:rPr>
                <w:rFonts w:eastAsia="Calibri"/>
              </w:rPr>
            </w:pPr>
            <w:r w:rsidRPr="00CC73F3">
              <w:rPr>
                <w:rFonts w:eastAsia="Calibri"/>
              </w:rPr>
              <w:t>1,469</w:t>
            </w:r>
          </w:p>
        </w:tc>
      </w:tr>
      <w:tr w:rsidR="00070FC5" w:rsidRPr="00CC73F3" w:rsidTr="00D639F5">
        <w:trPr>
          <w:jc w:val="center"/>
        </w:trPr>
        <w:tc>
          <w:tcPr>
            <w:tcW w:w="2970" w:type="dxa"/>
            <w:shd w:val="clear" w:color="auto" w:fill="auto"/>
          </w:tcPr>
          <w:p w:rsidR="00070FC5" w:rsidRPr="00CC73F3" w:rsidRDefault="00070FC5" w:rsidP="00D639F5">
            <w:pPr>
              <w:rPr>
                <w:rFonts w:eastAsia="Calibri"/>
                <w:b/>
              </w:rPr>
            </w:pPr>
            <w:r w:rsidRPr="00CC73F3">
              <w:rPr>
                <w:rFonts w:eastAsia="Calibri"/>
                <w:b/>
              </w:rPr>
              <w:t>Mobile Phone Accessories</w:t>
            </w:r>
          </w:p>
        </w:tc>
        <w:tc>
          <w:tcPr>
            <w:tcW w:w="1980"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Crossover</w:t>
            </w:r>
          </w:p>
        </w:tc>
        <w:tc>
          <w:tcPr>
            <w:tcW w:w="1980" w:type="dxa"/>
            <w:shd w:val="clear" w:color="auto" w:fill="auto"/>
          </w:tcPr>
          <w:p w:rsidR="00070FC5" w:rsidRPr="00CC73F3" w:rsidRDefault="00070FC5" w:rsidP="00D639F5">
            <w:pPr>
              <w:jc w:val="center"/>
              <w:rPr>
                <w:rFonts w:eastAsia="Calibri"/>
              </w:rPr>
            </w:pPr>
            <w:r w:rsidRPr="00CC73F3">
              <w:rPr>
                <w:rFonts w:eastAsia="Calibri"/>
              </w:rPr>
              <w:t>24,894</w:t>
            </w: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Keeper Wallet</w:t>
            </w:r>
          </w:p>
        </w:tc>
        <w:tc>
          <w:tcPr>
            <w:tcW w:w="1980" w:type="dxa"/>
            <w:shd w:val="clear" w:color="auto" w:fill="auto"/>
          </w:tcPr>
          <w:p w:rsidR="00070FC5" w:rsidRPr="00CC73F3" w:rsidRDefault="00070FC5" w:rsidP="00D639F5">
            <w:pPr>
              <w:jc w:val="center"/>
              <w:rPr>
                <w:rFonts w:eastAsia="Calibri"/>
              </w:rPr>
            </w:pPr>
            <w:r w:rsidRPr="00CC73F3">
              <w:rPr>
                <w:rFonts w:eastAsia="Calibri"/>
              </w:rPr>
              <w:t>17,514</w:t>
            </w: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Upwrite</w:t>
            </w:r>
          </w:p>
        </w:tc>
        <w:tc>
          <w:tcPr>
            <w:tcW w:w="1980" w:type="dxa"/>
            <w:shd w:val="clear" w:color="auto" w:fill="auto"/>
          </w:tcPr>
          <w:p w:rsidR="00070FC5" w:rsidRPr="00CC73F3" w:rsidRDefault="00070FC5" w:rsidP="00D639F5">
            <w:pPr>
              <w:jc w:val="center"/>
              <w:rPr>
                <w:rFonts w:eastAsia="Calibri"/>
              </w:rPr>
            </w:pPr>
            <w:r w:rsidRPr="00CC73F3">
              <w:rPr>
                <w:rFonts w:eastAsia="Calibri"/>
              </w:rPr>
              <w:t>248</w:t>
            </w:r>
          </w:p>
        </w:tc>
      </w:tr>
      <w:tr w:rsidR="00070FC5" w:rsidRPr="00CC73F3" w:rsidTr="00D639F5">
        <w:trPr>
          <w:jc w:val="center"/>
        </w:trPr>
        <w:tc>
          <w:tcPr>
            <w:tcW w:w="2970" w:type="dxa"/>
            <w:shd w:val="clear" w:color="auto" w:fill="auto"/>
          </w:tcPr>
          <w:p w:rsidR="00070FC5" w:rsidRPr="00CC73F3" w:rsidRDefault="00070FC5" w:rsidP="00D639F5">
            <w:pPr>
              <w:rPr>
                <w:rFonts w:eastAsia="Calibri"/>
                <w:b/>
              </w:rPr>
            </w:pPr>
            <w:r w:rsidRPr="00CC73F3">
              <w:rPr>
                <w:rFonts w:eastAsia="Calibri"/>
                <w:b/>
              </w:rPr>
              <w:t xml:space="preserve">Cleaning Products </w:t>
            </w:r>
            <w:r w:rsidRPr="00CC73F3">
              <w:rPr>
                <w:rFonts w:eastAsia="Calibri"/>
                <w:vertAlign w:val="superscript"/>
              </w:rPr>
              <w:t>a</w:t>
            </w:r>
          </w:p>
        </w:tc>
        <w:tc>
          <w:tcPr>
            <w:tcW w:w="1980"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Tether</w:t>
            </w:r>
          </w:p>
        </w:tc>
        <w:tc>
          <w:tcPr>
            <w:tcW w:w="1980" w:type="dxa"/>
            <w:shd w:val="clear" w:color="auto" w:fill="auto"/>
          </w:tcPr>
          <w:p w:rsidR="00070FC5" w:rsidRPr="00CC73F3" w:rsidRDefault="00070FC5" w:rsidP="00D639F5">
            <w:pPr>
              <w:jc w:val="center"/>
              <w:rPr>
                <w:rFonts w:eastAsia="Calibri"/>
              </w:rPr>
            </w:pPr>
            <w:r w:rsidRPr="00CC73F3">
              <w:rPr>
                <w:rFonts w:eastAsia="Calibri"/>
              </w:rPr>
              <w:t>81,743</w:t>
            </w: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Loop</w:t>
            </w:r>
          </w:p>
        </w:tc>
        <w:tc>
          <w:tcPr>
            <w:tcW w:w="1980" w:type="dxa"/>
            <w:shd w:val="clear" w:color="auto" w:fill="auto"/>
          </w:tcPr>
          <w:p w:rsidR="00070FC5" w:rsidRPr="00CC73F3" w:rsidRDefault="00070FC5" w:rsidP="00D639F5">
            <w:pPr>
              <w:jc w:val="center"/>
              <w:rPr>
                <w:rFonts w:eastAsia="Calibri"/>
              </w:rPr>
            </w:pPr>
            <w:r w:rsidRPr="00CC73F3">
              <w:rPr>
                <w:rFonts w:eastAsia="Calibri"/>
              </w:rPr>
              <w:t>9,234</w:t>
            </w: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Groove</w:t>
            </w:r>
          </w:p>
        </w:tc>
        <w:tc>
          <w:tcPr>
            <w:tcW w:w="1980" w:type="dxa"/>
            <w:shd w:val="clear" w:color="auto" w:fill="auto"/>
          </w:tcPr>
          <w:p w:rsidR="00070FC5" w:rsidRPr="00CC73F3" w:rsidRDefault="00070FC5" w:rsidP="00D639F5">
            <w:pPr>
              <w:jc w:val="center"/>
              <w:rPr>
                <w:rFonts w:eastAsia="Calibri"/>
              </w:rPr>
            </w:pPr>
            <w:r w:rsidRPr="00CC73F3">
              <w:rPr>
                <w:rFonts w:eastAsia="Calibri"/>
              </w:rPr>
              <w:t>891</w:t>
            </w:r>
          </w:p>
        </w:tc>
      </w:tr>
      <w:tr w:rsidR="00070FC5" w:rsidRPr="00CC73F3" w:rsidTr="00D639F5">
        <w:trPr>
          <w:jc w:val="center"/>
        </w:trPr>
        <w:tc>
          <w:tcPr>
            <w:tcW w:w="2970" w:type="dxa"/>
            <w:shd w:val="clear" w:color="auto" w:fill="auto"/>
          </w:tcPr>
          <w:p w:rsidR="00070FC5" w:rsidRPr="00CC73F3" w:rsidRDefault="00070FC5" w:rsidP="00D639F5">
            <w:pPr>
              <w:rPr>
                <w:rFonts w:eastAsia="Calibri"/>
                <w:b/>
              </w:rPr>
            </w:pPr>
            <w:r w:rsidRPr="00CC73F3">
              <w:rPr>
                <w:rFonts w:eastAsia="Calibri"/>
                <w:b/>
              </w:rPr>
              <w:t>Cord Organizers</w:t>
            </w:r>
          </w:p>
        </w:tc>
        <w:tc>
          <w:tcPr>
            <w:tcW w:w="1980"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Cordies</w:t>
            </w:r>
          </w:p>
        </w:tc>
        <w:tc>
          <w:tcPr>
            <w:tcW w:w="1980" w:type="dxa"/>
            <w:shd w:val="clear" w:color="auto" w:fill="auto"/>
          </w:tcPr>
          <w:p w:rsidR="00070FC5" w:rsidRPr="00CC73F3" w:rsidRDefault="00070FC5" w:rsidP="00D639F5">
            <w:pPr>
              <w:jc w:val="center"/>
              <w:rPr>
                <w:rFonts w:eastAsia="Calibri"/>
              </w:rPr>
            </w:pPr>
            <w:r w:rsidRPr="00CC73F3">
              <w:rPr>
                <w:rFonts w:eastAsia="Calibri"/>
              </w:rPr>
              <w:t>60,443</w:t>
            </w:r>
          </w:p>
        </w:tc>
      </w:tr>
      <w:tr w:rsidR="00070FC5" w:rsidRPr="00CC73F3" w:rsidTr="00D639F5">
        <w:trPr>
          <w:jc w:val="center"/>
        </w:trPr>
        <w:tc>
          <w:tcPr>
            <w:tcW w:w="2970" w:type="dxa"/>
            <w:shd w:val="clear" w:color="auto" w:fill="auto"/>
          </w:tcPr>
          <w:p w:rsidR="00070FC5" w:rsidRPr="00CC73F3" w:rsidRDefault="00070FC5" w:rsidP="00D639F5">
            <w:pPr>
              <w:jc w:val="right"/>
              <w:rPr>
                <w:rFonts w:eastAsia="Calibri"/>
              </w:rPr>
            </w:pPr>
            <w:r w:rsidRPr="00CC73F3">
              <w:rPr>
                <w:rFonts w:eastAsia="Calibri"/>
              </w:rPr>
              <w:t>Contort</w:t>
            </w:r>
          </w:p>
        </w:tc>
        <w:tc>
          <w:tcPr>
            <w:tcW w:w="1980" w:type="dxa"/>
            <w:shd w:val="clear" w:color="auto" w:fill="auto"/>
          </w:tcPr>
          <w:p w:rsidR="00070FC5" w:rsidRPr="00CC73F3" w:rsidRDefault="00070FC5" w:rsidP="00D639F5">
            <w:pPr>
              <w:jc w:val="center"/>
              <w:rPr>
                <w:rFonts w:eastAsia="Calibri"/>
              </w:rPr>
            </w:pPr>
            <w:r w:rsidRPr="00CC73F3">
              <w:rPr>
                <w:rFonts w:eastAsia="Calibri"/>
              </w:rPr>
              <w:t>21,508</w:t>
            </w:r>
          </w:p>
        </w:tc>
      </w:tr>
      <w:tr w:rsidR="00070FC5" w:rsidRPr="00CC73F3" w:rsidTr="00D639F5">
        <w:trPr>
          <w:jc w:val="center"/>
        </w:trPr>
        <w:tc>
          <w:tcPr>
            <w:tcW w:w="2970" w:type="dxa"/>
            <w:tcBorders>
              <w:bottom w:val="single" w:sz="18" w:space="0" w:color="auto"/>
            </w:tcBorders>
            <w:shd w:val="clear" w:color="auto" w:fill="auto"/>
          </w:tcPr>
          <w:p w:rsidR="00070FC5" w:rsidRPr="00CC73F3" w:rsidRDefault="00070FC5" w:rsidP="00D639F5">
            <w:pPr>
              <w:jc w:val="right"/>
              <w:rPr>
                <w:rFonts w:eastAsia="Calibri"/>
              </w:rPr>
            </w:pPr>
            <w:r w:rsidRPr="00CC73F3">
              <w:rPr>
                <w:rFonts w:eastAsia="Calibri"/>
              </w:rPr>
              <w:t>Power Curl Mini</w:t>
            </w:r>
          </w:p>
        </w:tc>
        <w:tc>
          <w:tcPr>
            <w:tcW w:w="1980"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5,315</w:t>
            </w:r>
          </w:p>
        </w:tc>
      </w:tr>
      <w:tr w:rsidR="00070FC5" w:rsidRPr="00CC73F3" w:rsidTr="00D639F5">
        <w:trPr>
          <w:jc w:val="center"/>
        </w:trPr>
        <w:tc>
          <w:tcPr>
            <w:tcW w:w="4950" w:type="dxa"/>
            <w:gridSpan w:val="2"/>
            <w:tcBorders>
              <w:top w:val="single" w:sz="18" w:space="0" w:color="auto"/>
            </w:tcBorders>
            <w:shd w:val="clear" w:color="auto" w:fill="auto"/>
          </w:tcPr>
          <w:p w:rsidR="00070FC5" w:rsidRPr="00CC73F3" w:rsidRDefault="00070FC5" w:rsidP="00D639F5">
            <w:pPr>
              <w:rPr>
                <w:rFonts w:eastAsia="Calibri"/>
                <w:sz w:val="20"/>
                <w:szCs w:val="20"/>
              </w:rPr>
            </w:pPr>
            <w:r w:rsidRPr="00CC73F3">
              <w:rPr>
                <w:rFonts w:eastAsia="Calibri"/>
                <w:sz w:val="20"/>
                <w:szCs w:val="20"/>
                <w:vertAlign w:val="superscript"/>
              </w:rPr>
              <w:t>a</w:t>
            </w:r>
            <w:r w:rsidRPr="00CC73F3">
              <w:rPr>
                <w:rFonts w:eastAsia="Calibri"/>
                <w:sz w:val="20"/>
                <w:szCs w:val="20"/>
              </w:rPr>
              <w:t xml:space="preserve"> This product set was omitted from the analysis </w:t>
            </w:r>
          </w:p>
        </w:tc>
      </w:tr>
    </w:tbl>
    <w:p w:rsidR="00070FC5" w:rsidRPr="00CC73F3" w:rsidRDefault="00070FC5" w:rsidP="00D639F5">
      <w:pPr>
        <w:pStyle w:val="Heading3"/>
      </w:pPr>
    </w:p>
    <w:p w:rsidR="00070FC5" w:rsidRPr="00CC73F3" w:rsidRDefault="00070FC5" w:rsidP="00D639F5">
      <w:pPr>
        <w:pStyle w:val="Heading3"/>
      </w:pPr>
      <w:bookmarkStart w:id="109" w:name="_Toc420572617"/>
      <w:r w:rsidRPr="00CC73F3">
        <w:t>Study 2 Results</w:t>
      </w:r>
      <w:bookmarkEnd w:id="109"/>
    </w:p>
    <w:p w:rsidR="00070FC5" w:rsidRPr="00CC73F3" w:rsidRDefault="00070FC5" w:rsidP="00D639F5">
      <w:pPr>
        <w:spacing w:line="480" w:lineRule="auto"/>
        <w:rPr>
          <w:rFonts w:eastAsia="Calibri"/>
          <w:szCs w:val="22"/>
        </w:rPr>
      </w:pPr>
      <w:r w:rsidRPr="00CC73F3">
        <w:rPr>
          <w:rFonts w:eastAsia="Calibri"/>
          <w:szCs w:val="22"/>
        </w:rPr>
        <w:tab/>
        <w:t xml:space="preserve">In the main data collection, the hits and misses were calculated for each product prior to aggregating them into a single dependent variable (the sum of positive or negative hits across the product sets). For the cleaning supplies product set, the positive hit percentage was 11.6% and the negative hit percentage was 22.6%. Due to the low overall hit success rate for this product set, it was dropped from the analysis. As in the previous study, team member familiarity, and the regulatory focus and positive affect of individual team members were included as controls. </w:t>
      </w:r>
    </w:p>
    <w:p w:rsidR="00070FC5" w:rsidRPr="00CC73F3" w:rsidRDefault="00070FC5" w:rsidP="00D639F5">
      <w:pPr>
        <w:rPr>
          <w:rFonts w:eastAsia="Calibri"/>
          <w:szCs w:val="22"/>
        </w:rPr>
      </w:pPr>
    </w:p>
    <w:p w:rsidR="00070FC5" w:rsidRPr="00CC73F3" w:rsidRDefault="00070FC5" w:rsidP="00D639F5">
      <w:pPr>
        <w:rPr>
          <w:rFonts w:eastAsia="Calibri"/>
          <w:szCs w:val="22"/>
        </w:rPr>
      </w:pPr>
    </w:p>
    <w:p w:rsidR="00070FC5" w:rsidRPr="00CC73F3" w:rsidRDefault="00070FC5" w:rsidP="00D639F5">
      <w:pPr>
        <w:pStyle w:val="Caption"/>
        <w:rPr>
          <w:rFonts w:eastAsia="Calibri"/>
        </w:rPr>
      </w:pPr>
      <w:bookmarkStart w:id="110" w:name="_Toc420570950"/>
      <w:proofErr w:type="gramStart"/>
      <w:r w:rsidRPr="00CC73F3">
        <w:t xml:space="preserve">Table </w:t>
      </w:r>
      <w:fldSimple w:instr=" SEQ Table \* ARABIC ">
        <w:r w:rsidRPr="00CC73F3">
          <w:rPr>
            <w:noProof/>
          </w:rPr>
          <w:t>25</w:t>
        </w:r>
      </w:fldSimple>
      <w:r w:rsidRPr="00CC73F3">
        <w:rPr>
          <w:rFonts w:eastAsia="Calibri"/>
        </w:rPr>
        <w:t>.</w:t>
      </w:r>
      <w:proofErr w:type="gramEnd"/>
      <w:r w:rsidRPr="00CC73F3">
        <w:rPr>
          <w:rFonts w:eastAsia="Calibri"/>
        </w:rPr>
        <w:t xml:space="preserve"> Hit Rates for Study 2 Experiment Product Choice Sets</w:t>
      </w:r>
      <w:bookmarkEnd w:id="110"/>
      <w:r w:rsidRPr="00CC73F3">
        <w:rPr>
          <w:rFonts w:eastAsia="Calibri"/>
        </w:rPr>
        <w:t xml:space="preserve"> </w:t>
      </w:r>
    </w:p>
    <w:p w:rsidR="00070FC5" w:rsidRPr="00CC73F3" w:rsidRDefault="00070FC5" w:rsidP="00D639F5">
      <w:pPr>
        <w:rPr>
          <w:rFonts w:eastAsia="Calibri"/>
        </w:rPr>
      </w:pPr>
    </w:p>
    <w:tbl>
      <w:tblPr>
        <w:tblW w:w="0" w:type="auto"/>
        <w:jc w:val="center"/>
        <w:tblInd w:w="2516" w:type="dxa"/>
        <w:tblLook w:val="04A0" w:firstRow="1" w:lastRow="0" w:firstColumn="1" w:lastColumn="0" w:noHBand="0" w:noVBand="1"/>
      </w:tblPr>
      <w:tblGrid>
        <w:gridCol w:w="2956"/>
        <w:gridCol w:w="2014"/>
        <w:gridCol w:w="2090"/>
      </w:tblGrid>
      <w:tr w:rsidR="00070FC5" w:rsidRPr="00CC73F3" w:rsidTr="00D639F5">
        <w:trPr>
          <w:jc w:val="center"/>
        </w:trPr>
        <w:tc>
          <w:tcPr>
            <w:tcW w:w="2956" w:type="dxa"/>
            <w:tcBorders>
              <w:top w:val="single" w:sz="18" w:space="0" w:color="auto"/>
              <w:bottom w:val="single" w:sz="18" w:space="0" w:color="auto"/>
            </w:tcBorders>
            <w:shd w:val="clear" w:color="auto" w:fill="auto"/>
          </w:tcPr>
          <w:p w:rsidR="00070FC5" w:rsidRPr="00CC73F3" w:rsidRDefault="00070FC5" w:rsidP="00D639F5">
            <w:pPr>
              <w:rPr>
                <w:rFonts w:eastAsia="Calibri"/>
                <w:b/>
              </w:rPr>
            </w:pPr>
            <w:r w:rsidRPr="00CC73F3">
              <w:rPr>
                <w:rFonts w:eastAsia="Calibri"/>
                <w:b/>
              </w:rPr>
              <w:t>Product Set</w:t>
            </w:r>
          </w:p>
        </w:tc>
        <w:tc>
          <w:tcPr>
            <w:tcW w:w="2014"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Positive Hit Rate</w:t>
            </w:r>
          </w:p>
        </w:tc>
        <w:tc>
          <w:tcPr>
            <w:tcW w:w="2090"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Negative Hit Rate</w:t>
            </w:r>
          </w:p>
        </w:tc>
      </w:tr>
      <w:tr w:rsidR="00070FC5" w:rsidRPr="00CC73F3" w:rsidTr="00D639F5">
        <w:trPr>
          <w:jc w:val="center"/>
        </w:trPr>
        <w:tc>
          <w:tcPr>
            <w:tcW w:w="2956" w:type="dxa"/>
            <w:tcBorders>
              <w:top w:val="single" w:sz="18" w:space="0" w:color="auto"/>
            </w:tcBorders>
            <w:shd w:val="clear" w:color="auto" w:fill="auto"/>
          </w:tcPr>
          <w:p w:rsidR="00070FC5" w:rsidRPr="00CC73F3" w:rsidRDefault="00070FC5" w:rsidP="00D639F5">
            <w:pPr>
              <w:rPr>
                <w:rFonts w:eastAsia="Calibri"/>
              </w:rPr>
            </w:pPr>
            <w:r w:rsidRPr="00CC73F3">
              <w:rPr>
                <w:rFonts w:eastAsia="Calibri"/>
              </w:rPr>
              <w:t>Kitchen Gadgets</w:t>
            </w:r>
          </w:p>
        </w:tc>
        <w:tc>
          <w:tcPr>
            <w:tcW w:w="2014"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35.8%</w:t>
            </w:r>
          </w:p>
        </w:tc>
        <w:tc>
          <w:tcPr>
            <w:tcW w:w="2090"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29.7%</w:t>
            </w:r>
          </w:p>
        </w:tc>
      </w:tr>
      <w:tr w:rsidR="00070FC5" w:rsidRPr="00CC73F3" w:rsidTr="00D639F5">
        <w:trPr>
          <w:jc w:val="center"/>
        </w:trPr>
        <w:tc>
          <w:tcPr>
            <w:tcW w:w="2956" w:type="dxa"/>
            <w:shd w:val="clear" w:color="auto" w:fill="auto"/>
          </w:tcPr>
          <w:p w:rsidR="00070FC5" w:rsidRPr="00CC73F3" w:rsidRDefault="00070FC5" w:rsidP="00D639F5">
            <w:pPr>
              <w:rPr>
                <w:rFonts w:eastAsia="Calibri"/>
              </w:rPr>
            </w:pPr>
            <w:r w:rsidRPr="00CC73F3">
              <w:rPr>
                <w:rFonts w:eastAsia="Calibri"/>
              </w:rPr>
              <w:t>Mobile Phone Accessories</w:t>
            </w:r>
          </w:p>
        </w:tc>
        <w:tc>
          <w:tcPr>
            <w:tcW w:w="2014" w:type="dxa"/>
            <w:shd w:val="clear" w:color="auto" w:fill="auto"/>
          </w:tcPr>
          <w:p w:rsidR="00070FC5" w:rsidRPr="00CC73F3" w:rsidRDefault="00070FC5" w:rsidP="00D639F5">
            <w:pPr>
              <w:jc w:val="center"/>
              <w:rPr>
                <w:rFonts w:eastAsia="Calibri"/>
              </w:rPr>
            </w:pPr>
            <w:r w:rsidRPr="00CC73F3">
              <w:rPr>
                <w:rFonts w:eastAsia="Calibri"/>
              </w:rPr>
              <w:t>44.3%</w:t>
            </w:r>
          </w:p>
        </w:tc>
        <w:tc>
          <w:tcPr>
            <w:tcW w:w="2090" w:type="dxa"/>
            <w:shd w:val="clear" w:color="auto" w:fill="auto"/>
          </w:tcPr>
          <w:p w:rsidR="00070FC5" w:rsidRPr="00CC73F3" w:rsidRDefault="00070FC5" w:rsidP="00D639F5">
            <w:pPr>
              <w:jc w:val="center"/>
              <w:rPr>
                <w:rFonts w:eastAsia="Calibri"/>
              </w:rPr>
            </w:pPr>
            <w:r w:rsidRPr="00CC73F3">
              <w:rPr>
                <w:rFonts w:eastAsia="Calibri"/>
              </w:rPr>
              <w:t>84.0%</w:t>
            </w: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rPr>
            </w:pPr>
            <w:r w:rsidRPr="00CC73F3">
              <w:rPr>
                <w:rFonts w:eastAsia="Calibri"/>
              </w:rPr>
              <w:t xml:space="preserve">Cleaning Supplies </w:t>
            </w:r>
            <w:r w:rsidRPr="00CC73F3">
              <w:rPr>
                <w:rFonts w:eastAsia="Calibri"/>
                <w:vertAlign w:val="superscript"/>
              </w:rPr>
              <w:t>a</w:t>
            </w:r>
          </w:p>
        </w:tc>
        <w:tc>
          <w:tcPr>
            <w:tcW w:w="2014" w:type="dxa"/>
            <w:shd w:val="clear" w:color="auto" w:fill="auto"/>
          </w:tcPr>
          <w:p w:rsidR="00070FC5" w:rsidRPr="00CC73F3" w:rsidRDefault="00070FC5" w:rsidP="00D639F5">
            <w:pPr>
              <w:jc w:val="center"/>
              <w:rPr>
                <w:rFonts w:eastAsia="Calibri"/>
              </w:rPr>
            </w:pPr>
            <w:r w:rsidRPr="00CC73F3">
              <w:rPr>
                <w:rFonts w:eastAsia="Calibri"/>
              </w:rPr>
              <w:t>11.6%</w:t>
            </w:r>
          </w:p>
        </w:tc>
        <w:tc>
          <w:tcPr>
            <w:tcW w:w="2090" w:type="dxa"/>
            <w:shd w:val="clear" w:color="auto" w:fill="auto"/>
          </w:tcPr>
          <w:p w:rsidR="00070FC5" w:rsidRPr="00CC73F3" w:rsidRDefault="00070FC5" w:rsidP="00D639F5">
            <w:pPr>
              <w:jc w:val="center"/>
              <w:rPr>
                <w:rFonts w:eastAsia="Calibri"/>
              </w:rPr>
            </w:pPr>
            <w:r w:rsidRPr="00CC73F3">
              <w:rPr>
                <w:rFonts w:eastAsia="Calibri"/>
              </w:rPr>
              <w:t>22.6%</w:t>
            </w: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rPr>
            </w:pPr>
            <w:r w:rsidRPr="00CC73F3">
              <w:rPr>
                <w:rFonts w:eastAsia="Calibri"/>
              </w:rPr>
              <w:t>Cord Organizers</w:t>
            </w:r>
          </w:p>
        </w:tc>
        <w:tc>
          <w:tcPr>
            <w:tcW w:w="2014" w:type="dxa"/>
            <w:shd w:val="clear" w:color="auto" w:fill="auto"/>
          </w:tcPr>
          <w:p w:rsidR="00070FC5" w:rsidRPr="00CC73F3" w:rsidRDefault="00070FC5" w:rsidP="00D639F5">
            <w:pPr>
              <w:jc w:val="center"/>
              <w:rPr>
                <w:rFonts w:eastAsia="Calibri"/>
              </w:rPr>
            </w:pPr>
            <w:r w:rsidRPr="00CC73F3">
              <w:rPr>
                <w:rFonts w:eastAsia="Calibri"/>
              </w:rPr>
              <w:t>34.9%</w:t>
            </w:r>
          </w:p>
        </w:tc>
        <w:tc>
          <w:tcPr>
            <w:tcW w:w="2090" w:type="dxa"/>
            <w:shd w:val="clear" w:color="auto" w:fill="auto"/>
          </w:tcPr>
          <w:p w:rsidR="00070FC5" w:rsidRPr="00CC73F3" w:rsidRDefault="00070FC5" w:rsidP="00D639F5">
            <w:pPr>
              <w:jc w:val="center"/>
              <w:rPr>
                <w:rFonts w:eastAsia="Calibri"/>
              </w:rPr>
            </w:pPr>
            <w:r w:rsidRPr="00CC73F3">
              <w:rPr>
                <w:rFonts w:eastAsia="Calibri"/>
              </w:rPr>
              <w:t>28.8%</w:t>
            </w: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rPr>
            </w:pPr>
            <w:r w:rsidRPr="00CC73F3">
              <w:rPr>
                <w:rFonts w:eastAsia="Calibri"/>
              </w:rPr>
              <w:t>All (sum)</w:t>
            </w:r>
          </w:p>
        </w:tc>
        <w:tc>
          <w:tcPr>
            <w:tcW w:w="2014" w:type="dxa"/>
            <w:shd w:val="clear" w:color="auto" w:fill="auto"/>
          </w:tcPr>
          <w:p w:rsidR="00070FC5" w:rsidRPr="00CC73F3" w:rsidRDefault="00070FC5" w:rsidP="00D639F5">
            <w:pPr>
              <w:jc w:val="center"/>
              <w:rPr>
                <w:rFonts w:eastAsia="Calibri"/>
              </w:rPr>
            </w:pPr>
          </w:p>
        </w:tc>
        <w:tc>
          <w:tcPr>
            <w:tcW w:w="2090" w:type="dxa"/>
            <w:shd w:val="clear" w:color="auto" w:fill="auto"/>
          </w:tcPr>
          <w:p w:rsidR="00070FC5" w:rsidRPr="00CC73F3" w:rsidRDefault="00070FC5" w:rsidP="00D639F5">
            <w:pPr>
              <w:jc w:val="center"/>
              <w:rPr>
                <w:rFonts w:eastAsia="Calibri"/>
              </w:rPr>
            </w:pP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i/>
              </w:rPr>
            </w:pPr>
            <w:r w:rsidRPr="00CC73F3">
              <w:rPr>
                <w:rFonts w:eastAsia="Calibri"/>
                <w:i/>
              </w:rPr>
              <w:t>0 Hits</w:t>
            </w:r>
          </w:p>
        </w:tc>
        <w:tc>
          <w:tcPr>
            <w:tcW w:w="2014" w:type="dxa"/>
            <w:shd w:val="clear" w:color="auto" w:fill="auto"/>
          </w:tcPr>
          <w:p w:rsidR="00070FC5" w:rsidRPr="00CC73F3" w:rsidRDefault="00070FC5" w:rsidP="00D639F5">
            <w:pPr>
              <w:jc w:val="center"/>
              <w:rPr>
                <w:rFonts w:eastAsia="Calibri"/>
              </w:rPr>
            </w:pPr>
            <w:r w:rsidRPr="00CC73F3">
              <w:rPr>
                <w:rFonts w:eastAsia="Calibri"/>
              </w:rPr>
              <w:t>23.2%</w:t>
            </w:r>
          </w:p>
        </w:tc>
        <w:tc>
          <w:tcPr>
            <w:tcW w:w="2090" w:type="dxa"/>
            <w:shd w:val="clear" w:color="auto" w:fill="auto"/>
          </w:tcPr>
          <w:p w:rsidR="00070FC5" w:rsidRPr="00CC73F3" w:rsidRDefault="00070FC5" w:rsidP="00D639F5">
            <w:pPr>
              <w:jc w:val="center"/>
              <w:rPr>
                <w:rFonts w:eastAsia="Calibri"/>
              </w:rPr>
            </w:pPr>
            <w:r w:rsidRPr="00CC73F3">
              <w:rPr>
                <w:rFonts w:eastAsia="Calibri"/>
              </w:rPr>
              <w:t>2.0%</w:t>
            </w: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i/>
              </w:rPr>
            </w:pPr>
            <w:r w:rsidRPr="00CC73F3">
              <w:rPr>
                <w:rFonts w:eastAsia="Calibri"/>
                <w:i/>
              </w:rPr>
              <w:t>1 Hit</w:t>
            </w:r>
          </w:p>
        </w:tc>
        <w:tc>
          <w:tcPr>
            <w:tcW w:w="2014" w:type="dxa"/>
            <w:shd w:val="clear" w:color="auto" w:fill="auto"/>
          </w:tcPr>
          <w:p w:rsidR="00070FC5" w:rsidRPr="00CC73F3" w:rsidRDefault="00070FC5" w:rsidP="00D639F5">
            <w:pPr>
              <w:jc w:val="center"/>
              <w:rPr>
                <w:rFonts w:eastAsia="Calibri"/>
              </w:rPr>
            </w:pPr>
            <w:r w:rsidRPr="00CC73F3">
              <w:rPr>
                <w:rFonts w:eastAsia="Calibri"/>
              </w:rPr>
              <w:t>36.4%</w:t>
            </w:r>
          </w:p>
        </w:tc>
        <w:tc>
          <w:tcPr>
            <w:tcW w:w="2090" w:type="dxa"/>
            <w:shd w:val="clear" w:color="auto" w:fill="auto"/>
          </w:tcPr>
          <w:p w:rsidR="00070FC5" w:rsidRPr="00CC73F3" w:rsidRDefault="00070FC5" w:rsidP="00D639F5">
            <w:pPr>
              <w:jc w:val="center"/>
              <w:rPr>
                <w:rFonts w:eastAsia="Calibri"/>
              </w:rPr>
            </w:pPr>
            <w:r w:rsidRPr="00CC73F3">
              <w:rPr>
                <w:rFonts w:eastAsia="Calibri"/>
              </w:rPr>
              <w:t>48.5%</w:t>
            </w:r>
          </w:p>
        </w:tc>
      </w:tr>
      <w:tr w:rsidR="00070FC5" w:rsidRPr="00CC73F3" w:rsidTr="00D639F5">
        <w:trPr>
          <w:trHeight w:val="107"/>
          <w:jc w:val="center"/>
        </w:trPr>
        <w:tc>
          <w:tcPr>
            <w:tcW w:w="2956" w:type="dxa"/>
            <w:shd w:val="clear" w:color="auto" w:fill="auto"/>
          </w:tcPr>
          <w:p w:rsidR="00070FC5" w:rsidRPr="00CC73F3" w:rsidRDefault="00070FC5" w:rsidP="00D639F5">
            <w:pPr>
              <w:rPr>
                <w:rFonts w:eastAsia="Calibri"/>
                <w:i/>
              </w:rPr>
            </w:pPr>
            <w:r w:rsidRPr="00CC73F3">
              <w:rPr>
                <w:rFonts w:eastAsia="Calibri"/>
                <w:i/>
              </w:rPr>
              <w:t>2 Hits</w:t>
            </w:r>
          </w:p>
        </w:tc>
        <w:tc>
          <w:tcPr>
            <w:tcW w:w="2014" w:type="dxa"/>
            <w:shd w:val="clear" w:color="auto" w:fill="auto"/>
          </w:tcPr>
          <w:p w:rsidR="00070FC5" w:rsidRPr="00CC73F3" w:rsidRDefault="00070FC5" w:rsidP="00D639F5">
            <w:pPr>
              <w:jc w:val="center"/>
              <w:rPr>
                <w:rFonts w:eastAsia="Calibri"/>
              </w:rPr>
            </w:pPr>
            <w:r w:rsidRPr="00CC73F3">
              <w:rPr>
                <w:rFonts w:eastAsia="Calibri"/>
              </w:rPr>
              <w:t>33.3%</w:t>
            </w:r>
          </w:p>
        </w:tc>
        <w:tc>
          <w:tcPr>
            <w:tcW w:w="2090" w:type="dxa"/>
            <w:shd w:val="clear" w:color="auto" w:fill="auto"/>
          </w:tcPr>
          <w:p w:rsidR="00070FC5" w:rsidRPr="00CC73F3" w:rsidRDefault="00070FC5" w:rsidP="00D639F5">
            <w:pPr>
              <w:jc w:val="center"/>
              <w:rPr>
                <w:rFonts w:eastAsia="Calibri"/>
              </w:rPr>
            </w:pPr>
            <w:r w:rsidRPr="00CC73F3">
              <w:rPr>
                <w:rFonts w:eastAsia="Calibri"/>
              </w:rPr>
              <w:t>80.8%</w:t>
            </w:r>
          </w:p>
        </w:tc>
      </w:tr>
      <w:tr w:rsidR="00070FC5" w:rsidRPr="00CC73F3" w:rsidTr="00D639F5">
        <w:trPr>
          <w:trHeight w:val="107"/>
          <w:jc w:val="center"/>
        </w:trPr>
        <w:tc>
          <w:tcPr>
            <w:tcW w:w="2956" w:type="dxa"/>
            <w:tcBorders>
              <w:bottom w:val="single" w:sz="18" w:space="0" w:color="auto"/>
            </w:tcBorders>
            <w:shd w:val="clear" w:color="auto" w:fill="auto"/>
          </w:tcPr>
          <w:p w:rsidR="00070FC5" w:rsidRPr="00CC73F3" w:rsidRDefault="00070FC5" w:rsidP="00D639F5">
            <w:pPr>
              <w:rPr>
                <w:rFonts w:eastAsia="Calibri"/>
                <w:i/>
              </w:rPr>
            </w:pPr>
            <w:r w:rsidRPr="00CC73F3">
              <w:rPr>
                <w:rFonts w:eastAsia="Calibri"/>
                <w:i/>
              </w:rPr>
              <w:t>3 Hits</w:t>
            </w:r>
          </w:p>
        </w:tc>
        <w:tc>
          <w:tcPr>
            <w:tcW w:w="2014"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7.1%</w:t>
            </w:r>
          </w:p>
        </w:tc>
        <w:tc>
          <w:tcPr>
            <w:tcW w:w="2090"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18.2%</w:t>
            </w:r>
          </w:p>
        </w:tc>
      </w:tr>
      <w:tr w:rsidR="00070FC5" w:rsidRPr="00CC73F3" w:rsidTr="00D639F5">
        <w:trPr>
          <w:trHeight w:val="107"/>
          <w:jc w:val="center"/>
        </w:trPr>
        <w:tc>
          <w:tcPr>
            <w:tcW w:w="7060" w:type="dxa"/>
            <w:gridSpan w:val="3"/>
            <w:tcBorders>
              <w:top w:val="single" w:sz="18" w:space="0" w:color="auto"/>
            </w:tcBorders>
            <w:shd w:val="clear" w:color="auto" w:fill="auto"/>
          </w:tcPr>
          <w:p w:rsidR="00070FC5" w:rsidRPr="00CC73F3" w:rsidRDefault="00070FC5" w:rsidP="00D639F5">
            <w:pPr>
              <w:rPr>
                <w:rFonts w:eastAsia="Calibri"/>
              </w:rPr>
            </w:pPr>
            <w:r w:rsidRPr="00CC73F3">
              <w:rPr>
                <w:rFonts w:eastAsia="Calibri"/>
                <w:vertAlign w:val="superscript"/>
              </w:rPr>
              <w:t>a</w:t>
            </w:r>
            <w:r w:rsidRPr="00CC73F3">
              <w:rPr>
                <w:rFonts w:eastAsia="Calibri"/>
              </w:rPr>
              <w:t xml:space="preserve"> Product set was omitted from analysis due to low hit rates</w:t>
            </w:r>
          </w:p>
        </w:tc>
      </w:tr>
    </w:tbl>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szCs w:val="22"/>
        </w:rPr>
        <w:t>Also included as control variables was the category knowledge (an average of knowledge across the three categories used) teams had about the product sets, as well as how many products team had previously seen before completing Study 2. The positive and negative hits rates of all the product sets are shown in Table 25.</w:t>
      </w:r>
    </w:p>
    <w:p w:rsidR="00070FC5" w:rsidRPr="00CC73F3" w:rsidRDefault="00070FC5" w:rsidP="00D639F5">
      <w:pPr>
        <w:spacing w:line="480" w:lineRule="auto"/>
        <w:rPr>
          <w:rFonts w:eastAsia="Calibri"/>
          <w:szCs w:val="22"/>
        </w:rPr>
      </w:pPr>
      <w:r w:rsidRPr="00CC73F3">
        <w:rPr>
          <w:rFonts w:eastAsia="Calibri"/>
          <w:szCs w:val="22"/>
        </w:rPr>
        <w:tab/>
      </w:r>
    </w:p>
    <w:p w:rsidR="00070FC5" w:rsidRPr="00CC73F3" w:rsidRDefault="00070FC5" w:rsidP="00D639F5">
      <w:pPr>
        <w:pStyle w:val="Heading3"/>
        <w:rPr>
          <w:i w:val="0"/>
        </w:rPr>
      </w:pPr>
      <w:bookmarkStart w:id="111" w:name="_Toc420572618"/>
      <w:r w:rsidRPr="00CC73F3">
        <w:t>Study 2 Hypothesis Tests</w:t>
      </w:r>
      <w:bookmarkEnd w:id="111"/>
      <w:r w:rsidRPr="00CC73F3">
        <w:tab/>
      </w:r>
    </w:p>
    <w:p w:rsidR="00070FC5" w:rsidRPr="00CC73F3" w:rsidRDefault="00070FC5" w:rsidP="00D639F5">
      <w:pPr>
        <w:spacing w:line="480" w:lineRule="auto"/>
        <w:rPr>
          <w:rFonts w:eastAsia="Calibri"/>
          <w:szCs w:val="22"/>
        </w:rPr>
      </w:pPr>
      <w:r w:rsidRPr="00CC73F3">
        <w:rPr>
          <w:rFonts w:eastAsia="Calibri"/>
          <w:szCs w:val="22"/>
        </w:rPr>
        <w:tab/>
        <w:t xml:space="preserve">Hypothesis 4a, Hypothesis 5a, and Hypothesis 6a were tested using an analysis of covariance model with positive hits as the dependent variable. The independent variables group reflexivity and group regulatory focus were included as well as the regulatory focus by reflexivity interaction effect. Covariates in the model included how well team members knew </w:t>
      </w:r>
    </w:p>
    <w:p w:rsidR="00070FC5" w:rsidRPr="00CC73F3" w:rsidRDefault="00070FC5" w:rsidP="00D639F5">
      <w:pPr>
        <w:pStyle w:val="Caption"/>
        <w:rPr>
          <w:rFonts w:eastAsia="Calibri"/>
        </w:rPr>
      </w:pPr>
      <w:r w:rsidRPr="00CC73F3">
        <w:rPr>
          <w:rFonts w:eastAsia="Calibri"/>
        </w:rPr>
        <w:br w:type="page"/>
      </w:r>
      <w:bookmarkStart w:id="112" w:name="_Toc420570951"/>
      <w:proofErr w:type="gramStart"/>
      <w:r w:rsidRPr="00CC73F3">
        <w:t xml:space="preserve">Table </w:t>
      </w:r>
      <w:fldSimple w:instr=" SEQ Table \* ARABIC ">
        <w:r w:rsidRPr="00CC73F3">
          <w:rPr>
            <w:noProof/>
          </w:rPr>
          <w:t>26</w:t>
        </w:r>
      </w:fldSimple>
      <w:r w:rsidRPr="00CC73F3">
        <w:rPr>
          <w:rFonts w:eastAsia="Calibri"/>
        </w:rPr>
        <w:t>.</w:t>
      </w:r>
      <w:proofErr w:type="gramEnd"/>
      <w:r w:rsidRPr="00CC73F3">
        <w:rPr>
          <w:rFonts w:eastAsia="Calibri"/>
        </w:rPr>
        <w:t xml:space="preserve"> ANCOVA Results for Study 2</w:t>
      </w:r>
      <w:bookmarkEnd w:id="112"/>
    </w:p>
    <w:p w:rsidR="00070FC5" w:rsidRPr="00CC73F3" w:rsidRDefault="00070FC5" w:rsidP="00D639F5">
      <w:pPr>
        <w:rPr>
          <w:rFonts w:eastAsia="Calibri"/>
        </w:rPr>
      </w:pPr>
    </w:p>
    <w:tbl>
      <w:tblPr>
        <w:tblW w:w="9400" w:type="dxa"/>
        <w:tblInd w:w="93" w:type="dxa"/>
        <w:tblLook w:val="04A0" w:firstRow="1" w:lastRow="0" w:firstColumn="1" w:lastColumn="0" w:noHBand="0" w:noVBand="1"/>
      </w:tblPr>
      <w:tblGrid>
        <w:gridCol w:w="2355"/>
        <w:gridCol w:w="2970"/>
        <w:gridCol w:w="720"/>
        <w:gridCol w:w="1435"/>
        <w:gridCol w:w="960"/>
        <w:gridCol w:w="960"/>
      </w:tblGrid>
      <w:tr w:rsidR="00070FC5" w:rsidRPr="00CC73F3" w:rsidTr="00D639F5">
        <w:trPr>
          <w:trHeight w:val="432"/>
        </w:trPr>
        <w:tc>
          <w:tcPr>
            <w:tcW w:w="2355"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pPr>
              <w:rPr>
                <w:b/>
                <w:bCs/>
                <w:color w:val="000000"/>
              </w:rPr>
            </w:pPr>
            <w:r w:rsidRPr="00CC73F3">
              <w:rPr>
                <w:b/>
                <w:bCs/>
                <w:color w:val="000000"/>
              </w:rPr>
              <w:t>Dependent Variable</w:t>
            </w:r>
          </w:p>
        </w:tc>
        <w:tc>
          <w:tcPr>
            <w:tcW w:w="2970"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pPr>
              <w:jc w:val="center"/>
              <w:rPr>
                <w:b/>
                <w:bCs/>
                <w:color w:val="000000"/>
              </w:rPr>
            </w:pPr>
            <w:r w:rsidRPr="00CC73F3">
              <w:rPr>
                <w:b/>
                <w:bCs/>
                <w:color w:val="000000"/>
              </w:rPr>
              <w:t> </w:t>
            </w:r>
          </w:p>
        </w:tc>
        <w:tc>
          <w:tcPr>
            <w:tcW w:w="720"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pPr>
              <w:jc w:val="center"/>
              <w:rPr>
                <w:b/>
                <w:bCs/>
                <w:color w:val="000000"/>
              </w:rPr>
            </w:pPr>
            <w:r w:rsidRPr="00CC73F3">
              <w:rPr>
                <w:b/>
                <w:bCs/>
                <w:color w:val="000000"/>
              </w:rPr>
              <w:t>d.f.</w:t>
            </w:r>
          </w:p>
        </w:tc>
        <w:tc>
          <w:tcPr>
            <w:tcW w:w="1435" w:type="dxa"/>
            <w:tcBorders>
              <w:top w:val="single" w:sz="18" w:space="0" w:color="auto"/>
              <w:left w:val="nil"/>
              <w:bottom w:val="single" w:sz="18" w:space="0" w:color="auto"/>
              <w:right w:val="nil"/>
            </w:tcBorders>
            <w:shd w:val="clear" w:color="auto" w:fill="auto"/>
            <w:vAlign w:val="center"/>
            <w:hideMark/>
          </w:tcPr>
          <w:p w:rsidR="00070FC5" w:rsidRPr="00CC73F3" w:rsidRDefault="00070FC5">
            <w:pPr>
              <w:jc w:val="center"/>
              <w:rPr>
                <w:b/>
                <w:bCs/>
                <w:color w:val="000000"/>
              </w:rPr>
            </w:pPr>
            <w:r w:rsidRPr="00CC73F3">
              <w:rPr>
                <w:b/>
                <w:bCs/>
                <w:color w:val="000000"/>
              </w:rPr>
              <w:t>Type III sum of squares</w:t>
            </w:r>
          </w:p>
        </w:tc>
        <w:tc>
          <w:tcPr>
            <w:tcW w:w="960"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pPr>
              <w:jc w:val="center"/>
              <w:rPr>
                <w:b/>
                <w:bCs/>
                <w:i/>
                <w:iCs/>
                <w:color w:val="000000"/>
              </w:rPr>
            </w:pPr>
            <w:r w:rsidRPr="00CC73F3">
              <w:rPr>
                <w:b/>
                <w:bCs/>
                <w:i/>
                <w:iCs/>
                <w:color w:val="000000"/>
              </w:rPr>
              <w:t>F</w:t>
            </w:r>
          </w:p>
        </w:tc>
        <w:tc>
          <w:tcPr>
            <w:tcW w:w="960"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pPr>
              <w:jc w:val="center"/>
              <w:rPr>
                <w:b/>
                <w:bCs/>
                <w:color w:val="000000"/>
                <w:sz w:val="22"/>
                <w:szCs w:val="22"/>
              </w:rPr>
            </w:pPr>
            <w:r w:rsidRPr="00CC73F3">
              <w:rPr>
                <w:b/>
                <w:bCs/>
                <w:color w:val="000000"/>
                <w:sz w:val="22"/>
                <w:szCs w:val="22"/>
              </w:rPr>
              <w:t>R</w:t>
            </w:r>
            <w:r w:rsidRPr="00CC73F3">
              <w:rPr>
                <w:b/>
                <w:bCs/>
                <w:color w:val="000000"/>
                <w:sz w:val="22"/>
                <w:szCs w:val="22"/>
                <w:vertAlign w:val="superscript"/>
              </w:rPr>
              <w:t>2</w:t>
            </w:r>
          </w:p>
        </w:tc>
      </w:tr>
      <w:tr w:rsidR="00070FC5" w:rsidRPr="00CC73F3" w:rsidTr="00D639F5">
        <w:trPr>
          <w:trHeight w:val="315"/>
        </w:trPr>
        <w:tc>
          <w:tcPr>
            <w:tcW w:w="2355" w:type="dxa"/>
            <w:tcBorders>
              <w:top w:val="single" w:sz="18" w:space="0" w:color="auto"/>
              <w:left w:val="nil"/>
              <w:bottom w:val="nil"/>
              <w:right w:val="nil"/>
            </w:tcBorders>
            <w:shd w:val="clear" w:color="auto" w:fill="auto"/>
            <w:noWrap/>
            <w:hideMark/>
          </w:tcPr>
          <w:p w:rsidR="00070FC5" w:rsidRPr="00CC73F3" w:rsidRDefault="00070FC5">
            <w:pPr>
              <w:rPr>
                <w:b/>
                <w:bCs/>
                <w:color w:val="000000"/>
              </w:rPr>
            </w:pPr>
            <w:r w:rsidRPr="00CC73F3">
              <w:rPr>
                <w:b/>
                <w:bCs/>
                <w:color w:val="000000"/>
              </w:rPr>
              <w:t xml:space="preserve">Model 1: </w:t>
            </w:r>
            <w:r w:rsidRPr="00CC73F3">
              <w:rPr>
                <w:b/>
                <w:bCs/>
                <w:color w:val="000000"/>
              </w:rPr>
              <w:br/>
              <w:t>Positive Hits</w:t>
            </w:r>
          </w:p>
        </w:tc>
        <w:tc>
          <w:tcPr>
            <w:tcW w:w="2970" w:type="dxa"/>
            <w:tcBorders>
              <w:top w:val="single" w:sz="18" w:space="0" w:color="auto"/>
              <w:left w:val="nil"/>
              <w:bottom w:val="nil"/>
              <w:right w:val="nil"/>
            </w:tcBorders>
            <w:shd w:val="clear" w:color="auto" w:fill="auto"/>
            <w:noWrap/>
            <w:vAlign w:val="center"/>
          </w:tcPr>
          <w:p w:rsidR="00070FC5" w:rsidRPr="00CC73F3" w:rsidRDefault="00070FC5">
            <w:pPr>
              <w:jc w:val="center"/>
              <w:rPr>
                <w:color w:val="000000"/>
              </w:rPr>
            </w:pPr>
          </w:p>
        </w:tc>
        <w:tc>
          <w:tcPr>
            <w:tcW w:w="720" w:type="dxa"/>
            <w:tcBorders>
              <w:top w:val="single" w:sz="18" w:space="0" w:color="auto"/>
              <w:left w:val="nil"/>
              <w:bottom w:val="nil"/>
              <w:right w:val="nil"/>
            </w:tcBorders>
            <w:shd w:val="clear" w:color="auto" w:fill="auto"/>
            <w:noWrap/>
            <w:vAlign w:val="center"/>
          </w:tcPr>
          <w:p w:rsidR="00070FC5" w:rsidRPr="00CC73F3" w:rsidRDefault="00070FC5">
            <w:pPr>
              <w:jc w:val="center"/>
              <w:rPr>
                <w:color w:val="000000"/>
              </w:rPr>
            </w:pPr>
          </w:p>
        </w:tc>
        <w:tc>
          <w:tcPr>
            <w:tcW w:w="1435" w:type="dxa"/>
            <w:tcBorders>
              <w:top w:val="single" w:sz="18" w:space="0" w:color="auto"/>
              <w:left w:val="nil"/>
              <w:bottom w:val="nil"/>
              <w:right w:val="nil"/>
            </w:tcBorders>
            <w:shd w:val="clear" w:color="auto" w:fill="auto"/>
            <w:noWrap/>
            <w:vAlign w:val="center"/>
          </w:tcPr>
          <w:p w:rsidR="00070FC5" w:rsidRPr="00CC73F3" w:rsidRDefault="00070FC5">
            <w:pPr>
              <w:jc w:val="center"/>
              <w:rPr>
                <w:color w:val="000000"/>
              </w:rPr>
            </w:pPr>
          </w:p>
        </w:tc>
        <w:tc>
          <w:tcPr>
            <w:tcW w:w="960" w:type="dxa"/>
            <w:tcBorders>
              <w:top w:val="single" w:sz="18" w:space="0" w:color="auto"/>
              <w:left w:val="nil"/>
              <w:bottom w:val="nil"/>
              <w:right w:val="nil"/>
            </w:tcBorders>
            <w:shd w:val="clear" w:color="auto" w:fill="auto"/>
            <w:noWrap/>
            <w:vAlign w:val="center"/>
          </w:tcPr>
          <w:p w:rsidR="00070FC5" w:rsidRPr="00CC73F3" w:rsidRDefault="00070FC5">
            <w:pPr>
              <w:jc w:val="center"/>
              <w:rPr>
                <w:color w:val="000000"/>
              </w:rPr>
            </w:pPr>
          </w:p>
        </w:tc>
        <w:tc>
          <w:tcPr>
            <w:tcW w:w="960" w:type="dxa"/>
            <w:tcBorders>
              <w:top w:val="single" w:sz="18" w:space="0" w:color="auto"/>
              <w:left w:val="nil"/>
              <w:bottom w:val="nil"/>
              <w:right w:val="nil"/>
            </w:tcBorders>
            <w:shd w:val="clear" w:color="auto" w:fill="auto"/>
            <w:noWrap/>
            <w:vAlign w:val="center"/>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Model</w:t>
            </w:r>
          </w:p>
        </w:tc>
        <w:tc>
          <w:tcPr>
            <w:tcW w:w="72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7</w:t>
            </w:r>
          </w:p>
        </w:tc>
        <w:tc>
          <w:tcPr>
            <w:tcW w:w="1435"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4.797</w:t>
            </w:r>
          </w:p>
        </w:tc>
        <w:tc>
          <w:tcPr>
            <w:tcW w:w="96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0.892</w:t>
            </w:r>
          </w:p>
        </w:tc>
        <w:tc>
          <w:tcPr>
            <w:tcW w:w="96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0.06</w:t>
            </w:r>
          </w:p>
        </w:tc>
      </w:tr>
      <w:tr w:rsidR="00070FC5" w:rsidRPr="00CC73F3" w:rsidTr="00D639F5">
        <w:trPr>
          <w:trHeight w:val="144"/>
        </w:trPr>
        <w:tc>
          <w:tcPr>
            <w:tcW w:w="2355" w:type="dxa"/>
            <w:tcBorders>
              <w:top w:val="nil"/>
              <w:left w:val="nil"/>
              <w:bottom w:val="nil"/>
              <w:right w:val="nil"/>
            </w:tcBorders>
            <w:shd w:val="clear" w:color="auto" w:fill="auto"/>
            <w:noWrap/>
            <w:vAlign w:val="bottom"/>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Error</w:t>
            </w:r>
          </w:p>
        </w:tc>
        <w:tc>
          <w:tcPr>
            <w:tcW w:w="72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100</w:t>
            </w:r>
          </w:p>
        </w:tc>
        <w:tc>
          <w:tcPr>
            <w:tcW w:w="1435"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76.833</w:t>
            </w:r>
          </w:p>
        </w:tc>
        <w:tc>
          <w:tcPr>
            <w:tcW w:w="96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p>
        </w:tc>
        <w:tc>
          <w:tcPr>
            <w:tcW w:w="96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Regulatory Focus</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0.173</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0.226</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Reflexivity</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1.661</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2.162</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Reg. Focus * Reflexivity</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0.006</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0.007</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Category Knowledge</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0.144</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0.188</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Individual Regulatory Focus</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0.001</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0.002</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Team Familiarity</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2.566</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3.339</w:t>
            </w:r>
            <w:r w:rsidRPr="00CC73F3">
              <w:rPr>
                <w:rFonts w:ascii="Calibri" w:hAnsi="Calibri"/>
                <w:color w:val="000000"/>
                <w:vertAlign w:val="superscript"/>
              </w:rPr>
              <w:t>†</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single" w:sz="4" w:space="0" w:color="auto"/>
              <w:right w:val="nil"/>
            </w:tcBorders>
            <w:shd w:val="clear" w:color="auto" w:fill="auto"/>
            <w:noWrap/>
            <w:vAlign w:val="bottom"/>
            <w:hideMark/>
          </w:tcPr>
          <w:p w:rsidR="00070FC5" w:rsidRPr="00CC73F3" w:rsidRDefault="00070FC5">
            <w:pPr>
              <w:rPr>
                <w:color w:val="000000"/>
              </w:rPr>
            </w:pPr>
            <w:r w:rsidRPr="00CC73F3">
              <w:rPr>
                <w:color w:val="000000"/>
              </w:rPr>
              <w:t> </w:t>
            </w:r>
          </w:p>
        </w:tc>
        <w:tc>
          <w:tcPr>
            <w:tcW w:w="2970" w:type="dxa"/>
            <w:tcBorders>
              <w:top w:val="nil"/>
              <w:left w:val="nil"/>
              <w:bottom w:val="single" w:sz="4" w:space="0" w:color="auto"/>
              <w:right w:val="nil"/>
            </w:tcBorders>
            <w:shd w:val="clear" w:color="auto" w:fill="auto"/>
            <w:noWrap/>
            <w:vAlign w:val="bottom"/>
            <w:hideMark/>
          </w:tcPr>
          <w:p w:rsidR="00070FC5" w:rsidRPr="00CC73F3" w:rsidRDefault="00070FC5">
            <w:pPr>
              <w:jc w:val="center"/>
              <w:rPr>
                <w:color w:val="000000"/>
              </w:rPr>
            </w:pPr>
            <w:r w:rsidRPr="00CC73F3">
              <w:rPr>
                <w:color w:val="000000"/>
              </w:rPr>
              <w:t>Team Affect</w:t>
            </w:r>
          </w:p>
        </w:tc>
        <w:tc>
          <w:tcPr>
            <w:tcW w:w="720" w:type="dxa"/>
            <w:tcBorders>
              <w:top w:val="nil"/>
              <w:left w:val="nil"/>
              <w:bottom w:val="single" w:sz="4" w:space="0" w:color="auto"/>
              <w:right w:val="nil"/>
            </w:tcBorders>
            <w:shd w:val="clear" w:color="auto" w:fill="auto"/>
            <w:noWrap/>
            <w:vAlign w:val="bottom"/>
            <w:hideMark/>
          </w:tcPr>
          <w:p w:rsidR="00070FC5" w:rsidRPr="00CC73F3" w:rsidRDefault="00070FC5">
            <w:pPr>
              <w:jc w:val="center"/>
              <w:rPr>
                <w:color w:val="000000"/>
              </w:rPr>
            </w:pPr>
            <w:r w:rsidRPr="00CC73F3">
              <w:rPr>
                <w:color w:val="000000"/>
              </w:rPr>
              <w:t>1</w:t>
            </w:r>
          </w:p>
        </w:tc>
        <w:tc>
          <w:tcPr>
            <w:tcW w:w="1435" w:type="dxa"/>
            <w:tcBorders>
              <w:top w:val="nil"/>
              <w:left w:val="nil"/>
              <w:bottom w:val="single" w:sz="4" w:space="0" w:color="auto"/>
              <w:right w:val="nil"/>
            </w:tcBorders>
            <w:shd w:val="clear" w:color="auto" w:fill="auto"/>
            <w:noWrap/>
            <w:vAlign w:val="bottom"/>
            <w:hideMark/>
          </w:tcPr>
          <w:p w:rsidR="00070FC5" w:rsidRPr="00CC73F3" w:rsidRDefault="00070FC5">
            <w:pPr>
              <w:jc w:val="center"/>
              <w:rPr>
                <w:color w:val="000000"/>
              </w:rPr>
            </w:pPr>
            <w:r w:rsidRPr="00CC73F3">
              <w:rPr>
                <w:color w:val="000000"/>
              </w:rPr>
              <w:t>0.489</w:t>
            </w:r>
          </w:p>
        </w:tc>
        <w:tc>
          <w:tcPr>
            <w:tcW w:w="960" w:type="dxa"/>
            <w:tcBorders>
              <w:top w:val="nil"/>
              <w:left w:val="nil"/>
              <w:bottom w:val="single" w:sz="4" w:space="0" w:color="auto"/>
              <w:right w:val="nil"/>
            </w:tcBorders>
            <w:shd w:val="clear" w:color="auto" w:fill="auto"/>
            <w:noWrap/>
            <w:vAlign w:val="bottom"/>
            <w:hideMark/>
          </w:tcPr>
          <w:p w:rsidR="00070FC5" w:rsidRPr="00CC73F3" w:rsidRDefault="00070FC5">
            <w:pPr>
              <w:jc w:val="center"/>
              <w:rPr>
                <w:color w:val="000000"/>
              </w:rPr>
            </w:pPr>
            <w:r w:rsidRPr="00CC73F3">
              <w:rPr>
                <w:color w:val="000000"/>
              </w:rPr>
              <w:t>0.637</w:t>
            </w:r>
          </w:p>
        </w:tc>
        <w:tc>
          <w:tcPr>
            <w:tcW w:w="960" w:type="dxa"/>
            <w:tcBorders>
              <w:top w:val="nil"/>
              <w:left w:val="nil"/>
              <w:bottom w:val="single" w:sz="4" w:space="0" w:color="auto"/>
              <w:right w:val="nil"/>
            </w:tcBorders>
            <w:shd w:val="clear" w:color="auto" w:fill="auto"/>
            <w:noWrap/>
            <w:vAlign w:val="center"/>
            <w:hideMark/>
          </w:tcPr>
          <w:p w:rsidR="00070FC5" w:rsidRPr="00CC73F3" w:rsidRDefault="00070FC5">
            <w:pPr>
              <w:jc w:val="center"/>
              <w:rPr>
                <w:color w:val="000000"/>
              </w:rPr>
            </w:pPr>
            <w:r w:rsidRPr="00CC73F3">
              <w:rPr>
                <w:color w:val="000000"/>
              </w:rPr>
              <w:t> </w:t>
            </w:r>
          </w:p>
        </w:tc>
      </w:tr>
      <w:tr w:rsidR="00070FC5" w:rsidRPr="00CC73F3" w:rsidTr="00D639F5">
        <w:trPr>
          <w:trHeight w:val="315"/>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315"/>
        </w:trPr>
        <w:tc>
          <w:tcPr>
            <w:tcW w:w="2355" w:type="dxa"/>
            <w:tcBorders>
              <w:top w:val="nil"/>
              <w:left w:val="nil"/>
              <w:bottom w:val="nil"/>
              <w:right w:val="nil"/>
            </w:tcBorders>
            <w:shd w:val="clear" w:color="auto" w:fill="auto"/>
            <w:noWrap/>
            <w:hideMark/>
          </w:tcPr>
          <w:p w:rsidR="00070FC5" w:rsidRPr="00CC73F3" w:rsidRDefault="00070FC5">
            <w:pPr>
              <w:rPr>
                <w:b/>
                <w:bCs/>
                <w:color w:val="000000"/>
              </w:rPr>
            </w:pPr>
            <w:r w:rsidRPr="00CC73F3">
              <w:rPr>
                <w:b/>
                <w:bCs/>
                <w:color w:val="000000"/>
              </w:rPr>
              <w:t xml:space="preserve">Model 2: </w:t>
            </w:r>
            <w:r w:rsidRPr="00CC73F3">
              <w:rPr>
                <w:b/>
                <w:bCs/>
                <w:color w:val="000000"/>
              </w:rPr>
              <w:br/>
              <w:t>Negative Hits</w:t>
            </w:r>
          </w:p>
        </w:tc>
        <w:tc>
          <w:tcPr>
            <w:tcW w:w="2970" w:type="dxa"/>
            <w:tcBorders>
              <w:top w:val="nil"/>
              <w:left w:val="nil"/>
              <w:bottom w:val="nil"/>
              <w:right w:val="nil"/>
            </w:tcBorders>
            <w:shd w:val="clear" w:color="auto" w:fill="auto"/>
            <w:noWrap/>
            <w:vAlign w:val="center"/>
          </w:tcPr>
          <w:p w:rsidR="00070FC5" w:rsidRPr="00CC73F3" w:rsidRDefault="00070FC5">
            <w:pPr>
              <w:jc w:val="center"/>
              <w:rPr>
                <w:color w:val="000000"/>
              </w:rPr>
            </w:pPr>
          </w:p>
        </w:tc>
        <w:tc>
          <w:tcPr>
            <w:tcW w:w="720" w:type="dxa"/>
            <w:tcBorders>
              <w:top w:val="nil"/>
              <w:left w:val="nil"/>
              <w:bottom w:val="nil"/>
              <w:right w:val="nil"/>
            </w:tcBorders>
            <w:shd w:val="clear" w:color="auto" w:fill="auto"/>
            <w:noWrap/>
            <w:vAlign w:val="center"/>
          </w:tcPr>
          <w:p w:rsidR="00070FC5" w:rsidRPr="00CC73F3" w:rsidRDefault="00070FC5">
            <w:pPr>
              <w:jc w:val="center"/>
              <w:rPr>
                <w:color w:val="000000"/>
              </w:rPr>
            </w:pPr>
          </w:p>
        </w:tc>
        <w:tc>
          <w:tcPr>
            <w:tcW w:w="1435" w:type="dxa"/>
            <w:tcBorders>
              <w:top w:val="nil"/>
              <w:left w:val="nil"/>
              <w:bottom w:val="nil"/>
              <w:right w:val="nil"/>
            </w:tcBorders>
            <w:shd w:val="clear" w:color="auto" w:fill="auto"/>
            <w:noWrap/>
            <w:vAlign w:val="center"/>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Model</w:t>
            </w:r>
          </w:p>
        </w:tc>
        <w:tc>
          <w:tcPr>
            <w:tcW w:w="72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7</w:t>
            </w:r>
          </w:p>
        </w:tc>
        <w:tc>
          <w:tcPr>
            <w:tcW w:w="1435"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6.449</w:t>
            </w:r>
          </w:p>
        </w:tc>
        <w:tc>
          <w:tcPr>
            <w:tcW w:w="96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1.484</w:t>
            </w:r>
          </w:p>
        </w:tc>
        <w:tc>
          <w:tcPr>
            <w:tcW w:w="96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0.09</w:t>
            </w:r>
          </w:p>
        </w:tc>
      </w:tr>
      <w:tr w:rsidR="00070FC5" w:rsidRPr="00CC73F3" w:rsidTr="00D639F5">
        <w:trPr>
          <w:trHeight w:val="144"/>
        </w:trPr>
        <w:tc>
          <w:tcPr>
            <w:tcW w:w="2355" w:type="dxa"/>
            <w:tcBorders>
              <w:top w:val="nil"/>
              <w:left w:val="nil"/>
              <w:bottom w:val="nil"/>
              <w:right w:val="nil"/>
            </w:tcBorders>
            <w:shd w:val="clear" w:color="auto" w:fill="auto"/>
            <w:noWrap/>
            <w:vAlign w:val="bottom"/>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Error</w:t>
            </w:r>
          </w:p>
        </w:tc>
        <w:tc>
          <w:tcPr>
            <w:tcW w:w="72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100</w:t>
            </w:r>
          </w:p>
        </w:tc>
        <w:tc>
          <w:tcPr>
            <w:tcW w:w="1435"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r w:rsidRPr="00CC73F3">
              <w:rPr>
                <w:color w:val="000000"/>
              </w:rPr>
              <w:t>62.097</w:t>
            </w:r>
          </w:p>
        </w:tc>
        <w:tc>
          <w:tcPr>
            <w:tcW w:w="96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p>
        </w:tc>
        <w:tc>
          <w:tcPr>
            <w:tcW w:w="960" w:type="dxa"/>
            <w:tcBorders>
              <w:top w:val="nil"/>
              <w:left w:val="nil"/>
              <w:bottom w:val="nil"/>
              <w:right w:val="nil"/>
            </w:tcBorders>
            <w:shd w:val="clear" w:color="auto" w:fill="auto"/>
            <w:noWrap/>
            <w:vAlign w:val="center"/>
          </w:tcPr>
          <w:p w:rsidR="00070FC5" w:rsidRPr="00CC73F3" w:rsidRDefault="00070FC5" w:rsidP="00D639F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Regulatory Focus</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0.545</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0.878</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Reflexivity</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0.053</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0.086</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Reg. Focus * Reflexivity</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2.953</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4.756</w:t>
            </w:r>
            <w:r w:rsidRPr="00CC73F3">
              <w:rPr>
                <w:color w:val="000000"/>
                <w:vertAlign w:val="superscript"/>
              </w:rPr>
              <w:t>*</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Category Knowledge</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1.108</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1.785</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Individual Regulatory Focus</w:t>
            </w:r>
          </w:p>
        </w:tc>
        <w:tc>
          <w:tcPr>
            <w:tcW w:w="72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0.373</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r w:rsidRPr="00CC73F3">
              <w:rPr>
                <w:color w:val="000000"/>
              </w:rPr>
              <w:t>0.601</w:t>
            </w:r>
          </w:p>
        </w:tc>
        <w:tc>
          <w:tcPr>
            <w:tcW w:w="960" w:type="dxa"/>
            <w:tcBorders>
              <w:top w:val="nil"/>
              <w:left w:val="nil"/>
              <w:bottom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right w:val="nil"/>
            </w:tcBorders>
            <w:shd w:val="clear" w:color="auto" w:fill="auto"/>
            <w:noWrap/>
            <w:vAlign w:val="bottom"/>
            <w:hideMark/>
          </w:tcPr>
          <w:p w:rsidR="00070FC5" w:rsidRPr="00CC73F3" w:rsidRDefault="00070FC5">
            <w:pPr>
              <w:rPr>
                <w:color w:val="000000"/>
              </w:rPr>
            </w:pPr>
          </w:p>
        </w:tc>
        <w:tc>
          <w:tcPr>
            <w:tcW w:w="2970" w:type="dxa"/>
            <w:tcBorders>
              <w:top w:val="nil"/>
              <w:left w:val="nil"/>
              <w:right w:val="nil"/>
            </w:tcBorders>
            <w:shd w:val="clear" w:color="auto" w:fill="auto"/>
            <w:noWrap/>
            <w:vAlign w:val="center"/>
            <w:hideMark/>
          </w:tcPr>
          <w:p w:rsidR="00070FC5" w:rsidRPr="00CC73F3" w:rsidRDefault="00070FC5">
            <w:pPr>
              <w:jc w:val="center"/>
              <w:rPr>
                <w:color w:val="000000"/>
              </w:rPr>
            </w:pPr>
            <w:r w:rsidRPr="00CC73F3">
              <w:rPr>
                <w:color w:val="000000"/>
              </w:rPr>
              <w:t>Team Familiarity</w:t>
            </w:r>
          </w:p>
        </w:tc>
        <w:tc>
          <w:tcPr>
            <w:tcW w:w="720" w:type="dxa"/>
            <w:tcBorders>
              <w:top w:val="nil"/>
              <w:left w:val="nil"/>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right w:val="nil"/>
            </w:tcBorders>
            <w:shd w:val="clear" w:color="auto" w:fill="auto"/>
            <w:noWrap/>
            <w:vAlign w:val="center"/>
            <w:hideMark/>
          </w:tcPr>
          <w:p w:rsidR="00070FC5" w:rsidRPr="00CC73F3" w:rsidRDefault="00070FC5">
            <w:pPr>
              <w:jc w:val="center"/>
              <w:rPr>
                <w:color w:val="000000"/>
              </w:rPr>
            </w:pPr>
            <w:r w:rsidRPr="00CC73F3">
              <w:rPr>
                <w:color w:val="000000"/>
              </w:rPr>
              <w:t>0.612</w:t>
            </w:r>
          </w:p>
        </w:tc>
        <w:tc>
          <w:tcPr>
            <w:tcW w:w="960" w:type="dxa"/>
            <w:tcBorders>
              <w:top w:val="nil"/>
              <w:left w:val="nil"/>
              <w:right w:val="nil"/>
            </w:tcBorders>
            <w:shd w:val="clear" w:color="auto" w:fill="auto"/>
            <w:noWrap/>
            <w:vAlign w:val="center"/>
            <w:hideMark/>
          </w:tcPr>
          <w:p w:rsidR="00070FC5" w:rsidRPr="00CC73F3" w:rsidRDefault="00070FC5">
            <w:pPr>
              <w:jc w:val="center"/>
              <w:rPr>
                <w:color w:val="000000"/>
              </w:rPr>
            </w:pPr>
            <w:r w:rsidRPr="00CC73F3">
              <w:rPr>
                <w:color w:val="000000"/>
              </w:rPr>
              <w:t>0.985</w:t>
            </w:r>
          </w:p>
        </w:tc>
        <w:tc>
          <w:tcPr>
            <w:tcW w:w="960" w:type="dxa"/>
            <w:tcBorders>
              <w:top w:val="nil"/>
              <w:left w:val="nil"/>
              <w:right w:val="nil"/>
            </w:tcBorders>
            <w:shd w:val="clear" w:color="auto" w:fill="auto"/>
            <w:noWrap/>
            <w:vAlign w:val="center"/>
            <w:hideMark/>
          </w:tcPr>
          <w:p w:rsidR="00070FC5" w:rsidRPr="00CC73F3" w:rsidRDefault="00070FC5">
            <w:pPr>
              <w:jc w:val="center"/>
              <w:rPr>
                <w:color w:val="000000"/>
              </w:rPr>
            </w:pPr>
          </w:p>
        </w:tc>
      </w:tr>
      <w:tr w:rsidR="00070FC5" w:rsidRPr="00CC73F3" w:rsidTr="00D639F5">
        <w:trPr>
          <w:trHeight w:val="144"/>
        </w:trPr>
        <w:tc>
          <w:tcPr>
            <w:tcW w:w="2355" w:type="dxa"/>
            <w:tcBorders>
              <w:top w:val="nil"/>
              <w:left w:val="nil"/>
              <w:bottom w:val="single" w:sz="18" w:space="0" w:color="auto"/>
              <w:right w:val="nil"/>
            </w:tcBorders>
            <w:shd w:val="clear" w:color="auto" w:fill="auto"/>
            <w:noWrap/>
            <w:hideMark/>
          </w:tcPr>
          <w:p w:rsidR="00070FC5" w:rsidRPr="00CC73F3" w:rsidRDefault="00070FC5">
            <w:pPr>
              <w:rPr>
                <w:b/>
                <w:bCs/>
                <w:color w:val="000000"/>
              </w:rPr>
            </w:pPr>
            <w:r w:rsidRPr="00CC73F3">
              <w:rPr>
                <w:b/>
                <w:bCs/>
                <w:color w:val="000000"/>
              </w:rPr>
              <w:t> </w:t>
            </w:r>
          </w:p>
        </w:tc>
        <w:tc>
          <w:tcPr>
            <w:tcW w:w="2970" w:type="dxa"/>
            <w:tcBorders>
              <w:top w:val="nil"/>
              <w:left w:val="nil"/>
              <w:bottom w:val="single" w:sz="18" w:space="0" w:color="auto"/>
              <w:right w:val="nil"/>
            </w:tcBorders>
            <w:shd w:val="clear" w:color="auto" w:fill="auto"/>
            <w:noWrap/>
            <w:vAlign w:val="bottom"/>
            <w:hideMark/>
          </w:tcPr>
          <w:p w:rsidR="00070FC5" w:rsidRPr="00CC73F3" w:rsidRDefault="00070FC5">
            <w:pPr>
              <w:jc w:val="center"/>
              <w:rPr>
                <w:color w:val="000000"/>
              </w:rPr>
            </w:pPr>
            <w:r w:rsidRPr="00CC73F3">
              <w:rPr>
                <w:color w:val="000000"/>
              </w:rPr>
              <w:t>Team Affect</w:t>
            </w:r>
          </w:p>
        </w:tc>
        <w:tc>
          <w:tcPr>
            <w:tcW w:w="720" w:type="dxa"/>
            <w:tcBorders>
              <w:top w:val="nil"/>
              <w:left w:val="nil"/>
              <w:bottom w:val="single" w:sz="18" w:space="0" w:color="auto"/>
              <w:right w:val="nil"/>
            </w:tcBorders>
            <w:shd w:val="clear" w:color="auto" w:fill="auto"/>
            <w:noWrap/>
            <w:vAlign w:val="center"/>
            <w:hideMark/>
          </w:tcPr>
          <w:p w:rsidR="00070FC5" w:rsidRPr="00CC73F3" w:rsidRDefault="00070FC5">
            <w:pPr>
              <w:jc w:val="center"/>
              <w:rPr>
                <w:color w:val="000000"/>
              </w:rPr>
            </w:pPr>
            <w:r w:rsidRPr="00CC73F3">
              <w:rPr>
                <w:color w:val="000000"/>
              </w:rPr>
              <w:t>1</w:t>
            </w:r>
          </w:p>
        </w:tc>
        <w:tc>
          <w:tcPr>
            <w:tcW w:w="1435" w:type="dxa"/>
            <w:tcBorders>
              <w:top w:val="nil"/>
              <w:left w:val="nil"/>
              <w:bottom w:val="single" w:sz="18" w:space="0" w:color="auto"/>
              <w:right w:val="nil"/>
            </w:tcBorders>
            <w:shd w:val="clear" w:color="auto" w:fill="auto"/>
            <w:noWrap/>
            <w:vAlign w:val="center"/>
            <w:hideMark/>
          </w:tcPr>
          <w:p w:rsidR="00070FC5" w:rsidRPr="00CC73F3" w:rsidRDefault="00070FC5">
            <w:pPr>
              <w:jc w:val="center"/>
              <w:rPr>
                <w:color w:val="000000"/>
              </w:rPr>
            </w:pPr>
            <w:r w:rsidRPr="00CC73F3">
              <w:rPr>
                <w:color w:val="000000"/>
              </w:rPr>
              <w:t>0.738</w:t>
            </w:r>
          </w:p>
        </w:tc>
        <w:tc>
          <w:tcPr>
            <w:tcW w:w="960" w:type="dxa"/>
            <w:tcBorders>
              <w:top w:val="nil"/>
              <w:left w:val="nil"/>
              <w:bottom w:val="single" w:sz="18" w:space="0" w:color="auto"/>
              <w:right w:val="nil"/>
            </w:tcBorders>
            <w:shd w:val="clear" w:color="auto" w:fill="auto"/>
            <w:noWrap/>
            <w:vAlign w:val="center"/>
            <w:hideMark/>
          </w:tcPr>
          <w:p w:rsidR="00070FC5" w:rsidRPr="00CC73F3" w:rsidRDefault="00070FC5">
            <w:pPr>
              <w:jc w:val="center"/>
              <w:rPr>
                <w:color w:val="000000"/>
              </w:rPr>
            </w:pPr>
            <w:r w:rsidRPr="00CC73F3">
              <w:rPr>
                <w:color w:val="000000"/>
              </w:rPr>
              <w:t>1.188</w:t>
            </w:r>
          </w:p>
        </w:tc>
        <w:tc>
          <w:tcPr>
            <w:tcW w:w="960" w:type="dxa"/>
            <w:tcBorders>
              <w:top w:val="nil"/>
              <w:left w:val="nil"/>
              <w:bottom w:val="single" w:sz="18" w:space="0" w:color="auto"/>
              <w:right w:val="nil"/>
            </w:tcBorders>
            <w:shd w:val="clear" w:color="auto" w:fill="auto"/>
            <w:noWrap/>
            <w:vAlign w:val="center"/>
            <w:hideMark/>
          </w:tcPr>
          <w:p w:rsidR="00070FC5" w:rsidRPr="00CC73F3" w:rsidRDefault="00070FC5">
            <w:pPr>
              <w:jc w:val="center"/>
              <w:rPr>
                <w:color w:val="000000"/>
              </w:rPr>
            </w:pPr>
            <w:r w:rsidRPr="00CC73F3">
              <w:rPr>
                <w:color w:val="000000"/>
              </w:rPr>
              <w:t> </w:t>
            </w:r>
          </w:p>
        </w:tc>
      </w:tr>
      <w:tr w:rsidR="00070FC5" w:rsidRPr="00CC73F3" w:rsidTr="00D639F5">
        <w:trPr>
          <w:trHeight w:val="144"/>
        </w:trPr>
        <w:tc>
          <w:tcPr>
            <w:tcW w:w="9400" w:type="dxa"/>
            <w:gridSpan w:val="6"/>
            <w:tcBorders>
              <w:top w:val="single" w:sz="18" w:space="0" w:color="auto"/>
              <w:left w:val="nil"/>
              <w:right w:val="nil"/>
            </w:tcBorders>
            <w:shd w:val="clear" w:color="auto" w:fill="auto"/>
            <w:noWrap/>
          </w:tcPr>
          <w:p w:rsidR="00070FC5" w:rsidRPr="00CC73F3" w:rsidRDefault="00070FC5" w:rsidP="00D639F5">
            <w:pPr>
              <w:rPr>
                <w:color w:val="000000"/>
              </w:rPr>
            </w:pPr>
            <w:r w:rsidRPr="00CC73F3">
              <w:rPr>
                <w:color w:val="000000"/>
                <w:vertAlign w:val="superscript"/>
              </w:rPr>
              <w:t>†</w:t>
            </w:r>
            <w:r w:rsidRPr="00CC73F3">
              <w:rPr>
                <w:color w:val="000000"/>
              </w:rPr>
              <w:t xml:space="preserve"> p &lt; .10</w:t>
            </w:r>
          </w:p>
          <w:p w:rsidR="00070FC5" w:rsidRPr="00CC73F3" w:rsidRDefault="00070FC5" w:rsidP="00D639F5">
            <w:pPr>
              <w:rPr>
                <w:color w:val="000000"/>
              </w:rPr>
            </w:pPr>
            <w:r w:rsidRPr="00CC73F3">
              <w:rPr>
                <w:color w:val="000000"/>
                <w:vertAlign w:val="superscript"/>
              </w:rPr>
              <w:t>*</w:t>
            </w:r>
            <w:r w:rsidRPr="00CC73F3">
              <w:rPr>
                <w:color w:val="000000"/>
              </w:rPr>
              <w:t xml:space="preserve"> p &lt; .05</w:t>
            </w:r>
          </w:p>
        </w:tc>
      </w:tr>
    </w:tbl>
    <w:p w:rsidR="00070FC5" w:rsidRPr="00CC73F3" w:rsidRDefault="00070FC5" w:rsidP="00D639F5">
      <w:pPr>
        <w:spacing w:line="480" w:lineRule="auto"/>
        <w:rPr>
          <w:rFonts w:eastAsia="Calibri"/>
          <w:i/>
          <w:szCs w:val="22"/>
        </w:rPr>
      </w:pPr>
    </w:p>
    <w:p w:rsidR="00070FC5" w:rsidRPr="00CC73F3" w:rsidRDefault="00070FC5" w:rsidP="00D639F5">
      <w:pPr>
        <w:spacing w:line="480" w:lineRule="auto"/>
        <w:rPr>
          <w:rFonts w:eastAsia="Calibri"/>
          <w:szCs w:val="22"/>
        </w:rPr>
      </w:pPr>
      <w:proofErr w:type="gramStart"/>
      <w:r w:rsidRPr="00CC73F3">
        <w:rPr>
          <w:rFonts w:eastAsia="Calibri"/>
          <w:szCs w:val="22"/>
        </w:rPr>
        <w:t>one</w:t>
      </w:r>
      <w:proofErr w:type="gramEnd"/>
      <w:r w:rsidRPr="00CC73F3">
        <w:rPr>
          <w:rFonts w:eastAsia="Calibri"/>
          <w:szCs w:val="22"/>
        </w:rPr>
        <w:t xml:space="preserve"> another, their expertise across the product categories they viewed, an aggregate measure of individual regulatory focus and an aggregate measure of individual positive affect. The ANOVA models for Study 2 are shown in Table 26.</w:t>
      </w: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i/>
          <w:szCs w:val="22"/>
        </w:rPr>
        <w:t>H4a</w:t>
      </w:r>
      <w:r w:rsidRPr="00CC73F3">
        <w:rPr>
          <w:rFonts w:eastAsia="Calibri"/>
          <w:szCs w:val="22"/>
        </w:rPr>
        <w:t xml:space="preserve"> states that prevention-oriented teams will have more positive hits than promotion oriented teams. The effect of regulatory focus was not significant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 xml:space="preserve">1,100) = .225, </w:t>
      </w:r>
      <w:r w:rsidRPr="00CC73F3">
        <w:rPr>
          <w:rFonts w:eastAsia="Calibri"/>
          <w:i/>
          <w:szCs w:val="22"/>
        </w:rPr>
        <w:t>p</w:t>
      </w:r>
      <w:r w:rsidRPr="00CC73F3">
        <w:rPr>
          <w:rFonts w:eastAsia="Calibri"/>
          <w:szCs w:val="22"/>
        </w:rPr>
        <w:t xml:space="preserve"> = .64). </w:t>
      </w:r>
      <w:r w:rsidRPr="00CC73F3">
        <w:rPr>
          <w:rFonts w:eastAsia="Calibri"/>
          <w:i/>
          <w:szCs w:val="22"/>
        </w:rPr>
        <w:t>H5a</w:t>
      </w:r>
      <w:r w:rsidRPr="00CC73F3">
        <w:rPr>
          <w:rFonts w:eastAsia="Calibri"/>
          <w:szCs w:val="22"/>
        </w:rPr>
        <w:t xml:space="preserve"> states that highly reflexive teams will have more positive hits than team with low levels of reflexivity. The effect of reflexivity was also n </w:t>
      </w:r>
      <w:proofErr w:type="spellStart"/>
      <w:r w:rsidRPr="00CC73F3">
        <w:rPr>
          <w:rFonts w:eastAsia="Calibri"/>
          <w:szCs w:val="22"/>
        </w:rPr>
        <w:t>ot</w:t>
      </w:r>
      <w:proofErr w:type="spellEnd"/>
      <w:r w:rsidRPr="00CC73F3">
        <w:rPr>
          <w:rFonts w:eastAsia="Calibri"/>
          <w:szCs w:val="22"/>
        </w:rPr>
        <w:t xml:space="preserve"> significant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 xml:space="preserve">1,100) = 2.162 , </w:t>
      </w:r>
      <w:r w:rsidRPr="00CC73F3">
        <w:rPr>
          <w:rFonts w:eastAsia="Calibri"/>
          <w:i/>
          <w:szCs w:val="22"/>
        </w:rPr>
        <w:t>p</w:t>
      </w:r>
      <w:r w:rsidRPr="00CC73F3">
        <w:rPr>
          <w:rFonts w:eastAsia="Calibri"/>
          <w:szCs w:val="22"/>
        </w:rPr>
        <w:t xml:space="preserve"> = .15). </w:t>
      </w:r>
      <w:r w:rsidRPr="00CC73F3">
        <w:rPr>
          <w:rFonts w:eastAsia="Calibri"/>
          <w:i/>
          <w:szCs w:val="22"/>
        </w:rPr>
        <w:t>H6a</w:t>
      </w:r>
      <w:r w:rsidRPr="00CC73F3">
        <w:rPr>
          <w:rFonts w:eastAsia="Calibri"/>
          <w:szCs w:val="22"/>
        </w:rPr>
        <w:t xml:space="preserve"> states that reflexivity will have a more positive effect on prevention-oriented teams than on promotion-oriented teams in respect to positive hits. The effect of the interaction was not significant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 xml:space="preserve">1,100) = .007, </w:t>
      </w:r>
      <w:r w:rsidRPr="00CC73F3">
        <w:rPr>
          <w:rFonts w:eastAsia="Calibri"/>
          <w:i/>
          <w:szCs w:val="22"/>
        </w:rPr>
        <w:t>p</w:t>
      </w:r>
      <w:r w:rsidRPr="00CC73F3">
        <w:rPr>
          <w:rFonts w:eastAsia="Calibri"/>
          <w:szCs w:val="22"/>
        </w:rPr>
        <w:t xml:space="preserve"> = .93). Based on these results, </w:t>
      </w:r>
      <w:r w:rsidRPr="00CC73F3">
        <w:rPr>
          <w:rFonts w:eastAsia="Calibri"/>
          <w:i/>
          <w:szCs w:val="22"/>
        </w:rPr>
        <w:t>H4a</w:t>
      </w:r>
      <w:r w:rsidRPr="00CC73F3">
        <w:rPr>
          <w:rFonts w:eastAsia="Calibri"/>
          <w:szCs w:val="22"/>
        </w:rPr>
        <w:t xml:space="preserve">, </w:t>
      </w:r>
      <w:r w:rsidRPr="00CC73F3">
        <w:rPr>
          <w:rFonts w:eastAsia="Calibri"/>
          <w:i/>
          <w:szCs w:val="22"/>
        </w:rPr>
        <w:t>H5a</w:t>
      </w:r>
      <w:r w:rsidRPr="00CC73F3">
        <w:rPr>
          <w:rFonts w:eastAsia="Calibri"/>
          <w:szCs w:val="22"/>
        </w:rPr>
        <w:t xml:space="preserve">, and </w:t>
      </w:r>
      <w:r w:rsidRPr="00CC73F3">
        <w:rPr>
          <w:rFonts w:eastAsia="Calibri"/>
          <w:i/>
          <w:szCs w:val="22"/>
        </w:rPr>
        <w:t>H6a</w:t>
      </w:r>
      <w:r w:rsidRPr="00CC73F3">
        <w:rPr>
          <w:rFonts w:eastAsia="Calibri"/>
          <w:szCs w:val="22"/>
        </w:rPr>
        <w:t xml:space="preserve"> are not supported.</w:t>
      </w:r>
    </w:p>
    <w:p w:rsidR="00070FC5" w:rsidRPr="00CC73F3" w:rsidRDefault="00070FC5" w:rsidP="00D639F5">
      <w:pPr>
        <w:spacing w:line="480" w:lineRule="auto"/>
        <w:rPr>
          <w:rFonts w:eastAsia="Calibri"/>
          <w:szCs w:val="22"/>
        </w:rPr>
      </w:pPr>
      <w:r w:rsidRPr="00CC73F3">
        <w:rPr>
          <w:rFonts w:eastAsia="Calibri"/>
          <w:i/>
          <w:szCs w:val="22"/>
        </w:rPr>
        <w:tab/>
        <w:t>Hypothesis 4b, Hypothesis 5b, and Hypothesis 6b</w:t>
      </w:r>
      <w:r w:rsidRPr="00CC73F3">
        <w:rPr>
          <w:rFonts w:eastAsia="Calibri"/>
          <w:szCs w:val="22"/>
        </w:rPr>
        <w:t xml:space="preserve"> were also tested using an analysis of covariance model, but with negative hits as the dependent variable. The independent variables group reflexivity and group regulatory focus were included as well as the regulatory focus by reflexivity interaction effect. Covariates in the model included how well team members knew one another, their expertise across the product categories they viewed, an aggregate measure of individual regulatory focus and an aggregate measure of individual positive affect. </w:t>
      </w:r>
    </w:p>
    <w:p w:rsidR="00070FC5" w:rsidRPr="00CC73F3" w:rsidRDefault="00070FC5" w:rsidP="00D639F5">
      <w:pPr>
        <w:spacing w:line="480" w:lineRule="auto"/>
        <w:rPr>
          <w:rFonts w:eastAsia="Calibri"/>
          <w:szCs w:val="22"/>
        </w:rPr>
      </w:pPr>
      <w:r w:rsidRPr="00CC73F3">
        <w:rPr>
          <w:rFonts w:eastAsia="Calibri"/>
          <w:i/>
          <w:szCs w:val="22"/>
        </w:rPr>
        <w:tab/>
        <w:t>H4b</w:t>
      </w:r>
      <w:r w:rsidRPr="00CC73F3">
        <w:rPr>
          <w:rFonts w:eastAsia="Calibri"/>
          <w:szCs w:val="22"/>
        </w:rPr>
        <w:t xml:space="preserve"> states that prevention-oriented teams will have more negative hits than promotion oriented teams. The effect of regulatory focus was not significant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 xml:space="preserve">1,100) = .545, </w:t>
      </w:r>
      <w:r w:rsidRPr="00CC73F3">
        <w:rPr>
          <w:rFonts w:eastAsia="Calibri"/>
          <w:i/>
          <w:szCs w:val="22"/>
        </w:rPr>
        <w:t>p</w:t>
      </w:r>
      <w:r w:rsidRPr="00CC73F3">
        <w:rPr>
          <w:rFonts w:eastAsia="Calibri"/>
          <w:szCs w:val="22"/>
        </w:rPr>
        <w:t xml:space="preserve"> = .35). </w:t>
      </w:r>
      <w:r w:rsidRPr="00CC73F3">
        <w:rPr>
          <w:rFonts w:eastAsia="Calibri"/>
          <w:i/>
          <w:szCs w:val="22"/>
        </w:rPr>
        <w:t>H5a</w:t>
      </w:r>
      <w:r w:rsidRPr="00CC73F3">
        <w:rPr>
          <w:rFonts w:eastAsia="Calibri"/>
          <w:szCs w:val="22"/>
        </w:rPr>
        <w:t xml:space="preserve"> states that highly reflexive teams will have more positive hits than team with low levels of reflexivity. The effect of reflexivity was also not significant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 xml:space="preserve">1,100) = .086 , </w:t>
      </w:r>
      <w:r w:rsidRPr="00CC73F3">
        <w:rPr>
          <w:rFonts w:eastAsia="Calibri"/>
          <w:i/>
          <w:szCs w:val="22"/>
        </w:rPr>
        <w:t>p</w:t>
      </w:r>
      <w:r w:rsidRPr="00CC73F3">
        <w:rPr>
          <w:rFonts w:eastAsia="Calibri"/>
          <w:szCs w:val="22"/>
        </w:rPr>
        <w:t xml:space="preserve"> = .77). As such, H4b and H5b are not supported.</w:t>
      </w:r>
    </w:p>
    <w:p w:rsidR="00070FC5" w:rsidRPr="00CC73F3" w:rsidRDefault="00070FC5" w:rsidP="00D639F5">
      <w:pPr>
        <w:spacing w:line="480" w:lineRule="auto"/>
        <w:rPr>
          <w:rFonts w:eastAsia="Calibri"/>
          <w:szCs w:val="22"/>
        </w:rPr>
      </w:pPr>
      <w:r w:rsidRPr="00CC73F3">
        <w:rPr>
          <w:rFonts w:eastAsia="Calibri"/>
          <w:i/>
          <w:szCs w:val="22"/>
        </w:rPr>
        <w:tab/>
        <w:t>H6a</w:t>
      </w:r>
      <w:r w:rsidRPr="00CC73F3">
        <w:rPr>
          <w:rFonts w:eastAsia="Calibri"/>
          <w:szCs w:val="22"/>
        </w:rPr>
        <w:t xml:space="preserve"> states that reflexivity will have a more positive effect on prevention-oriented teams than on promotion-oriented teams in respect to positive hits. The effect of the interaction was significant in the hypothesized direction (</w:t>
      </w:r>
      <w:proofErr w:type="gramStart"/>
      <w:r w:rsidRPr="00CC73F3">
        <w:rPr>
          <w:rFonts w:eastAsia="Calibri"/>
          <w:i/>
          <w:szCs w:val="22"/>
        </w:rPr>
        <w:t>F</w:t>
      </w:r>
      <w:r w:rsidRPr="00CC73F3">
        <w:rPr>
          <w:rFonts w:eastAsia="Calibri"/>
          <w:szCs w:val="22"/>
        </w:rPr>
        <w:t>(</w:t>
      </w:r>
      <w:proofErr w:type="gramEnd"/>
      <w:r w:rsidRPr="00CC73F3">
        <w:rPr>
          <w:rFonts w:eastAsia="Calibri"/>
          <w:szCs w:val="22"/>
        </w:rPr>
        <w:t xml:space="preserve">1,107) = 4.756, </w:t>
      </w:r>
      <w:r w:rsidRPr="00CC73F3">
        <w:rPr>
          <w:rFonts w:eastAsia="Calibri"/>
          <w:i/>
          <w:szCs w:val="22"/>
        </w:rPr>
        <w:t>p</w:t>
      </w:r>
      <w:r w:rsidRPr="00CC73F3">
        <w:rPr>
          <w:rFonts w:eastAsia="Calibri"/>
          <w:szCs w:val="22"/>
        </w:rPr>
        <w:t xml:space="preserve"> &lt; .05, </w:t>
      </w:r>
      <w:r w:rsidRPr="00CC73F3">
        <w:rPr>
          <w:rFonts w:ascii="Calibri" w:eastAsia="Calibri" w:hAnsi="Calibri"/>
          <w:i/>
          <w:szCs w:val="22"/>
        </w:rPr>
        <w:t>η</w:t>
      </w:r>
      <w:r w:rsidRPr="00CC73F3">
        <w:rPr>
          <w:rFonts w:eastAsia="Calibri"/>
          <w:szCs w:val="22"/>
          <w:vertAlign w:val="superscript"/>
        </w:rPr>
        <w:t>2</w:t>
      </w:r>
      <w:r w:rsidRPr="00CC73F3">
        <w:rPr>
          <w:rFonts w:eastAsia="Calibri"/>
          <w:szCs w:val="22"/>
        </w:rPr>
        <w:t xml:space="preserve">  = .05). When reflexivity was high, prevention-oriented teams scored significantly more negative hits than promotion oriented teams. The interaction is shown in the interaction plot in Figure 7.</w:t>
      </w:r>
    </w:p>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rPr>
      </w:pPr>
      <w:r w:rsidRPr="00CC73F3">
        <w:rPr>
          <w:rFonts w:eastAsia="Calibri"/>
          <w:i/>
          <w:szCs w:val="22"/>
        </w:rPr>
        <w:tab/>
      </w:r>
      <w:r w:rsidR="007E2E0A">
        <w:rPr>
          <w:rFonts w:eastAsia="Calibri"/>
          <w:noProof/>
        </w:rPr>
        <w:pict>
          <v:shape id="Picture 15" o:spid="_x0000_i1034" type="#_x0000_t75" style="width:387pt;height:298.5pt;visibility:visible">
            <v:imagedata r:id="rId19" o:title="" cropbottom="6567f" cropleft="1155f" cropright="3361f"/>
          </v:shape>
        </w:pict>
      </w:r>
    </w:p>
    <w:p w:rsidR="00070FC5" w:rsidRPr="00CC73F3" w:rsidRDefault="00070FC5" w:rsidP="00D639F5">
      <w:pPr>
        <w:jc w:val="center"/>
        <w:rPr>
          <w:rFonts w:eastAsia="Calibri"/>
          <w:sz w:val="16"/>
          <w:szCs w:val="16"/>
        </w:rPr>
      </w:pPr>
    </w:p>
    <w:p w:rsidR="00070FC5" w:rsidRPr="00CC73F3" w:rsidRDefault="00070FC5" w:rsidP="00D639F5">
      <w:pPr>
        <w:pStyle w:val="Caption"/>
        <w:rPr>
          <w:rFonts w:eastAsia="Calibri"/>
        </w:rPr>
      </w:pPr>
      <w:bookmarkStart w:id="113" w:name="_Toc420524237"/>
      <w:proofErr w:type="gramStart"/>
      <w:r w:rsidRPr="00CC73F3">
        <w:t xml:space="preserve">Figure </w:t>
      </w:r>
      <w:fldSimple w:instr=" SEQ Figure \* ARABIC ">
        <w:r w:rsidRPr="00CC73F3">
          <w:rPr>
            <w:noProof/>
          </w:rPr>
          <w:t>7</w:t>
        </w:r>
      </w:fldSimple>
      <w:r w:rsidRPr="00CC73F3">
        <w:rPr>
          <w:rFonts w:eastAsia="Calibri"/>
        </w:rPr>
        <w:t>.</w:t>
      </w:r>
      <w:proofErr w:type="gramEnd"/>
      <w:r w:rsidRPr="00CC73F3">
        <w:rPr>
          <w:rFonts w:eastAsia="Calibri"/>
        </w:rPr>
        <w:t xml:space="preserve"> </w:t>
      </w:r>
      <w:proofErr w:type="gramStart"/>
      <w:r w:rsidRPr="00CC73F3">
        <w:rPr>
          <w:rFonts w:eastAsia="Calibri"/>
        </w:rPr>
        <w:t>Interaction between Regulatory Focus and Reflexivity for Negative Hits.</w:t>
      </w:r>
      <w:bookmarkEnd w:id="113"/>
      <w:proofErr w:type="gramEnd"/>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114" w:name="_Toc420572619"/>
      <w:r w:rsidRPr="00CC73F3">
        <w:t>Study 2 Summary of Findings</w:t>
      </w:r>
      <w:bookmarkEnd w:id="114"/>
    </w:p>
    <w:p w:rsidR="00070FC5" w:rsidRPr="00CC73F3" w:rsidRDefault="00070FC5" w:rsidP="00D639F5">
      <w:pPr>
        <w:spacing w:line="480" w:lineRule="auto"/>
        <w:rPr>
          <w:rFonts w:eastAsia="Calibri"/>
          <w:szCs w:val="22"/>
        </w:rPr>
      </w:pPr>
      <w:r w:rsidRPr="00CC73F3">
        <w:rPr>
          <w:rFonts w:eastAsia="Calibri"/>
          <w:szCs w:val="22"/>
        </w:rPr>
        <w:tab/>
        <w:t>Study 2 consisted of a 2 x 2 between subjects design using group regulatory focus (prevention/promotion) and group reflexivity (high/low). There were two dependent variables run as a separate models, positive hits across all three choice exercises; and negative hits across all three choice exercises. For the positive hits dependent variable, there were no significant direct or interaction effects. For negative hits, there were no significant direct effects, but the interaction effect was significant in the hypothesized direction. An overview of the six hypotheses and the result of the tests for each hypothesis in Study 2 are shown in Table 27.</w:t>
      </w:r>
    </w:p>
    <w:p w:rsidR="00070FC5" w:rsidRPr="00CC73F3" w:rsidRDefault="00070FC5" w:rsidP="00D639F5"/>
    <w:p w:rsidR="00070FC5" w:rsidRPr="00CC73F3" w:rsidRDefault="00070FC5" w:rsidP="00D639F5"/>
    <w:p w:rsidR="00070FC5" w:rsidRPr="00CC73F3" w:rsidRDefault="00070FC5" w:rsidP="00D639F5">
      <w:pPr>
        <w:pStyle w:val="Caption"/>
        <w:rPr>
          <w:rFonts w:eastAsia="Calibri"/>
        </w:rPr>
      </w:pPr>
      <w:bookmarkStart w:id="115" w:name="_Toc420570952"/>
      <w:proofErr w:type="gramStart"/>
      <w:r w:rsidRPr="00CC73F3">
        <w:t xml:space="preserve">Table </w:t>
      </w:r>
      <w:fldSimple w:instr=" SEQ Table \* ARABIC ">
        <w:r w:rsidRPr="00CC73F3">
          <w:rPr>
            <w:noProof/>
          </w:rPr>
          <w:t>27</w:t>
        </w:r>
      </w:fldSimple>
      <w:r w:rsidRPr="00CC73F3">
        <w:rPr>
          <w:rFonts w:eastAsia="Calibri"/>
        </w:rPr>
        <w:t>.</w:t>
      </w:r>
      <w:proofErr w:type="gramEnd"/>
      <w:r w:rsidRPr="00CC73F3">
        <w:rPr>
          <w:rFonts w:eastAsia="Calibri"/>
        </w:rPr>
        <w:t xml:space="preserve"> Summary of Study 2 Hypothesis Tests</w:t>
      </w:r>
      <w:bookmarkEnd w:id="115"/>
    </w:p>
    <w:p w:rsidR="00070FC5" w:rsidRPr="00CC73F3" w:rsidRDefault="00070FC5" w:rsidP="00D639F5">
      <w:pPr>
        <w:rPr>
          <w:rFonts w:eastAsia="Calibri"/>
          <w:szCs w:val="22"/>
        </w:rPr>
      </w:pPr>
    </w:p>
    <w:tbl>
      <w:tblPr>
        <w:tblW w:w="4587" w:type="pct"/>
        <w:jc w:val="center"/>
        <w:tblInd w:w="1370" w:type="dxa"/>
        <w:tblLook w:val="04A0" w:firstRow="1" w:lastRow="0" w:firstColumn="1" w:lastColumn="0" w:noHBand="0" w:noVBand="1"/>
      </w:tblPr>
      <w:tblGrid>
        <w:gridCol w:w="5923"/>
        <w:gridCol w:w="2862"/>
      </w:tblGrid>
      <w:tr w:rsidR="00070FC5" w:rsidRPr="00CC73F3" w:rsidTr="00D639F5">
        <w:trPr>
          <w:trHeight w:val="432"/>
          <w:jc w:val="center"/>
        </w:trPr>
        <w:tc>
          <w:tcPr>
            <w:tcW w:w="3371" w:type="pct"/>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Hypothesis</w:t>
            </w:r>
          </w:p>
        </w:tc>
        <w:tc>
          <w:tcPr>
            <w:tcW w:w="1629" w:type="pct"/>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Hypothesis Test Result</w:t>
            </w:r>
          </w:p>
        </w:tc>
      </w:tr>
      <w:tr w:rsidR="00070FC5" w:rsidRPr="00CC73F3" w:rsidTr="00D639F5">
        <w:trPr>
          <w:trHeight w:val="432"/>
          <w:jc w:val="center"/>
        </w:trPr>
        <w:tc>
          <w:tcPr>
            <w:tcW w:w="3371" w:type="pct"/>
            <w:tcBorders>
              <w:top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 xml:space="preserve">H4a: Prevention </w:t>
            </w:r>
            <w:r w:rsidRPr="00CC73F3">
              <w:rPr>
                <w:rFonts w:eastAsia="Calibri"/>
              </w:rPr>
              <w:sym w:font="Wingdings" w:char="F0E0"/>
            </w:r>
            <w:r w:rsidRPr="00CC73F3">
              <w:rPr>
                <w:rFonts w:eastAsia="Calibri"/>
              </w:rPr>
              <w:t xml:space="preserve"> Positive Hits</w:t>
            </w:r>
          </w:p>
        </w:tc>
        <w:tc>
          <w:tcPr>
            <w:tcW w:w="1629" w:type="pct"/>
            <w:tcBorders>
              <w:top w:val="single" w:sz="18" w:space="0" w:color="auto"/>
            </w:tcBorders>
            <w:shd w:val="clear" w:color="auto" w:fill="auto"/>
            <w:vAlign w:val="center"/>
          </w:tcPr>
          <w:p w:rsidR="00070FC5" w:rsidRPr="00CC73F3" w:rsidRDefault="00070FC5" w:rsidP="00D639F5">
            <w:pPr>
              <w:jc w:val="center"/>
              <w:rPr>
                <w:rFonts w:eastAsia="Calibri"/>
              </w:rPr>
            </w:pPr>
            <w:r w:rsidRPr="00CC73F3">
              <w:rPr>
                <w:rFonts w:eastAsia="Calibri"/>
              </w:rPr>
              <w:t>not significant</w:t>
            </w:r>
          </w:p>
        </w:tc>
      </w:tr>
      <w:tr w:rsidR="00070FC5" w:rsidRPr="00CC73F3" w:rsidTr="00D639F5">
        <w:trPr>
          <w:trHeight w:val="432"/>
          <w:jc w:val="center"/>
        </w:trPr>
        <w:tc>
          <w:tcPr>
            <w:tcW w:w="3371" w:type="pct"/>
            <w:shd w:val="clear" w:color="auto" w:fill="auto"/>
            <w:vAlign w:val="center"/>
          </w:tcPr>
          <w:p w:rsidR="00070FC5" w:rsidRPr="00CC73F3" w:rsidRDefault="00070FC5" w:rsidP="00D639F5">
            <w:pPr>
              <w:rPr>
                <w:rFonts w:eastAsia="Calibri"/>
              </w:rPr>
            </w:pPr>
            <w:r w:rsidRPr="00CC73F3">
              <w:rPr>
                <w:rFonts w:eastAsia="Calibri"/>
              </w:rPr>
              <w:t xml:space="preserve">H4b: Prevention </w:t>
            </w:r>
            <w:r w:rsidRPr="00CC73F3">
              <w:rPr>
                <w:rFonts w:eastAsia="Calibri"/>
              </w:rPr>
              <w:sym w:font="Wingdings" w:char="F0E0"/>
            </w:r>
            <w:r w:rsidRPr="00CC73F3">
              <w:rPr>
                <w:rFonts w:eastAsia="Calibri"/>
              </w:rPr>
              <w:t xml:space="preserve"> Negative Hits</w:t>
            </w:r>
          </w:p>
        </w:tc>
        <w:tc>
          <w:tcPr>
            <w:tcW w:w="1629" w:type="pct"/>
            <w:shd w:val="clear" w:color="auto" w:fill="auto"/>
            <w:vAlign w:val="center"/>
          </w:tcPr>
          <w:p w:rsidR="00070FC5" w:rsidRPr="00CC73F3" w:rsidRDefault="00070FC5" w:rsidP="00D639F5">
            <w:pPr>
              <w:jc w:val="center"/>
              <w:rPr>
                <w:rFonts w:eastAsia="Calibri"/>
              </w:rPr>
            </w:pPr>
            <w:r w:rsidRPr="00CC73F3">
              <w:rPr>
                <w:rFonts w:eastAsia="Calibri"/>
              </w:rPr>
              <w:t>not significant</w:t>
            </w:r>
          </w:p>
        </w:tc>
      </w:tr>
      <w:tr w:rsidR="00070FC5" w:rsidRPr="00CC73F3" w:rsidTr="00D639F5">
        <w:trPr>
          <w:trHeight w:val="432"/>
          <w:jc w:val="center"/>
        </w:trPr>
        <w:tc>
          <w:tcPr>
            <w:tcW w:w="3371" w:type="pct"/>
            <w:shd w:val="clear" w:color="auto" w:fill="auto"/>
            <w:vAlign w:val="center"/>
          </w:tcPr>
          <w:p w:rsidR="00070FC5" w:rsidRPr="00CC73F3" w:rsidRDefault="00070FC5" w:rsidP="00D639F5">
            <w:pPr>
              <w:rPr>
                <w:rFonts w:eastAsia="Calibri"/>
              </w:rPr>
            </w:pPr>
            <w:r w:rsidRPr="00CC73F3">
              <w:rPr>
                <w:rFonts w:eastAsia="Calibri"/>
              </w:rPr>
              <w:t xml:space="preserve">H5a: High Reflexivity </w:t>
            </w:r>
            <w:r w:rsidRPr="00CC73F3">
              <w:rPr>
                <w:rFonts w:eastAsia="Calibri"/>
              </w:rPr>
              <w:sym w:font="Wingdings" w:char="F0E0"/>
            </w:r>
            <w:r w:rsidRPr="00CC73F3">
              <w:rPr>
                <w:rFonts w:eastAsia="Calibri"/>
              </w:rPr>
              <w:t xml:space="preserve"> Positive Hits</w:t>
            </w:r>
          </w:p>
        </w:tc>
        <w:tc>
          <w:tcPr>
            <w:tcW w:w="1629" w:type="pct"/>
            <w:shd w:val="clear" w:color="auto" w:fill="auto"/>
            <w:vAlign w:val="center"/>
          </w:tcPr>
          <w:p w:rsidR="00070FC5" w:rsidRPr="00CC73F3" w:rsidRDefault="00070FC5" w:rsidP="00D639F5">
            <w:pPr>
              <w:jc w:val="center"/>
              <w:rPr>
                <w:rFonts w:eastAsia="Calibri"/>
              </w:rPr>
            </w:pPr>
            <w:r w:rsidRPr="00CC73F3">
              <w:rPr>
                <w:rFonts w:eastAsia="Calibri"/>
              </w:rPr>
              <w:t>not significant</w:t>
            </w:r>
          </w:p>
        </w:tc>
      </w:tr>
      <w:tr w:rsidR="00070FC5" w:rsidRPr="00CC73F3" w:rsidTr="00D639F5">
        <w:trPr>
          <w:trHeight w:val="432"/>
          <w:jc w:val="center"/>
        </w:trPr>
        <w:tc>
          <w:tcPr>
            <w:tcW w:w="3371" w:type="pct"/>
            <w:shd w:val="clear" w:color="auto" w:fill="auto"/>
            <w:vAlign w:val="center"/>
          </w:tcPr>
          <w:p w:rsidR="00070FC5" w:rsidRPr="00CC73F3" w:rsidRDefault="00070FC5" w:rsidP="00D639F5">
            <w:pPr>
              <w:rPr>
                <w:rFonts w:eastAsia="Calibri"/>
              </w:rPr>
            </w:pPr>
            <w:r w:rsidRPr="00CC73F3">
              <w:rPr>
                <w:rFonts w:eastAsia="Calibri"/>
              </w:rPr>
              <w:t xml:space="preserve">H5b: High Reflexivity </w:t>
            </w:r>
            <w:r w:rsidRPr="00CC73F3">
              <w:rPr>
                <w:rFonts w:eastAsia="Calibri"/>
              </w:rPr>
              <w:sym w:font="Wingdings" w:char="F0E0"/>
            </w:r>
            <w:r w:rsidRPr="00CC73F3">
              <w:rPr>
                <w:rFonts w:eastAsia="Calibri"/>
              </w:rPr>
              <w:t xml:space="preserve"> Negative Hits</w:t>
            </w:r>
          </w:p>
        </w:tc>
        <w:tc>
          <w:tcPr>
            <w:tcW w:w="1629" w:type="pct"/>
            <w:shd w:val="clear" w:color="auto" w:fill="auto"/>
            <w:vAlign w:val="center"/>
          </w:tcPr>
          <w:p w:rsidR="00070FC5" w:rsidRPr="00CC73F3" w:rsidRDefault="00070FC5" w:rsidP="00D639F5">
            <w:pPr>
              <w:jc w:val="center"/>
              <w:rPr>
                <w:rFonts w:eastAsia="Calibri"/>
              </w:rPr>
            </w:pPr>
            <w:r w:rsidRPr="00CC73F3">
              <w:rPr>
                <w:rFonts w:eastAsia="Calibri"/>
              </w:rPr>
              <w:t>not significant</w:t>
            </w:r>
          </w:p>
        </w:tc>
      </w:tr>
      <w:tr w:rsidR="00070FC5" w:rsidRPr="00CC73F3" w:rsidTr="00D639F5">
        <w:trPr>
          <w:trHeight w:val="432"/>
          <w:jc w:val="center"/>
        </w:trPr>
        <w:tc>
          <w:tcPr>
            <w:tcW w:w="3371" w:type="pct"/>
            <w:shd w:val="clear" w:color="auto" w:fill="auto"/>
            <w:vAlign w:val="center"/>
          </w:tcPr>
          <w:p w:rsidR="00070FC5" w:rsidRPr="00CC73F3" w:rsidRDefault="00070FC5" w:rsidP="00D639F5">
            <w:pPr>
              <w:rPr>
                <w:rFonts w:eastAsia="Calibri"/>
              </w:rPr>
            </w:pPr>
            <w:r w:rsidRPr="00CC73F3">
              <w:rPr>
                <w:rFonts w:eastAsia="Calibri"/>
              </w:rPr>
              <w:t xml:space="preserve">H6a: Prevention x High Reflexivity </w:t>
            </w:r>
            <w:r w:rsidRPr="00CC73F3">
              <w:rPr>
                <w:rFonts w:eastAsia="Calibri"/>
              </w:rPr>
              <w:sym w:font="Wingdings" w:char="F0E0"/>
            </w:r>
            <w:r w:rsidRPr="00CC73F3">
              <w:rPr>
                <w:rFonts w:eastAsia="Calibri"/>
              </w:rPr>
              <w:t xml:space="preserve"> Positive Hits</w:t>
            </w:r>
          </w:p>
        </w:tc>
        <w:tc>
          <w:tcPr>
            <w:tcW w:w="1629" w:type="pct"/>
            <w:shd w:val="clear" w:color="auto" w:fill="auto"/>
            <w:vAlign w:val="center"/>
          </w:tcPr>
          <w:p w:rsidR="00070FC5" w:rsidRPr="00CC73F3" w:rsidRDefault="00070FC5" w:rsidP="00D639F5">
            <w:pPr>
              <w:jc w:val="center"/>
              <w:rPr>
                <w:rFonts w:eastAsia="Calibri"/>
              </w:rPr>
            </w:pPr>
            <w:r w:rsidRPr="00CC73F3">
              <w:rPr>
                <w:rFonts w:eastAsia="Calibri"/>
              </w:rPr>
              <w:t>not significant</w:t>
            </w:r>
          </w:p>
        </w:tc>
      </w:tr>
      <w:tr w:rsidR="00070FC5" w:rsidRPr="00CC73F3" w:rsidTr="00D639F5">
        <w:trPr>
          <w:trHeight w:val="432"/>
          <w:jc w:val="center"/>
        </w:trPr>
        <w:tc>
          <w:tcPr>
            <w:tcW w:w="3371" w:type="pct"/>
            <w:tcBorders>
              <w:bottom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 xml:space="preserve">H6b: Prevention x High Reflexivity </w:t>
            </w:r>
            <w:r w:rsidRPr="00CC73F3">
              <w:rPr>
                <w:rFonts w:eastAsia="Calibri"/>
              </w:rPr>
              <w:sym w:font="Wingdings" w:char="F0E0"/>
            </w:r>
            <w:r w:rsidRPr="00CC73F3">
              <w:rPr>
                <w:rFonts w:eastAsia="Calibri"/>
              </w:rPr>
              <w:t xml:space="preserve"> Negative Hits</w:t>
            </w:r>
          </w:p>
        </w:tc>
        <w:tc>
          <w:tcPr>
            <w:tcW w:w="1629" w:type="pct"/>
            <w:tcBorders>
              <w:bottom w:val="single" w:sz="18"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supported at p &lt; .05 level</w:t>
            </w:r>
          </w:p>
        </w:tc>
      </w:tr>
    </w:tbl>
    <w:p w:rsidR="00070FC5" w:rsidRPr="00CC73F3" w:rsidRDefault="00070FC5" w:rsidP="00D639F5">
      <w:pPr>
        <w:rPr>
          <w:rFonts w:eastAsia="Calibri"/>
          <w:b/>
          <w:szCs w:val="22"/>
        </w:rPr>
      </w:pPr>
    </w:p>
    <w:p w:rsidR="00070FC5" w:rsidRPr="00CC73F3" w:rsidRDefault="00070FC5" w:rsidP="00D639F5">
      <w:pPr>
        <w:rPr>
          <w:rFonts w:eastAsia="Calibri"/>
          <w:b/>
          <w:szCs w:val="22"/>
        </w:rPr>
      </w:pPr>
    </w:p>
    <w:p w:rsidR="00070FC5" w:rsidRPr="00CC73F3" w:rsidRDefault="00070FC5" w:rsidP="00D639F5">
      <w:pPr>
        <w:pStyle w:val="Heading2"/>
      </w:pPr>
      <w:bookmarkStart w:id="116" w:name="_Toc420572620"/>
      <w:r w:rsidRPr="00CC73F3">
        <w:t>Study 3</w:t>
      </w:r>
      <w:bookmarkEnd w:id="116"/>
    </w:p>
    <w:p w:rsidR="00070FC5" w:rsidRPr="00CC73F3" w:rsidRDefault="00070FC5" w:rsidP="00D639F5">
      <w:pPr>
        <w:spacing w:line="480" w:lineRule="auto"/>
        <w:rPr>
          <w:rFonts w:eastAsia="Calibri"/>
          <w:szCs w:val="22"/>
        </w:rPr>
      </w:pPr>
      <w:r w:rsidRPr="00CC73F3">
        <w:rPr>
          <w:rFonts w:eastAsia="Calibri"/>
          <w:szCs w:val="22"/>
        </w:rPr>
        <w:tab/>
        <w:t xml:space="preserve">Study 3 was a video ethnography in which video footage from a firm’s discussion of 186 new product concepts was coded and analyzed in a statistical model. The firm, Quirky, makes and sells products invented by consumers, and broadcasts a weekly “Live Eval” meeting to review the products that are trending popular with the online innovation community. The video discussion for each product was transcribed, including comments by all of the speakers for each product, and the content was coded for regulatory focus and reflexivity. The firm’s “yes” or “no” decisions about each product were compared against a consumer panel’s rating for each product to determine the success of each product decision. Each product was shown to 50 potential consumers on M-Turk, each of whom rated the product on a 3-item, 7-point willingness to consider purchase measure developed by </w:t>
      </w:r>
      <w:r w:rsidRPr="00CC73F3">
        <w:rPr>
          <w:rFonts w:eastAsia="Calibri"/>
          <w:noProof/>
          <w:szCs w:val="22"/>
        </w:rPr>
        <w:t>Berens et al. (2005)</w:t>
      </w:r>
      <w:r w:rsidRPr="00CC73F3">
        <w:rPr>
          <w:rFonts w:eastAsia="Calibri"/>
          <w:szCs w:val="22"/>
        </w:rPr>
        <w:t>. The products were then assigned a percentile rank based on the consumer ratings for all of the products in the study. When the firm chose to develop products ranked in the 51</w:t>
      </w:r>
      <w:r w:rsidRPr="00CC73F3">
        <w:rPr>
          <w:rFonts w:eastAsia="Calibri"/>
          <w:szCs w:val="22"/>
          <w:vertAlign w:val="superscript"/>
        </w:rPr>
        <w:t>st</w:t>
      </w:r>
      <w:r w:rsidRPr="00CC73F3">
        <w:rPr>
          <w:rFonts w:eastAsia="Calibri"/>
          <w:szCs w:val="22"/>
        </w:rPr>
        <w:t xml:space="preserve"> percentile or higher, the product decision was coded as a positive hit, and when the company rejected products ranked in the 49</w:t>
      </w:r>
      <w:r w:rsidRPr="00CC73F3">
        <w:rPr>
          <w:rFonts w:eastAsia="Calibri"/>
          <w:szCs w:val="22"/>
          <w:vertAlign w:val="superscript"/>
        </w:rPr>
        <w:t>th</w:t>
      </w:r>
      <w:r w:rsidRPr="00CC73F3">
        <w:rPr>
          <w:rFonts w:eastAsia="Calibri"/>
          <w:szCs w:val="22"/>
        </w:rPr>
        <w:t xml:space="preserve"> percentile or lower, the product decision was coded as a negative hit. The data was analyzed using logistic regression, with hits and misses used as dependent variables in separate models.</w:t>
      </w:r>
    </w:p>
    <w:p w:rsidR="00070FC5" w:rsidRPr="00CC73F3" w:rsidRDefault="00070FC5" w:rsidP="00D639F5">
      <w:pPr>
        <w:pStyle w:val="Heading3"/>
      </w:pPr>
    </w:p>
    <w:p w:rsidR="00070FC5" w:rsidRPr="00CC73F3" w:rsidRDefault="00070FC5" w:rsidP="00D639F5">
      <w:pPr>
        <w:pStyle w:val="Heading3"/>
      </w:pPr>
      <w:bookmarkStart w:id="117" w:name="_Toc420572621"/>
      <w:r w:rsidRPr="00CC73F3">
        <w:t>Coding Approach</w:t>
      </w:r>
      <w:bookmarkEnd w:id="117"/>
    </w:p>
    <w:p w:rsidR="00070FC5" w:rsidRPr="00CC73F3" w:rsidRDefault="00070FC5" w:rsidP="00D639F5">
      <w:pPr>
        <w:spacing w:line="480" w:lineRule="auto"/>
        <w:rPr>
          <w:rFonts w:eastAsia="Calibri"/>
          <w:szCs w:val="22"/>
        </w:rPr>
      </w:pPr>
      <w:r w:rsidRPr="00CC73F3">
        <w:rPr>
          <w:rFonts w:eastAsia="Calibri"/>
          <w:szCs w:val="22"/>
        </w:rPr>
        <w:tab/>
        <w:t xml:space="preserve">The researcher viewed approximately 27 hours of product evaluation meeting video footage, in which 186 products were discussed. The video footage was then transcribed line-by-line and coded for reflexivity and regulatory focus, resulting in 4,471 coded statements from the evaluation discussions. Although this is not a grounded theory study, the coding process used in grounded theory </w:t>
      </w:r>
      <w:r w:rsidRPr="00CC73F3">
        <w:rPr>
          <w:rFonts w:eastAsia="Calibri"/>
          <w:noProof/>
          <w:szCs w:val="22"/>
        </w:rPr>
        <w:t>(Glaser &amp; Strauss, 2009; Strauss &amp; Corbin, 1990)</w:t>
      </w:r>
      <w:r w:rsidRPr="00CC73F3">
        <w:rPr>
          <w:rFonts w:eastAsia="Calibri"/>
          <w:szCs w:val="22"/>
        </w:rPr>
        <w:t xml:space="preserve"> was utilized to generate the codes used in the statistical analysis. The researcher first used a sample of 30 product transcripts to create a common set of codes through an open coding process </w:t>
      </w:r>
      <w:r w:rsidRPr="00CC73F3">
        <w:rPr>
          <w:rFonts w:eastAsia="Calibri"/>
          <w:noProof/>
          <w:szCs w:val="22"/>
        </w:rPr>
        <w:t>(Strauss &amp; Corbin, 1990)</w:t>
      </w:r>
      <w:r w:rsidRPr="00CC73F3">
        <w:rPr>
          <w:rFonts w:eastAsia="Calibri"/>
          <w:szCs w:val="22"/>
        </w:rPr>
        <w:t xml:space="preserve">. Next the codes were refined as the researcher went through each subsequent transcript and the coding categories were merged and or updated to accurately reflect the content of the discussion. For example, a statement such as “I think people would buy this product,” and a comment by the sales director that he or she could “sell this product” were originally categorized using two different codes during the open coding process, but ultimately merged into a code called </w:t>
      </w:r>
      <w:r w:rsidRPr="00CC73F3">
        <w:rPr>
          <w:rFonts w:eastAsia="Calibri"/>
          <w:i/>
          <w:szCs w:val="22"/>
        </w:rPr>
        <w:t>Sellable</w:t>
      </w:r>
      <w:r w:rsidRPr="00CC73F3">
        <w:rPr>
          <w:rFonts w:eastAsia="Calibri"/>
          <w:szCs w:val="22"/>
        </w:rPr>
        <w:t xml:space="preserve"> in the subsequent refinement of the codes and selective coding process.</w:t>
      </w:r>
    </w:p>
    <w:p w:rsidR="00070FC5" w:rsidRPr="00CC73F3" w:rsidRDefault="00070FC5" w:rsidP="00D639F5">
      <w:pPr>
        <w:rPr>
          <w:rFonts w:eastAsia="Calibri"/>
          <w:szCs w:val="22"/>
        </w:rPr>
      </w:pPr>
    </w:p>
    <w:p w:rsidR="00070FC5" w:rsidRPr="00CC73F3" w:rsidRDefault="00070FC5" w:rsidP="00D639F5">
      <w:pPr>
        <w:pStyle w:val="Heading3"/>
      </w:pPr>
      <w:bookmarkStart w:id="118" w:name="_Toc420572622"/>
      <w:r w:rsidRPr="00CC73F3">
        <w:t>Reflexivity Coding</w:t>
      </w:r>
      <w:bookmarkEnd w:id="118"/>
    </w:p>
    <w:p w:rsidR="00070FC5" w:rsidRPr="00CC73F3" w:rsidRDefault="00070FC5" w:rsidP="00D639F5">
      <w:pPr>
        <w:spacing w:line="480" w:lineRule="auto"/>
        <w:rPr>
          <w:rFonts w:eastAsia="Calibri"/>
          <w:szCs w:val="22"/>
        </w:rPr>
      </w:pPr>
      <w:r w:rsidRPr="00CC73F3">
        <w:rPr>
          <w:rFonts w:eastAsia="Calibri"/>
          <w:szCs w:val="22"/>
        </w:rPr>
        <w:tab/>
        <w:t xml:space="preserve">Reflexivity was coded as a ratio of the total number of topics discussed to the number of unique topics discussed for any given product. The open coding process described above was used to determine the unique topics that were discussed through an open and selective coding process </w:t>
      </w:r>
      <w:r w:rsidRPr="00CC73F3">
        <w:rPr>
          <w:rFonts w:eastAsia="Calibri"/>
          <w:noProof/>
          <w:szCs w:val="22"/>
        </w:rPr>
        <w:t>(Strauss &amp; Corbin, 1990)</w:t>
      </w:r>
      <w:r w:rsidRPr="00CC73F3">
        <w:rPr>
          <w:rFonts w:eastAsia="Calibri"/>
          <w:szCs w:val="22"/>
        </w:rPr>
        <w:t>. For example, if three individuals commented on the technical feasibility of an idea and one individual commented on how much the same idea would appeal to customers, that would count as 4 total topics discussed, but only 2 unique topics discussed; a ratio of 4/2. This coding process resulted in a total of 40 coding categories, shown in Table 28 below.</w:t>
      </w:r>
    </w:p>
    <w:p w:rsidR="00070FC5" w:rsidRPr="00CC73F3" w:rsidRDefault="00070FC5" w:rsidP="00D639F5">
      <w:pPr>
        <w:spacing w:line="480" w:lineRule="auto"/>
        <w:rPr>
          <w:rFonts w:eastAsia="Calibri"/>
          <w:b/>
          <w:szCs w:val="22"/>
        </w:rPr>
      </w:pPr>
    </w:p>
    <w:p w:rsidR="00070FC5" w:rsidRPr="00CC73F3" w:rsidRDefault="00070FC5" w:rsidP="00D639F5">
      <w:pPr>
        <w:pStyle w:val="Heading3"/>
      </w:pPr>
      <w:bookmarkStart w:id="119" w:name="_Toc420572623"/>
      <w:r w:rsidRPr="00CC73F3">
        <w:t>Regulatory Focus Coding</w:t>
      </w:r>
      <w:bookmarkEnd w:id="119"/>
    </w:p>
    <w:p w:rsidR="00070FC5" w:rsidRPr="00CC73F3" w:rsidRDefault="00070FC5" w:rsidP="00D639F5">
      <w:pPr>
        <w:spacing w:line="480" w:lineRule="auto"/>
        <w:rPr>
          <w:rFonts w:eastAsia="Calibri"/>
          <w:szCs w:val="22"/>
        </w:rPr>
      </w:pPr>
      <w:r w:rsidRPr="00CC73F3">
        <w:rPr>
          <w:rFonts w:eastAsia="Calibri"/>
          <w:szCs w:val="22"/>
        </w:rPr>
        <w:tab/>
        <w:t xml:space="preserve">Each of the 40 comment coding categories was sorted into one of three groups: prevention-focused, promotion-focused, or neutral, according to the conceptual definitions of the two regulatory focus types in past research </w:t>
      </w:r>
      <w:r w:rsidRPr="00CC73F3">
        <w:rPr>
          <w:rFonts w:eastAsia="Calibri"/>
          <w:noProof/>
          <w:szCs w:val="22"/>
        </w:rPr>
        <w:t>(Florack &amp; Hartmann, 2007; Kark &amp; Van Dijk, 2007; Levine et al., 2000)</w:t>
      </w:r>
      <w:r w:rsidRPr="00CC73F3">
        <w:rPr>
          <w:rFonts w:eastAsia="Calibri"/>
          <w:szCs w:val="22"/>
        </w:rPr>
        <w:t xml:space="preserve">. Comment categories related to avoiding risk and financial losses were labeled prevention-focused, and comment categories related to pursuing innovation success were labeled promotion-focused. Comment categories which did not clearly fit with a prevention- or promotion-focus were labeled as neutral. The regulatory focus variable was created by calculating the ratio of promotion to prevention-focused comments. For each product discussion, values above 1 indicate a more promotion-focused discussion, while values below 1 are indicative of a prevention-focused discussion. The codes labeled as prevention and </w:t>
      </w:r>
      <w:proofErr w:type="gramStart"/>
      <w:r w:rsidRPr="00CC73F3">
        <w:rPr>
          <w:rFonts w:eastAsia="Calibri"/>
          <w:szCs w:val="22"/>
        </w:rPr>
        <w:t>promotion are</w:t>
      </w:r>
      <w:proofErr w:type="gramEnd"/>
      <w:r w:rsidRPr="00CC73F3">
        <w:rPr>
          <w:rFonts w:eastAsia="Calibri"/>
          <w:szCs w:val="22"/>
        </w:rPr>
        <w:t xml:space="preserve"> shown in Table 29.</w:t>
      </w:r>
    </w:p>
    <w:p w:rsidR="00070FC5" w:rsidRPr="00CC73F3" w:rsidRDefault="00070FC5" w:rsidP="00D639F5">
      <w:pPr>
        <w:spacing w:line="480" w:lineRule="auto"/>
        <w:rPr>
          <w:rFonts w:eastAsia="Calibri"/>
          <w:szCs w:val="22"/>
        </w:rPr>
      </w:pPr>
      <w:r w:rsidRPr="00CC73F3">
        <w:rPr>
          <w:rFonts w:eastAsia="Calibri"/>
          <w:szCs w:val="22"/>
        </w:rPr>
        <w:tab/>
        <w:t>To determine whether or not the regulatory focus of each product discussion was directly correlated with the firm’s development decision for that product, a t-test was conducted with development decision as a categorical predictor and regulatory focus as the continuous dependent variable. Based on this analysis, there is no significant relationship between regulatory focus and the firm’s development decision (</w:t>
      </w:r>
      <w:proofErr w:type="gramStart"/>
      <w:r w:rsidRPr="00CC73F3">
        <w:rPr>
          <w:rFonts w:eastAsia="Calibri"/>
          <w:i/>
          <w:szCs w:val="22"/>
        </w:rPr>
        <w:t>t</w:t>
      </w:r>
      <w:r w:rsidRPr="00CC73F3">
        <w:rPr>
          <w:rFonts w:eastAsia="Calibri"/>
          <w:szCs w:val="22"/>
        </w:rPr>
        <w:t>(</w:t>
      </w:r>
      <w:proofErr w:type="gramEnd"/>
      <w:r w:rsidRPr="00CC73F3">
        <w:rPr>
          <w:rFonts w:eastAsia="Calibri"/>
          <w:szCs w:val="22"/>
        </w:rPr>
        <w:t xml:space="preserve">184) = -.592, </w:t>
      </w:r>
      <w:r w:rsidRPr="00CC73F3">
        <w:rPr>
          <w:rFonts w:eastAsia="Calibri"/>
          <w:i/>
          <w:szCs w:val="22"/>
        </w:rPr>
        <w:t>p</w:t>
      </w:r>
      <w:r w:rsidRPr="00CC73F3">
        <w:rPr>
          <w:rFonts w:eastAsia="Calibri"/>
          <w:szCs w:val="22"/>
        </w:rPr>
        <w:t xml:space="preserve"> = .56).</w:t>
      </w:r>
    </w:p>
    <w:p w:rsidR="00070FC5" w:rsidRPr="00CC73F3" w:rsidRDefault="00070FC5" w:rsidP="00D639F5">
      <w:pPr>
        <w:spacing w:line="480" w:lineRule="auto"/>
        <w:rPr>
          <w:rFonts w:eastAsia="Calibri"/>
          <w:szCs w:val="22"/>
        </w:rPr>
        <w:sectPr w:rsidR="00070FC5" w:rsidRPr="00CC73F3">
          <w:headerReference w:type="default" r:id="rId20"/>
          <w:pgSz w:w="12240" w:h="15840"/>
          <w:pgMar w:top="1440" w:right="1440" w:bottom="1440" w:left="1440" w:header="720" w:footer="720" w:gutter="0"/>
          <w:cols w:space="720"/>
          <w:docGrid w:linePitch="360"/>
        </w:sectPr>
      </w:pPr>
    </w:p>
    <w:p w:rsidR="00070FC5" w:rsidRPr="00CC73F3" w:rsidRDefault="00070FC5" w:rsidP="00D639F5">
      <w:pPr>
        <w:pStyle w:val="Caption"/>
        <w:rPr>
          <w:rFonts w:eastAsia="Calibri"/>
        </w:rPr>
      </w:pPr>
      <w:bookmarkStart w:id="120" w:name="_Toc420570953"/>
      <w:proofErr w:type="gramStart"/>
      <w:r w:rsidRPr="00CC73F3">
        <w:t xml:space="preserve">Table </w:t>
      </w:r>
      <w:fldSimple w:instr=" SEQ Table \* ARABIC ">
        <w:r w:rsidRPr="00CC73F3">
          <w:rPr>
            <w:noProof/>
          </w:rPr>
          <w:t>28</w:t>
        </w:r>
      </w:fldSimple>
      <w:r w:rsidRPr="00CC73F3">
        <w:rPr>
          <w:rFonts w:eastAsia="Calibri"/>
        </w:rPr>
        <w:t>.</w:t>
      </w:r>
      <w:proofErr w:type="gramEnd"/>
      <w:r w:rsidRPr="00CC73F3">
        <w:rPr>
          <w:rFonts w:eastAsia="Calibri"/>
        </w:rPr>
        <w:t xml:space="preserve"> Study 3 Reflexivity Coding Categories and Examples</w:t>
      </w:r>
      <w:bookmarkEnd w:id="120"/>
    </w:p>
    <w:p w:rsidR="00070FC5" w:rsidRPr="00CC73F3" w:rsidRDefault="00070FC5" w:rsidP="00D639F5">
      <w:pPr>
        <w:rPr>
          <w:rFonts w:eastAsia="Calibri"/>
        </w:rPr>
      </w:pPr>
    </w:p>
    <w:tbl>
      <w:tblPr>
        <w:tblW w:w="5000" w:type="pct"/>
        <w:jc w:val="center"/>
        <w:tblLayout w:type="fixed"/>
        <w:tblLook w:val="04A0" w:firstRow="1" w:lastRow="0" w:firstColumn="1" w:lastColumn="0" w:noHBand="0" w:noVBand="1"/>
      </w:tblPr>
      <w:tblGrid>
        <w:gridCol w:w="2124"/>
        <w:gridCol w:w="4285"/>
        <w:gridCol w:w="1439"/>
        <w:gridCol w:w="5328"/>
      </w:tblGrid>
      <w:tr w:rsidR="00070FC5" w:rsidRPr="00CC73F3" w:rsidTr="00D639F5">
        <w:trPr>
          <w:trHeight w:val="315"/>
          <w:jc w:val="center"/>
        </w:trPr>
        <w:tc>
          <w:tcPr>
            <w:tcW w:w="806" w:type="pct"/>
            <w:tcBorders>
              <w:top w:val="single" w:sz="18" w:space="0" w:color="auto"/>
              <w:bottom w:val="single" w:sz="18" w:space="0" w:color="auto"/>
            </w:tcBorders>
            <w:shd w:val="clear" w:color="auto" w:fill="auto"/>
            <w:noWrap/>
            <w:vAlign w:val="center"/>
            <w:hideMark/>
          </w:tcPr>
          <w:p w:rsidR="00070FC5" w:rsidRPr="00CC73F3" w:rsidRDefault="00070FC5" w:rsidP="00D639F5">
            <w:pPr>
              <w:jc w:val="center"/>
              <w:rPr>
                <w:rFonts w:eastAsia="Calibri"/>
                <w:b/>
                <w:bCs/>
              </w:rPr>
            </w:pPr>
            <w:r w:rsidRPr="00CC73F3">
              <w:rPr>
                <w:rFonts w:eastAsia="Calibri"/>
                <w:b/>
                <w:bCs/>
              </w:rPr>
              <w:t>Reflexivity Code</w:t>
            </w:r>
          </w:p>
        </w:tc>
        <w:tc>
          <w:tcPr>
            <w:tcW w:w="1626" w:type="pct"/>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bCs/>
              </w:rPr>
            </w:pPr>
            <w:r w:rsidRPr="00CC73F3">
              <w:rPr>
                <w:rFonts w:eastAsia="Calibri"/>
                <w:b/>
                <w:bCs/>
              </w:rPr>
              <w:t>Description</w:t>
            </w:r>
          </w:p>
        </w:tc>
        <w:tc>
          <w:tcPr>
            <w:tcW w:w="546" w:type="pct"/>
            <w:tcBorders>
              <w:top w:val="single" w:sz="18" w:space="0" w:color="auto"/>
              <w:bottom w:val="single" w:sz="18" w:space="0" w:color="auto"/>
            </w:tcBorders>
            <w:vAlign w:val="center"/>
          </w:tcPr>
          <w:p w:rsidR="00070FC5" w:rsidRPr="00CC73F3" w:rsidRDefault="00070FC5" w:rsidP="00D639F5">
            <w:pPr>
              <w:jc w:val="center"/>
              <w:rPr>
                <w:rFonts w:eastAsia="Calibri"/>
                <w:b/>
                <w:bCs/>
              </w:rPr>
            </w:pPr>
            <w:r w:rsidRPr="00CC73F3">
              <w:rPr>
                <w:rFonts w:eastAsia="Calibri"/>
                <w:b/>
                <w:bCs/>
              </w:rPr>
              <w:t>Coding</w:t>
            </w:r>
          </w:p>
          <w:p w:rsidR="00070FC5" w:rsidRPr="00CC73F3" w:rsidRDefault="00070FC5" w:rsidP="00D639F5">
            <w:pPr>
              <w:jc w:val="center"/>
              <w:rPr>
                <w:rFonts w:eastAsia="Calibri"/>
                <w:b/>
                <w:bCs/>
              </w:rPr>
            </w:pPr>
            <w:r w:rsidRPr="00CC73F3">
              <w:rPr>
                <w:rFonts w:eastAsia="Calibri"/>
                <w:b/>
                <w:bCs/>
              </w:rPr>
              <w:t>Percentage</w:t>
            </w:r>
          </w:p>
        </w:tc>
        <w:tc>
          <w:tcPr>
            <w:tcW w:w="2022" w:type="pct"/>
            <w:tcBorders>
              <w:top w:val="single" w:sz="18" w:space="0" w:color="auto"/>
              <w:bottom w:val="single" w:sz="18" w:space="0" w:color="auto"/>
            </w:tcBorders>
            <w:shd w:val="clear" w:color="auto" w:fill="auto"/>
            <w:noWrap/>
            <w:vAlign w:val="center"/>
            <w:hideMark/>
          </w:tcPr>
          <w:p w:rsidR="00070FC5" w:rsidRPr="00CC73F3" w:rsidRDefault="00070FC5" w:rsidP="00D639F5">
            <w:pPr>
              <w:jc w:val="center"/>
              <w:rPr>
                <w:rFonts w:eastAsia="Calibri"/>
                <w:b/>
                <w:bCs/>
              </w:rPr>
            </w:pPr>
            <w:r w:rsidRPr="00CC73F3">
              <w:rPr>
                <w:rFonts w:eastAsia="Calibri"/>
                <w:b/>
                <w:bCs/>
              </w:rPr>
              <w:t>Representative Quote</w:t>
            </w:r>
          </w:p>
        </w:tc>
      </w:tr>
      <w:tr w:rsidR="00070FC5" w:rsidRPr="00CC73F3" w:rsidTr="00D639F5">
        <w:trPr>
          <w:trHeight w:val="315"/>
          <w:jc w:val="center"/>
        </w:trPr>
        <w:tc>
          <w:tcPr>
            <w:tcW w:w="806" w:type="pct"/>
            <w:tcBorders>
              <w:top w:val="single" w:sz="18" w:space="0" w:color="auto"/>
            </w:tcBorders>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Aesthetics</w:t>
            </w:r>
          </w:p>
        </w:tc>
        <w:tc>
          <w:tcPr>
            <w:tcW w:w="1626" w:type="pct"/>
            <w:tcBorders>
              <w:top w:val="single" w:sz="18" w:space="0" w:color="auto"/>
            </w:tcBorders>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regarding the aesthetics/appearance of a product</w:t>
            </w:r>
          </w:p>
          <w:p w:rsidR="00070FC5" w:rsidRPr="00CC73F3" w:rsidRDefault="00070FC5" w:rsidP="00D639F5">
            <w:pPr>
              <w:jc w:val="center"/>
              <w:rPr>
                <w:rFonts w:eastAsia="Calibri"/>
                <w:color w:val="000000"/>
              </w:rPr>
            </w:pPr>
          </w:p>
        </w:tc>
        <w:tc>
          <w:tcPr>
            <w:tcW w:w="546" w:type="pct"/>
            <w:tcBorders>
              <w:top w:val="single" w:sz="18" w:space="0" w:color="auto"/>
            </w:tcBorders>
            <w:vAlign w:val="center"/>
          </w:tcPr>
          <w:p w:rsidR="00070FC5" w:rsidRPr="00CC73F3" w:rsidRDefault="00070FC5" w:rsidP="00D639F5">
            <w:pPr>
              <w:jc w:val="center"/>
              <w:rPr>
                <w:color w:val="000000"/>
              </w:rPr>
            </w:pPr>
            <w:r w:rsidRPr="00CC73F3">
              <w:rPr>
                <w:color w:val="000000"/>
              </w:rPr>
              <w:t>2.9%</w:t>
            </w:r>
          </w:p>
        </w:tc>
        <w:tc>
          <w:tcPr>
            <w:tcW w:w="2022" w:type="pct"/>
            <w:tcBorders>
              <w:top w:val="single" w:sz="18" w:space="0" w:color="auto"/>
            </w:tcBorders>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think this is a beautiful, sophisticated coffee table version.”</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Channels</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potential retail channel partners through which a product might be sold</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0.8%</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can see this at Michaels; I can see this at Target.”</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Community Opinion</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 xml:space="preserve">Reference to the opinion of the online community in real time during the </w:t>
            </w:r>
          </w:p>
          <w:p w:rsidR="00070FC5" w:rsidRPr="00CC73F3" w:rsidRDefault="00070FC5" w:rsidP="00D639F5">
            <w:pPr>
              <w:jc w:val="center"/>
              <w:rPr>
                <w:rFonts w:eastAsia="Calibri"/>
                <w:color w:val="000000"/>
              </w:rPr>
            </w:pPr>
            <w:r w:rsidRPr="00CC73F3">
              <w:rPr>
                <w:rFonts w:eastAsia="Calibri"/>
                <w:color w:val="000000"/>
              </w:rPr>
              <w:t>evaluation discussions</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11.6%</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“58% of the community likes it. That is a lot.”</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Complexity</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the complexity and or “over-engineering” of a product</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6.3%</w:t>
            </w:r>
          </w:p>
        </w:tc>
        <w:tc>
          <w:tcPr>
            <w:tcW w:w="2022" w:type="pct"/>
            <w:shd w:val="clear" w:color="auto" w:fill="auto"/>
            <w:noWrap/>
            <w:vAlign w:val="center"/>
          </w:tcPr>
          <w:p w:rsidR="00070FC5" w:rsidRPr="00CC73F3" w:rsidRDefault="00070FC5" w:rsidP="00D639F5">
            <w:pPr>
              <w:jc w:val="center"/>
              <w:rPr>
                <w:rFonts w:eastAsia="Calibri"/>
                <w:color w:val="FF0000"/>
              </w:rPr>
            </w:pPr>
            <w:r w:rsidRPr="00CC73F3">
              <w:rPr>
                <w:rFonts w:eastAsia="Calibri"/>
                <w:color w:val="000000"/>
              </w:rPr>
              <w:t>“First, I think this thing just has too many features.”</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Cost/Expense</w:t>
            </w:r>
          </w:p>
        </w:tc>
        <w:tc>
          <w:tcPr>
            <w:tcW w:w="1626" w:type="pct"/>
            <w:shd w:val="clear" w:color="auto" w:fill="auto"/>
            <w:vAlign w:val="center"/>
          </w:tcPr>
          <w:p w:rsidR="00070FC5" w:rsidRPr="00CC73F3" w:rsidRDefault="00070FC5" w:rsidP="00D639F5">
            <w:pPr>
              <w:jc w:val="center"/>
              <w:rPr>
                <w:rFonts w:eastAsia="Calibri"/>
                <w:color w:val="000000"/>
              </w:rPr>
            </w:pPr>
            <w:r w:rsidRPr="00CC73F3">
              <w:rPr>
                <w:rFonts w:eastAsia="Calibri"/>
                <w:color w:val="000000"/>
              </w:rPr>
              <w:t>Comment about the cost to make a product</w:t>
            </w:r>
          </w:p>
        </w:tc>
        <w:tc>
          <w:tcPr>
            <w:tcW w:w="546" w:type="pct"/>
            <w:vAlign w:val="center"/>
          </w:tcPr>
          <w:p w:rsidR="00070FC5" w:rsidRPr="00CC73F3" w:rsidRDefault="00070FC5" w:rsidP="00D639F5">
            <w:pPr>
              <w:jc w:val="center"/>
              <w:rPr>
                <w:color w:val="000000"/>
              </w:rPr>
            </w:pPr>
            <w:r w:rsidRPr="00CC73F3">
              <w:rPr>
                <w:color w:val="000000"/>
              </w:rPr>
              <w:t>4.7%</w:t>
            </w:r>
          </w:p>
        </w:tc>
        <w:tc>
          <w:tcPr>
            <w:tcW w:w="2022" w:type="pct"/>
            <w:shd w:val="clear" w:color="auto" w:fill="auto"/>
            <w:noWrap/>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“I think it would be very costly to make it if you want all these different lenses and you want it to be of quality. I think it would be expensive.”</w:t>
            </w:r>
          </w:p>
          <w:p w:rsidR="00070FC5" w:rsidRPr="00CC73F3" w:rsidRDefault="00070FC5" w:rsidP="00D639F5">
            <w:pPr>
              <w:jc w:val="center"/>
              <w:rPr>
                <w:rFonts w:eastAsia="Calibri"/>
                <w:color w:val="000000"/>
              </w:rPr>
            </w:pPr>
          </w:p>
        </w:tc>
      </w:tr>
      <w:tr w:rsidR="00070FC5" w:rsidRPr="00CC73F3" w:rsidTr="00D639F5">
        <w:trPr>
          <w:trHeight w:val="315"/>
          <w:jc w:val="center"/>
        </w:trPr>
        <w:tc>
          <w:tcPr>
            <w:tcW w:w="806" w:type="pct"/>
            <w:shd w:val="clear" w:color="auto" w:fill="auto"/>
            <w:noWrap/>
            <w:vAlign w:val="center"/>
          </w:tcPr>
          <w:p w:rsidR="00070FC5" w:rsidRPr="00CC73F3" w:rsidRDefault="00070FC5" w:rsidP="00D639F5">
            <w:pPr>
              <w:jc w:val="center"/>
              <w:rPr>
                <w:rFonts w:eastAsia="Calibri"/>
                <w:b/>
                <w:bCs/>
                <w:color w:val="000000"/>
              </w:rPr>
            </w:pPr>
            <w:r w:rsidRPr="00CC73F3">
              <w:rPr>
                <w:rFonts w:eastAsia="Calibri"/>
                <w:b/>
                <w:bCs/>
                <w:color w:val="000000"/>
              </w:rPr>
              <w:t>Inventor Credibility</w:t>
            </w:r>
          </w:p>
        </w:tc>
        <w:tc>
          <w:tcPr>
            <w:tcW w:w="1626" w:type="pct"/>
            <w:shd w:val="clear" w:color="auto" w:fill="auto"/>
            <w:vAlign w:val="center"/>
          </w:tcPr>
          <w:p w:rsidR="00070FC5" w:rsidRPr="00CC73F3" w:rsidRDefault="00070FC5" w:rsidP="00D639F5">
            <w:pPr>
              <w:jc w:val="center"/>
              <w:rPr>
                <w:rFonts w:eastAsia="Calibri"/>
                <w:color w:val="000000"/>
              </w:rPr>
            </w:pPr>
            <w:r w:rsidRPr="00CC73F3">
              <w:rPr>
                <w:rFonts w:eastAsia="Calibri"/>
                <w:color w:val="000000"/>
              </w:rPr>
              <w:t>An appeal to the credibility/experience of the inventor in advocating for a product.</w:t>
            </w:r>
          </w:p>
        </w:tc>
        <w:tc>
          <w:tcPr>
            <w:tcW w:w="546" w:type="pct"/>
            <w:vAlign w:val="center"/>
          </w:tcPr>
          <w:p w:rsidR="00070FC5" w:rsidRPr="00CC73F3" w:rsidRDefault="00070FC5" w:rsidP="00D639F5">
            <w:pPr>
              <w:jc w:val="center"/>
              <w:rPr>
                <w:color w:val="000000"/>
              </w:rPr>
            </w:pPr>
            <w:r w:rsidRPr="00CC73F3">
              <w:rPr>
                <w:color w:val="000000"/>
              </w:rPr>
              <w:t>1.3%</w:t>
            </w:r>
          </w:p>
        </w:tc>
        <w:tc>
          <w:tcPr>
            <w:tcW w:w="2022" w:type="pct"/>
            <w:shd w:val="clear" w:color="auto" w:fill="auto"/>
            <w:noWrap/>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 xml:space="preserve">“We know Mark is like an 85-time </w:t>
            </w:r>
            <w:proofErr w:type="spellStart"/>
            <w:r w:rsidRPr="00CC73F3">
              <w:rPr>
                <w:rFonts w:eastAsia="Calibri"/>
                <w:color w:val="000000"/>
              </w:rPr>
              <w:t>inventor</w:t>
            </w:r>
            <w:proofErr w:type="spellEnd"/>
            <w:r w:rsidRPr="00CC73F3">
              <w:rPr>
                <w:rFonts w:eastAsia="Calibri"/>
                <w:color w:val="000000"/>
              </w:rPr>
              <w:t>. He invented such wonderful things like Bandits and Split Sticks, and some of our most successful products, so he knows what he is doing.”</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Danger/Safety Issues</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regarding whether or not a product could injure consumers during use</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1.3%</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agree</w:t>
            </w:r>
            <w:proofErr w:type="gramStart"/>
            <w:r w:rsidRPr="00CC73F3">
              <w:rPr>
                <w:rFonts w:eastAsia="Calibri"/>
                <w:color w:val="000000"/>
              </w:rPr>
              <w:t>,</w:t>
            </w:r>
            <w:proofErr w:type="gramEnd"/>
            <w:r w:rsidRPr="00CC73F3">
              <w:rPr>
                <w:rFonts w:eastAsia="Calibri"/>
                <w:color w:val="000000"/>
              </w:rPr>
              <w:t xml:space="preserve"> it doesn’t look very child safe.”</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Development Imperative</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 xml:space="preserve">Comment arguing that a product </w:t>
            </w:r>
            <w:r w:rsidRPr="00CC73F3">
              <w:rPr>
                <w:rFonts w:eastAsia="Calibri"/>
                <w:i/>
                <w:color w:val="000000"/>
              </w:rPr>
              <w:t>must</w:t>
            </w:r>
            <w:r w:rsidRPr="00CC73F3">
              <w:rPr>
                <w:rFonts w:eastAsia="Calibri"/>
                <w:color w:val="000000"/>
              </w:rPr>
              <w:t xml:space="preserve"> be developed by the firm</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1.0%</w:t>
            </w:r>
          </w:p>
        </w:tc>
        <w:tc>
          <w:tcPr>
            <w:tcW w:w="2022" w:type="pct"/>
            <w:shd w:val="clear" w:color="auto" w:fill="auto"/>
            <w:noWrap/>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“We should totally do this, and if you don’t, you hate Quirky.”</w:t>
            </w:r>
          </w:p>
          <w:p w:rsidR="00070FC5" w:rsidRPr="00CC73F3" w:rsidRDefault="00070FC5" w:rsidP="00D639F5">
            <w:pPr>
              <w:jc w:val="center"/>
              <w:rPr>
                <w:rFonts w:eastAsia="Calibri"/>
                <w:color w:val="FF0000"/>
              </w:rPr>
            </w:pP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Enhances Existing Products</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how a product might enhance an existing product</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0.6%</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“This would be a great product to go with other nail polishes, as well.”</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Existing Product Analogy</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Making an analogy to an existing product to describe the product being reviewed</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2.7%</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“It’s like a K-Cup for a French Press [coffee maker].”</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Expert Opinion</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Soliciting or appealing to the opinion of a subject matter expert on the product under discussion</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2.7%</w:t>
            </w:r>
          </w:p>
        </w:tc>
        <w:tc>
          <w:tcPr>
            <w:tcW w:w="2022" w:type="pct"/>
            <w:shd w:val="clear" w:color="auto" w:fill="auto"/>
            <w:noWrap/>
            <w:vAlign w:val="center"/>
          </w:tcPr>
          <w:p w:rsidR="00070FC5" w:rsidRPr="00CC73F3" w:rsidRDefault="00070FC5" w:rsidP="00D639F5">
            <w:pPr>
              <w:jc w:val="center"/>
              <w:rPr>
                <w:rFonts w:eastAsia="Calibri"/>
                <w:color w:val="FF0000"/>
              </w:rPr>
            </w:pPr>
            <w:r w:rsidRPr="00CC73F3">
              <w:rPr>
                <w:rFonts w:eastAsia="Calibri"/>
                <w:color w:val="000000"/>
              </w:rPr>
              <w:t xml:space="preserve">“Allen is on the manufacturing quality team at </w:t>
            </w:r>
            <w:r w:rsidRPr="00CC73F3">
              <w:rPr>
                <w:rFonts w:eastAsia="Calibri"/>
                <w:color w:val="000000"/>
              </w:rPr>
              <w:br/>
              <w:t>General Electric.”</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Explore Further</w:t>
            </w:r>
          </w:p>
          <w:p w:rsidR="00070FC5" w:rsidRPr="00CC73F3" w:rsidRDefault="00070FC5" w:rsidP="00D639F5">
            <w:pPr>
              <w:jc w:val="center"/>
              <w:rPr>
                <w:rFonts w:eastAsia="Calibri"/>
                <w:b/>
                <w:bCs/>
                <w:color w:val="000000"/>
              </w:rPr>
            </w:pP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Suggestion that a product concept need further exploration before making a commitment.</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1.3%</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think that we could explore this idea, figure out the validity of it and how it would work.”</w:t>
            </w:r>
          </w:p>
        </w:tc>
      </w:tr>
      <w:tr w:rsidR="00070FC5" w:rsidRPr="00CC73F3" w:rsidTr="00D639F5">
        <w:trPr>
          <w:trHeight w:val="1638"/>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Firm Capability</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whether or not a product fits the focal firm’s capabilities and/or product development strategy</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0.2%</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“Quirky doesn’t make medical supplies.”</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Functionality</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 xml:space="preserve">Comment about how a product would function (or not function) properly </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9.2%</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would never put it in my car because I don't care how strong the magnet is, it will fly off at some point.”</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Future Project</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that product idea might be viable in the future, but not now</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0.3%</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think we’re not there yet, because most of our phones wouldn’t work with it, but it’s something for the future.”</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Innovative</w:t>
            </w:r>
          </w:p>
        </w:tc>
        <w:tc>
          <w:tcPr>
            <w:tcW w:w="1626" w:type="pct"/>
            <w:shd w:val="clear" w:color="auto" w:fill="auto"/>
            <w:vAlign w:val="center"/>
          </w:tcPr>
          <w:p w:rsidR="00070FC5" w:rsidRPr="00CC73F3" w:rsidRDefault="00070FC5" w:rsidP="00D639F5">
            <w:pPr>
              <w:jc w:val="center"/>
              <w:rPr>
                <w:rFonts w:eastAsia="Calibri"/>
                <w:color w:val="000000"/>
              </w:rPr>
            </w:pPr>
            <w:r w:rsidRPr="00CC73F3">
              <w:rPr>
                <w:rFonts w:eastAsia="Calibri"/>
                <w:color w:val="000000"/>
              </w:rPr>
              <w:t>Comment about the innovativeness/creativity of a product</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6.9%</w:t>
            </w:r>
          </w:p>
        </w:tc>
        <w:tc>
          <w:tcPr>
            <w:tcW w:w="2022" w:type="pct"/>
            <w:shd w:val="clear" w:color="auto" w:fill="auto"/>
            <w:noWrap/>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“I think like the battery thing [solved by this product] is like the last frontier in electronics. The first person who helps solves that, that's like the next big gold rush in this category.”</w:t>
            </w:r>
          </w:p>
          <w:p w:rsidR="00070FC5" w:rsidRPr="00CC73F3" w:rsidRDefault="00070FC5" w:rsidP="00D639F5">
            <w:pPr>
              <w:jc w:val="center"/>
              <w:rPr>
                <w:rFonts w:eastAsia="Calibri"/>
                <w:color w:val="000000"/>
              </w:rPr>
            </w:pP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Interesting/Fun</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whether a product generates interest or excitement</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3.9%</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“Even people who are not into yoga seem to love it.”</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Inventor Effort</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the amount of effort and preparation the inventor put into the development of a product, regardless of the merit of the product idea</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0.8%</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appreciate the amount of thought that has obviously gone into this submission.”</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Legal/Ethical Issues</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regarding whether or not a product is legal to sell (non-IP related)</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0.6%</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“I’m just saying</w:t>
            </w:r>
            <w:proofErr w:type="gramStart"/>
            <w:r w:rsidRPr="00CC73F3">
              <w:rPr>
                <w:rFonts w:eastAsia="Calibri"/>
                <w:color w:val="000000"/>
              </w:rPr>
              <w:t>,</w:t>
            </w:r>
            <w:proofErr w:type="gramEnd"/>
            <w:r w:rsidRPr="00CC73F3">
              <w:rPr>
                <w:rFonts w:eastAsia="Calibri"/>
                <w:color w:val="000000"/>
              </w:rPr>
              <w:t xml:space="preserve"> we’ve got Department of Transportation regulations to think about probably.”</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Market Trend</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Reference to market trends related to the product being evaluated</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2.1%</w:t>
            </w:r>
          </w:p>
        </w:tc>
        <w:tc>
          <w:tcPr>
            <w:tcW w:w="2022" w:type="pct"/>
            <w:shd w:val="clear" w:color="auto" w:fill="auto"/>
            <w:noWrap/>
            <w:vAlign w:val="center"/>
          </w:tcPr>
          <w:p w:rsidR="00070FC5" w:rsidRPr="00CC73F3" w:rsidRDefault="00070FC5" w:rsidP="00D639F5">
            <w:pPr>
              <w:jc w:val="center"/>
              <w:rPr>
                <w:rFonts w:eastAsia="Calibri"/>
                <w:color w:val="FF0000"/>
              </w:rPr>
            </w:pPr>
            <w:r w:rsidRPr="00CC73F3">
              <w:rPr>
                <w:rFonts w:eastAsia="Calibri"/>
                <w:color w:val="000000"/>
              </w:rPr>
              <w:t>“In the last decade, the pet industry has grown so much.”</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Meaningful</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the likelihood consumers would want and/or use a product; whether or not a product solves a “real” customer problem</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42.2%</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“A lot of people are identifying with this problem. Its gross, it's something they don't want to do, this seems like a great solution.”</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Multiple Uses</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multiple potential uses for the product being evaluated</w:t>
            </w:r>
          </w:p>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3.7%</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“Perfect for backpacking, for camping, for fishing, a variety of different activities.”</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Negative Feedback Seeking</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Soliciting negative feedback from the group</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0.6%</w:t>
            </w:r>
          </w:p>
        </w:tc>
        <w:tc>
          <w:tcPr>
            <w:tcW w:w="2022" w:type="pct"/>
            <w:shd w:val="clear" w:color="auto" w:fill="auto"/>
            <w:noWrap/>
            <w:vAlign w:val="center"/>
          </w:tcPr>
          <w:p w:rsidR="00070FC5" w:rsidRPr="00CC73F3" w:rsidRDefault="00070FC5" w:rsidP="00D639F5">
            <w:pPr>
              <w:jc w:val="center"/>
              <w:rPr>
                <w:rFonts w:eastAsia="Calibri"/>
                <w:color w:val="FF0000"/>
              </w:rPr>
            </w:pPr>
            <w:r w:rsidRPr="00CC73F3">
              <w:rPr>
                <w:rFonts w:eastAsia="Calibri"/>
                <w:color w:val="000000"/>
              </w:rPr>
              <w:t xml:space="preserve">“Does anyone dislike this? Do you want to talk about why you dislike </w:t>
            </w:r>
            <w:proofErr w:type="gramStart"/>
            <w:r w:rsidRPr="00CC73F3">
              <w:rPr>
                <w:rFonts w:eastAsia="Calibri"/>
                <w:color w:val="000000"/>
              </w:rPr>
              <w:t>this.</w:t>
            </w:r>
            <w:proofErr w:type="gramEnd"/>
            <w:r w:rsidRPr="00CC73F3">
              <w:rPr>
                <w:rFonts w:eastAsia="Calibri"/>
                <w:color w:val="000000"/>
              </w:rPr>
              <w:t>”</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Novelty</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the existence (or lack thereof) of the same or similar products</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5.5%</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“It’s just not different enough. There are too many similar products on the market.”</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Other Firm Interest</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a product having development interest from other companies</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0.0%</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“The inventor already has some retail interest in this product”</w:t>
            </w:r>
          </w:p>
        </w:tc>
      </w:tr>
      <w:tr w:rsidR="00070FC5" w:rsidRPr="00CC73F3" w:rsidTr="00D639F5">
        <w:trPr>
          <w:trHeight w:val="2466"/>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Partner</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that a strategic partnership with another firm would be needed to develop the product idea under review</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0.1%</w:t>
            </w:r>
          </w:p>
        </w:tc>
        <w:tc>
          <w:tcPr>
            <w:tcW w:w="2022" w:type="pct"/>
            <w:shd w:val="clear" w:color="auto" w:fill="auto"/>
            <w:noWrap/>
            <w:vAlign w:val="center"/>
          </w:tcPr>
          <w:p w:rsidR="00070FC5" w:rsidRPr="00CC73F3" w:rsidRDefault="00070FC5" w:rsidP="00D639F5">
            <w:pPr>
              <w:jc w:val="center"/>
              <w:rPr>
                <w:rFonts w:eastAsia="Calibri"/>
                <w:color w:val="FF0000"/>
              </w:rPr>
            </w:pPr>
            <w:r w:rsidRPr="00CC73F3">
              <w:rPr>
                <w:rFonts w:eastAsia="Calibri"/>
                <w:color w:val="000000"/>
              </w:rPr>
              <w:t>“It will be important for Quirky to find a partner in the toy space.”</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Patent/IP Issues</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regarding whether or not a product is already patented or could be patentable</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0.3%</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“This is a pretty cool technology but it's really protected, it's a pretty heavily protected space. We're going to hit some patent problems in the future.”</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Positive Feedback Seeking</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The CEO/moderator soliciting positive comments from the group</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0.5%</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want to hear from someone who actually really loves this and thinks they need it tomorrow.</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Product Extension</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how well a product fits into an existing line of products sold by the firm</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1.9%</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“Yeah, I like the idea because it's an extension of something that we had out already. I think that's great to keep a family of products.”</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Product Growth Potential</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the growth potential of a product</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0.2%</w:t>
            </w:r>
          </w:p>
        </w:tc>
        <w:tc>
          <w:tcPr>
            <w:tcW w:w="2022" w:type="pct"/>
            <w:shd w:val="clear" w:color="auto" w:fill="auto"/>
            <w:noWrap/>
            <w:vAlign w:val="center"/>
          </w:tcPr>
          <w:p w:rsidR="00070FC5" w:rsidRPr="00CC73F3" w:rsidRDefault="00070FC5" w:rsidP="00D639F5">
            <w:pPr>
              <w:jc w:val="center"/>
              <w:rPr>
                <w:rFonts w:eastAsia="Calibri"/>
                <w:color w:val="FF0000"/>
              </w:rPr>
            </w:pPr>
            <w:r w:rsidRPr="00CC73F3">
              <w:rPr>
                <w:rFonts w:eastAsia="Calibri"/>
                <w:color w:val="000000"/>
              </w:rPr>
              <w:t>“This product would be a great entry into Asia and places like that for us.”</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Prototype</w:t>
            </w:r>
          </w:p>
        </w:tc>
        <w:tc>
          <w:tcPr>
            <w:tcW w:w="1626" w:type="pct"/>
            <w:shd w:val="clear" w:color="auto" w:fill="auto"/>
            <w:vAlign w:val="center"/>
          </w:tcPr>
          <w:p w:rsidR="00070FC5" w:rsidRPr="00CC73F3" w:rsidRDefault="00070FC5" w:rsidP="00D639F5">
            <w:pPr>
              <w:jc w:val="center"/>
              <w:rPr>
                <w:rFonts w:eastAsia="Calibri"/>
                <w:color w:val="000000"/>
              </w:rPr>
            </w:pPr>
            <w:r w:rsidRPr="00CC73F3">
              <w:rPr>
                <w:rFonts w:eastAsia="Calibri"/>
                <w:color w:val="000000"/>
              </w:rPr>
              <w:t>Comment about whether or not the inventor has a working prototype</w:t>
            </w:r>
          </w:p>
        </w:tc>
        <w:tc>
          <w:tcPr>
            <w:tcW w:w="546" w:type="pct"/>
            <w:vAlign w:val="center"/>
          </w:tcPr>
          <w:p w:rsidR="00070FC5" w:rsidRPr="00CC73F3" w:rsidRDefault="00070FC5" w:rsidP="00D639F5">
            <w:pPr>
              <w:jc w:val="center"/>
              <w:rPr>
                <w:color w:val="000000"/>
              </w:rPr>
            </w:pPr>
            <w:r w:rsidRPr="00CC73F3">
              <w:rPr>
                <w:color w:val="000000"/>
              </w:rPr>
              <w:t>2.4%</w:t>
            </w:r>
          </w:p>
        </w:tc>
        <w:tc>
          <w:tcPr>
            <w:tcW w:w="2022" w:type="pct"/>
            <w:shd w:val="clear" w:color="auto" w:fill="auto"/>
            <w:noWrap/>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“[The inventor] has a working prototype that he built himself, so I definitely think it’s something we should be looking at.”</w:t>
            </w:r>
          </w:p>
          <w:p w:rsidR="00070FC5" w:rsidRPr="00CC73F3" w:rsidRDefault="00070FC5" w:rsidP="00D639F5">
            <w:pPr>
              <w:jc w:val="center"/>
              <w:rPr>
                <w:rFonts w:eastAsia="Calibri"/>
                <w:color w:val="000000"/>
              </w:rPr>
            </w:pP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Sellable</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whether or not a product would sell well</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7.1%</w:t>
            </w:r>
          </w:p>
        </w:tc>
        <w:tc>
          <w:tcPr>
            <w:tcW w:w="2022" w:type="pct"/>
            <w:shd w:val="clear" w:color="auto" w:fill="auto"/>
            <w:noWrap/>
            <w:vAlign w:val="center"/>
          </w:tcPr>
          <w:p w:rsidR="00070FC5" w:rsidRPr="00CC73F3" w:rsidRDefault="00070FC5" w:rsidP="00D639F5">
            <w:pPr>
              <w:jc w:val="center"/>
              <w:rPr>
                <w:rFonts w:eastAsia="Calibri"/>
                <w:color w:val="FF0000"/>
              </w:rPr>
            </w:pPr>
            <w:r w:rsidRPr="00CC73F3">
              <w:rPr>
                <w:rFonts w:eastAsia="Calibri"/>
                <w:color w:val="000000"/>
              </w:rPr>
              <w:t xml:space="preserve">“I don't how many of these we are going to </w:t>
            </w:r>
            <w:proofErr w:type="gramStart"/>
            <w:r w:rsidRPr="00CC73F3">
              <w:rPr>
                <w:rFonts w:eastAsia="Calibri"/>
                <w:color w:val="000000"/>
              </w:rPr>
              <w:t>sell,</w:t>
            </w:r>
            <w:proofErr w:type="gramEnd"/>
            <w:r w:rsidRPr="00CC73F3">
              <w:rPr>
                <w:rFonts w:eastAsia="Calibri"/>
                <w:color w:val="000000"/>
              </w:rPr>
              <w:t xml:space="preserve"> it’s kind of a limited market.”</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Substitutes</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substitutes that consumers might use in lieu of the product</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8.9%</w:t>
            </w:r>
          </w:p>
        </w:tc>
        <w:tc>
          <w:tcPr>
            <w:tcW w:w="2022" w:type="pct"/>
            <w:shd w:val="clear" w:color="auto" w:fill="auto"/>
            <w:noWrap/>
            <w:vAlign w:val="center"/>
          </w:tcPr>
          <w:p w:rsidR="00070FC5" w:rsidRPr="00CC73F3" w:rsidRDefault="00070FC5" w:rsidP="00D639F5">
            <w:pPr>
              <w:jc w:val="center"/>
              <w:rPr>
                <w:rFonts w:eastAsia="Calibri"/>
                <w:color w:val="FF0000"/>
              </w:rPr>
            </w:pPr>
            <w:r w:rsidRPr="00CC73F3">
              <w:rPr>
                <w:rFonts w:eastAsia="Calibri"/>
                <w:color w:val="000000"/>
              </w:rPr>
              <w:t xml:space="preserve">“You could use a rack a on a baking sheet and </w:t>
            </w:r>
            <w:r w:rsidRPr="00CC73F3">
              <w:rPr>
                <w:rFonts w:eastAsia="Calibri"/>
                <w:color w:val="000000"/>
              </w:rPr>
              <w:br/>
              <w:t>get the same thing.”</w:t>
            </w:r>
          </w:p>
          <w:p w:rsidR="00070FC5" w:rsidRPr="00CC73F3" w:rsidRDefault="00070FC5" w:rsidP="00D639F5">
            <w:pPr>
              <w:jc w:val="center"/>
              <w:rPr>
                <w:rFonts w:eastAsia="Calibri"/>
                <w:color w:val="000000"/>
              </w:rPr>
            </w:pPr>
          </w:p>
        </w:tc>
      </w:tr>
      <w:tr w:rsidR="00070FC5" w:rsidRPr="00CC73F3" w:rsidTr="00D639F5">
        <w:trPr>
          <w:trHeight w:val="1080"/>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Suggested Alternative</w:t>
            </w:r>
          </w:p>
        </w:tc>
        <w:tc>
          <w:tcPr>
            <w:tcW w:w="1626" w:type="pct"/>
            <w:shd w:val="clear" w:color="auto" w:fill="auto"/>
            <w:vAlign w:val="center"/>
          </w:tcPr>
          <w:p w:rsidR="00070FC5" w:rsidRPr="00CC73F3" w:rsidRDefault="00070FC5" w:rsidP="00D639F5">
            <w:pPr>
              <w:jc w:val="center"/>
              <w:rPr>
                <w:rFonts w:eastAsia="Calibri"/>
                <w:color w:val="000000"/>
              </w:rPr>
            </w:pPr>
            <w:r w:rsidRPr="00CC73F3">
              <w:rPr>
                <w:rFonts w:eastAsia="Calibri"/>
                <w:color w:val="000000"/>
              </w:rPr>
              <w:t>Suggesting a completely different product to solve the same problem as the product being reviewed</w:t>
            </w:r>
          </w:p>
        </w:tc>
        <w:tc>
          <w:tcPr>
            <w:tcW w:w="546" w:type="pct"/>
            <w:vAlign w:val="center"/>
          </w:tcPr>
          <w:p w:rsidR="00070FC5" w:rsidRPr="00CC73F3" w:rsidRDefault="00070FC5" w:rsidP="00D639F5">
            <w:pPr>
              <w:jc w:val="center"/>
              <w:rPr>
                <w:color w:val="000000"/>
              </w:rPr>
            </w:pPr>
            <w:r w:rsidRPr="00CC73F3">
              <w:rPr>
                <w:color w:val="000000"/>
              </w:rPr>
              <w:t>1.1%</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think this should be an app not a hardware device.”</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Suggested Enhancement</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in which the speaker suggests an enhancement to the product being reviewed</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7.9%</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“If you can have some sort of handle on this…so it is not extremely hot when you take it out [of the oven] to make it easier to handle this thing, that'd be really cool, and more usable.”</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Superior to Alternatives</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arguing why the product being reviewed is superior to alternative products</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4.2%</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“The other brilliant thing about this is the way that it pivots in way that a Swiffer does not, so you can really clean the surface area.”</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Target Market</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Comment about a specific target market for the product.</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3.7%</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can see this being a real premium product for people who travel a lot.”</w:t>
            </w: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Technical Feasibility</w:t>
            </w:r>
          </w:p>
        </w:tc>
        <w:tc>
          <w:tcPr>
            <w:tcW w:w="1626" w:type="pct"/>
            <w:shd w:val="clear" w:color="auto" w:fill="auto"/>
            <w:vAlign w:val="center"/>
          </w:tcPr>
          <w:p w:rsidR="00070FC5" w:rsidRPr="00CC73F3" w:rsidRDefault="00070FC5" w:rsidP="00D639F5">
            <w:pPr>
              <w:jc w:val="center"/>
              <w:rPr>
                <w:rFonts w:eastAsia="Calibri"/>
                <w:color w:val="000000"/>
              </w:rPr>
            </w:pPr>
            <w:r w:rsidRPr="00CC73F3">
              <w:rPr>
                <w:rFonts w:eastAsia="Calibri"/>
                <w:color w:val="000000"/>
              </w:rPr>
              <w:t>Comment about a product’s technical feasibility</w:t>
            </w:r>
          </w:p>
        </w:tc>
        <w:tc>
          <w:tcPr>
            <w:tcW w:w="546" w:type="pct"/>
            <w:vAlign w:val="center"/>
          </w:tcPr>
          <w:p w:rsidR="00070FC5" w:rsidRPr="00CC73F3" w:rsidRDefault="00070FC5" w:rsidP="00D639F5">
            <w:pPr>
              <w:jc w:val="center"/>
              <w:rPr>
                <w:color w:val="000000"/>
              </w:rPr>
            </w:pPr>
            <w:r w:rsidRPr="00CC73F3">
              <w:rPr>
                <w:color w:val="000000"/>
              </w:rPr>
              <w:t>8.4%</w:t>
            </w:r>
          </w:p>
        </w:tc>
        <w:tc>
          <w:tcPr>
            <w:tcW w:w="2022" w:type="pct"/>
            <w:shd w:val="clear" w:color="auto" w:fill="auto"/>
            <w:noWrap/>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 xml:space="preserve">“I think the technology is here for this product, there are some inline semiconductor current meters that are the size of a button that will do the measuring on this thing here, and can </w:t>
            </w:r>
            <w:proofErr w:type="gramStart"/>
            <w:r w:rsidRPr="00CC73F3">
              <w:rPr>
                <w:rFonts w:eastAsia="Calibri"/>
                <w:color w:val="000000"/>
              </w:rPr>
              <w:t>clipped</w:t>
            </w:r>
            <w:proofErr w:type="gramEnd"/>
            <w:r w:rsidRPr="00CC73F3">
              <w:rPr>
                <w:rFonts w:eastAsia="Calibri"/>
                <w:color w:val="000000"/>
              </w:rPr>
              <w:t xml:space="preserve"> on.”</w:t>
            </w:r>
          </w:p>
          <w:p w:rsidR="00070FC5" w:rsidRPr="00CC73F3" w:rsidRDefault="00070FC5" w:rsidP="00D639F5">
            <w:pPr>
              <w:jc w:val="center"/>
              <w:rPr>
                <w:rFonts w:eastAsia="Calibri"/>
                <w:color w:val="000000"/>
              </w:rPr>
            </w:pPr>
          </w:p>
        </w:tc>
      </w:tr>
      <w:tr w:rsidR="00070FC5" w:rsidRPr="00CC73F3" w:rsidTr="00D639F5">
        <w:trPr>
          <w:trHeight w:val="315"/>
          <w:jc w:val="center"/>
        </w:trPr>
        <w:tc>
          <w:tcPr>
            <w:tcW w:w="806" w:type="pct"/>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Unclear</w:t>
            </w:r>
          </w:p>
        </w:tc>
        <w:tc>
          <w:tcPr>
            <w:tcW w:w="1626" w:type="pct"/>
            <w:shd w:val="clear" w:color="auto" w:fill="auto"/>
            <w:vAlign w:val="center"/>
          </w:tcPr>
          <w:p w:rsidR="00070FC5" w:rsidRPr="00CC73F3" w:rsidRDefault="00070FC5" w:rsidP="00D639F5">
            <w:pPr>
              <w:jc w:val="center"/>
              <w:rPr>
                <w:rFonts w:eastAsia="Calibri"/>
                <w:color w:val="000000"/>
              </w:rPr>
            </w:pPr>
          </w:p>
          <w:p w:rsidR="00070FC5" w:rsidRPr="00CC73F3" w:rsidRDefault="00070FC5" w:rsidP="00D639F5">
            <w:pPr>
              <w:jc w:val="center"/>
              <w:rPr>
                <w:rFonts w:eastAsia="Calibri"/>
                <w:color w:val="000000"/>
              </w:rPr>
            </w:pPr>
            <w:r w:rsidRPr="00CC73F3">
              <w:rPr>
                <w:rFonts w:eastAsia="Calibri"/>
                <w:color w:val="000000"/>
              </w:rPr>
              <w:t>Speaker having a hard time understanding and/or conceptualizing what the product function is</w:t>
            </w:r>
          </w:p>
          <w:p w:rsidR="00070FC5" w:rsidRPr="00CC73F3" w:rsidRDefault="00070FC5" w:rsidP="00D639F5">
            <w:pPr>
              <w:jc w:val="center"/>
              <w:rPr>
                <w:rFonts w:eastAsia="Calibri"/>
                <w:color w:val="000000"/>
              </w:rPr>
            </w:pPr>
          </w:p>
        </w:tc>
        <w:tc>
          <w:tcPr>
            <w:tcW w:w="546" w:type="pct"/>
            <w:vAlign w:val="center"/>
          </w:tcPr>
          <w:p w:rsidR="00070FC5" w:rsidRPr="00CC73F3" w:rsidRDefault="00070FC5" w:rsidP="00D639F5">
            <w:pPr>
              <w:jc w:val="center"/>
              <w:rPr>
                <w:color w:val="000000"/>
              </w:rPr>
            </w:pPr>
            <w:r w:rsidRPr="00CC73F3">
              <w:rPr>
                <w:color w:val="000000"/>
              </w:rPr>
              <w:t>1.0%</w:t>
            </w:r>
          </w:p>
        </w:tc>
        <w:tc>
          <w:tcPr>
            <w:tcW w:w="2022" w:type="pct"/>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“I'm really confused, can anyone like clearly articulate what this invention is.”</w:t>
            </w:r>
          </w:p>
        </w:tc>
      </w:tr>
      <w:tr w:rsidR="00070FC5" w:rsidRPr="00CC73F3" w:rsidTr="00D639F5">
        <w:trPr>
          <w:trHeight w:val="315"/>
          <w:jc w:val="center"/>
        </w:trPr>
        <w:tc>
          <w:tcPr>
            <w:tcW w:w="806" w:type="pct"/>
            <w:tcBorders>
              <w:bottom w:val="single" w:sz="18" w:space="0" w:color="auto"/>
            </w:tcBorders>
            <w:shd w:val="clear" w:color="auto" w:fill="auto"/>
            <w:noWrap/>
            <w:vAlign w:val="center"/>
            <w:hideMark/>
          </w:tcPr>
          <w:p w:rsidR="00070FC5" w:rsidRPr="00CC73F3" w:rsidRDefault="00070FC5" w:rsidP="00D639F5">
            <w:pPr>
              <w:jc w:val="center"/>
              <w:rPr>
                <w:rFonts w:eastAsia="Calibri"/>
                <w:b/>
                <w:bCs/>
                <w:color w:val="000000"/>
              </w:rPr>
            </w:pPr>
            <w:r w:rsidRPr="00CC73F3">
              <w:rPr>
                <w:rFonts w:eastAsia="Calibri"/>
                <w:b/>
                <w:bCs/>
                <w:color w:val="000000"/>
              </w:rPr>
              <w:t>Word of Mouth/Buzz</w:t>
            </w:r>
          </w:p>
        </w:tc>
        <w:tc>
          <w:tcPr>
            <w:tcW w:w="1626" w:type="pct"/>
            <w:tcBorders>
              <w:bottom w:val="single" w:sz="18" w:space="0" w:color="auto"/>
            </w:tcBorders>
            <w:shd w:val="clear" w:color="auto" w:fill="auto"/>
            <w:vAlign w:val="center"/>
          </w:tcPr>
          <w:p w:rsidR="00070FC5" w:rsidRPr="00CC73F3" w:rsidRDefault="00070FC5" w:rsidP="00D639F5">
            <w:pPr>
              <w:jc w:val="center"/>
              <w:rPr>
                <w:rFonts w:eastAsia="Calibri"/>
                <w:color w:val="000000"/>
              </w:rPr>
            </w:pPr>
            <w:r w:rsidRPr="00CC73F3">
              <w:rPr>
                <w:rFonts w:eastAsia="Calibri"/>
                <w:color w:val="000000"/>
              </w:rPr>
              <w:t>Comment about the speculated “buzz” that could be generated by a product</w:t>
            </w:r>
          </w:p>
          <w:p w:rsidR="00070FC5" w:rsidRPr="00CC73F3" w:rsidRDefault="00070FC5" w:rsidP="00D639F5">
            <w:pPr>
              <w:jc w:val="center"/>
              <w:rPr>
                <w:rFonts w:eastAsia="Calibri"/>
                <w:color w:val="000000"/>
              </w:rPr>
            </w:pPr>
          </w:p>
        </w:tc>
        <w:tc>
          <w:tcPr>
            <w:tcW w:w="546" w:type="pct"/>
            <w:tcBorders>
              <w:bottom w:val="single" w:sz="18" w:space="0" w:color="auto"/>
            </w:tcBorders>
            <w:vAlign w:val="center"/>
          </w:tcPr>
          <w:p w:rsidR="00070FC5" w:rsidRPr="00CC73F3" w:rsidRDefault="00070FC5" w:rsidP="00D639F5">
            <w:pPr>
              <w:jc w:val="center"/>
              <w:rPr>
                <w:color w:val="000000"/>
              </w:rPr>
            </w:pPr>
            <w:r w:rsidRPr="00CC73F3">
              <w:rPr>
                <w:color w:val="000000"/>
              </w:rPr>
              <w:t>0.2%</w:t>
            </w:r>
          </w:p>
        </w:tc>
        <w:tc>
          <w:tcPr>
            <w:tcW w:w="2022" w:type="pct"/>
            <w:tcBorders>
              <w:bottom w:val="single" w:sz="18" w:space="0" w:color="auto"/>
            </w:tcBorders>
            <w:shd w:val="clear" w:color="auto" w:fill="auto"/>
            <w:noWrap/>
            <w:vAlign w:val="center"/>
          </w:tcPr>
          <w:p w:rsidR="00070FC5" w:rsidRPr="00CC73F3" w:rsidRDefault="00070FC5" w:rsidP="00D639F5">
            <w:pPr>
              <w:jc w:val="center"/>
              <w:rPr>
                <w:rFonts w:eastAsia="Calibri"/>
                <w:color w:val="000000"/>
              </w:rPr>
            </w:pPr>
            <w:r w:rsidRPr="00CC73F3">
              <w:rPr>
                <w:rFonts w:eastAsia="Calibri"/>
                <w:color w:val="000000"/>
              </w:rPr>
              <w:t>“I love it. I think people would talk about it online from a digital marketing perspective”</w:t>
            </w:r>
          </w:p>
        </w:tc>
      </w:tr>
    </w:tbl>
    <w:p w:rsidR="00070FC5" w:rsidRPr="00CC73F3" w:rsidRDefault="00070FC5" w:rsidP="00D639F5">
      <w:pPr>
        <w:rPr>
          <w:rFonts w:eastAsia="Calibri"/>
          <w:szCs w:val="22"/>
        </w:rPr>
        <w:sectPr w:rsidR="00070FC5" w:rsidRPr="00CC73F3" w:rsidSect="00D639F5">
          <w:pgSz w:w="15840" w:h="12240" w:orient="landscape"/>
          <w:pgMar w:top="1440" w:right="1440" w:bottom="1440" w:left="1440" w:header="720" w:footer="720" w:gutter="0"/>
          <w:cols w:space="720"/>
          <w:docGrid w:linePitch="360"/>
        </w:sectPr>
      </w:pPr>
    </w:p>
    <w:p w:rsidR="00070FC5" w:rsidRPr="00CC73F3" w:rsidRDefault="00070FC5" w:rsidP="00D639F5">
      <w:pPr>
        <w:pStyle w:val="Caption"/>
        <w:rPr>
          <w:rFonts w:eastAsia="Calibri"/>
          <w:szCs w:val="22"/>
        </w:rPr>
      </w:pPr>
      <w:bookmarkStart w:id="121" w:name="_Toc420570954"/>
      <w:proofErr w:type="gramStart"/>
      <w:r w:rsidRPr="00CC73F3">
        <w:t xml:space="preserve">Table </w:t>
      </w:r>
      <w:fldSimple w:instr=" SEQ Table \* ARABIC ">
        <w:r w:rsidRPr="00CC73F3">
          <w:rPr>
            <w:noProof/>
          </w:rPr>
          <w:t>29</w:t>
        </w:r>
      </w:fldSimple>
      <w:r w:rsidRPr="00CC73F3">
        <w:rPr>
          <w:rFonts w:eastAsia="Calibri"/>
          <w:szCs w:val="22"/>
        </w:rPr>
        <w:t>.</w:t>
      </w:r>
      <w:proofErr w:type="gramEnd"/>
      <w:r w:rsidRPr="00CC73F3">
        <w:rPr>
          <w:rFonts w:eastAsia="Calibri"/>
          <w:szCs w:val="22"/>
        </w:rPr>
        <w:t xml:space="preserve"> Regulatory Focus Coding</w:t>
      </w:r>
      <w:bookmarkEnd w:id="121"/>
    </w:p>
    <w:p w:rsidR="00070FC5" w:rsidRPr="00CC73F3" w:rsidRDefault="00070FC5" w:rsidP="00D639F5">
      <w:pPr>
        <w:rPr>
          <w:rFonts w:eastAsia="Calibri"/>
        </w:rPr>
      </w:pPr>
    </w:p>
    <w:tbl>
      <w:tblPr>
        <w:tblW w:w="5000" w:type="pct"/>
        <w:jc w:val="center"/>
        <w:tblLayout w:type="fixed"/>
        <w:tblLook w:val="04A0" w:firstRow="1" w:lastRow="0" w:firstColumn="1" w:lastColumn="0" w:noHBand="0" w:noVBand="1"/>
      </w:tblPr>
      <w:tblGrid>
        <w:gridCol w:w="3438"/>
        <w:gridCol w:w="3060"/>
        <w:gridCol w:w="3078"/>
      </w:tblGrid>
      <w:tr w:rsidR="00070FC5" w:rsidRPr="00CC73F3" w:rsidTr="00D639F5">
        <w:trPr>
          <w:trHeight w:val="315"/>
          <w:jc w:val="center"/>
        </w:trPr>
        <w:tc>
          <w:tcPr>
            <w:tcW w:w="1795" w:type="pct"/>
            <w:tcBorders>
              <w:top w:val="single" w:sz="18" w:space="0" w:color="auto"/>
              <w:bottom w:val="single" w:sz="18" w:space="0" w:color="auto"/>
            </w:tcBorders>
            <w:shd w:val="clear" w:color="auto" w:fill="auto"/>
            <w:noWrap/>
            <w:vAlign w:val="center"/>
          </w:tcPr>
          <w:p w:rsidR="00070FC5" w:rsidRPr="00CC73F3" w:rsidRDefault="00070FC5" w:rsidP="00D639F5">
            <w:pPr>
              <w:jc w:val="center"/>
              <w:rPr>
                <w:rFonts w:eastAsia="Calibri"/>
                <w:b/>
                <w:bCs/>
                <w:color w:val="000000"/>
              </w:rPr>
            </w:pPr>
            <w:r w:rsidRPr="00CC73F3">
              <w:rPr>
                <w:rFonts w:eastAsia="Calibri"/>
                <w:b/>
                <w:bCs/>
                <w:color w:val="000000"/>
              </w:rPr>
              <w:t>Regulatory Focus Codes</w:t>
            </w:r>
          </w:p>
        </w:tc>
        <w:tc>
          <w:tcPr>
            <w:tcW w:w="1598" w:type="pct"/>
            <w:tcBorders>
              <w:top w:val="single" w:sz="18" w:space="0" w:color="auto"/>
              <w:bottom w:val="single" w:sz="18" w:space="0" w:color="auto"/>
            </w:tcBorders>
            <w:shd w:val="clear" w:color="auto" w:fill="auto"/>
            <w:vAlign w:val="center"/>
          </w:tcPr>
          <w:p w:rsidR="00070FC5" w:rsidRPr="00CC73F3" w:rsidRDefault="00070FC5" w:rsidP="00D639F5">
            <w:pPr>
              <w:jc w:val="center"/>
              <w:rPr>
                <w:rFonts w:eastAsia="Calibri"/>
                <w:b/>
                <w:color w:val="000000"/>
              </w:rPr>
            </w:pPr>
            <w:r w:rsidRPr="00CC73F3">
              <w:rPr>
                <w:rFonts w:eastAsia="Calibri"/>
                <w:b/>
                <w:color w:val="000000"/>
              </w:rPr>
              <w:t>Codes</w:t>
            </w:r>
          </w:p>
        </w:tc>
        <w:tc>
          <w:tcPr>
            <w:tcW w:w="1607" w:type="pct"/>
            <w:tcBorders>
              <w:top w:val="single" w:sz="18" w:space="0" w:color="auto"/>
              <w:bottom w:val="single" w:sz="18" w:space="0" w:color="auto"/>
            </w:tcBorders>
            <w:vAlign w:val="center"/>
          </w:tcPr>
          <w:p w:rsidR="00070FC5" w:rsidRPr="00CC73F3" w:rsidRDefault="00070FC5" w:rsidP="00D639F5">
            <w:pPr>
              <w:jc w:val="center"/>
              <w:rPr>
                <w:rFonts w:eastAsia="Calibri"/>
                <w:b/>
                <w:color w:val="000000"/>
              </w:rPr>
            </w:pPr>
            <w:r w:rsidRPr="00CC73F3">
              <w:rPr>
                <w:rFonts w:eastAsia="Calibri"/>
                <w:b/>
                <w:color w:val="000000"/>
              </w:rPr>
              <w:t>Coding Percentage</w:t>
            </w:r>
          </w:p>
        </w:tc>
      </w:tr>
      <w:tr w:rsidR="00070FC5" w:rsidRPr="00CC73F3" w:rsidTr="00D639F5">
        <w:trPr>
          <w:trHeight w:val="1185"/>
          <w:jc w:val="center"/>
        </w:trPr>
        <w:tc>
          <w:tcPr>
            <w:tcW w:w="1795" w:type="pct"/>
            <w:tcBorders>
              <w:top w:val="single" w:sz="18" w:space="0" w:color="auto"/>
            </w:tcBorders>
            <w:shd w:val="clear" w:color="auto" w:fill="auto"/>
            <w:noWrap/>
            <w:vAlign w:val="center"/>
            <w:hideMark/>
          </w:tcPr>
          <w:p w:rsidR="00070FC5" w:rsidRPr="00CC73F3" w:rsidRDefault="00070FC5" w:rsidP="00D639F5">
            <w:pPr>
              <w:jc w:val="center"/>
              <w:rPr>
                <w:rFonts w:eastAsia="Calibri"/>
                <w:b/>
                <w:bCs/>
                <w:i/>
                <w:color w:val="000000"/>
              </w:rPr>
            </w:pPr>
            <w:r w:rsidRPr="00CC73F3">
              <w:rPr>
                <w:rFonts w:eastAsia="Calibri"/>
                <w:b/>
                <w:bCs/>
                <w:i/>
                <w:color w:val="000000"/>
              </w:rPr>
              <w:t xml:space="preserve">Prevention-Focused </w:t>
            </w:r>
            <w:r w:rsidRPr="00CC73F3">
              <w:rPr>
                <w:rFonts w:eastAsia="Calibri"/>
                <w:b/>
                <w:bCs/>
                <w:i/>
                <w:color w:val="000000"/>
              </w:rPr>
              <w:br/>
              <w:t>Comments</w:t>
            </w:r>
          </w:p>
        </w:tc>
        <w:tc>
          <w:tcPr>
            <w:tcW w:w="1598" w:type="pct"/>
            <w:tcBorders>
              <w:top w:val="single" w:sz="18" w:space="0" w:color="auto"/>
            </w:tcBorders>
            <w:shd w:val="clear" w:color="auto" w:fill="auto"/>
            <w:vAlign w:val="center"/>
          </w:tcPr>
          <w:p w:rsidR="00070FC5" w:rsidRPr="00CC73F3" w:rsidRDefault="00070FC5" w:rsidP="00D639F5">
            <w:pPr>
              <w:rPr>
                <w:rFonts w:eastAsia="Calibri"/>
                <w:color w:val="000000"/>
                <w:sz w:val="16"/>
                <w:szCs w:val="16"/>
              </w:rPr>
            </w:pPr>
          </w:p>
          <w:p w:rsidR="00070FC5" w:rsidRPr="00CC73F3" w:rsidRDefault="00070FC5" w:rsidP="00D639F5">
            <w:pPr>
              <w:rPr>
                <w:rFonts w:eastAsia="Calibri"/>
                <w:color w:val="000000"/>
              </w:rPr>
            </w:pPr>
            <w:r w:rsidRPr="00CC73F3">
              <w:rPr>
                <w:rFonts w:eastAsia="Calibri"/>
                <w:color w:val="000000"/>
              </w:rPr>
              <w:t>Community Opinion</w:t>
            </w:r>
          </w:p>
          <w:p w:rsidR="00070FC5" w:rsidRPr="00CC73F3" w:rsidRDefault="00070FC5" w:rsidP="00D639F5">
            <w:pPr>
              <w:rPr>
                <w:rFonts w:eastAsia="Calibri"/>
                <w:color w:val="000000"/>
              </w:rPr>
            </w:pPr>
            <w:r w:rsidRPr="00CC73F3">
              <w:rPr>
                <w:rFonts w:eastAsia="Calibri"/>
                <w:color w:val="000000"/>
              </w:rPr>
              <w:t>Complexity</w:t>
            </w:r>
          </w:p>
          <w:p w:rsidR="00070FC5" w:rsidRPr="00CC73F3" w:rsidRDefault="00070FC5" w:rsidP="00D639F5">
            <w:pPr>
              <w:rPr>
                <w:rFonts w:eastAsia="Calibri"/>
                <w:color w:val="000000"/>
              </w:rPr>
            </w:pPr>
            <w:r w:rsidRPr="00CC73F3">
              <w:rPr>
                <w:rFonts w:eastAsia="Calibri"/>
                <w:color w:val="000000"/>
              </w:rPr>
              <w:t>Cost/Expense</w:t>
            </w:r>
          </w:p>
          <w:p w:rsidR="00070FC5" w:rsidRPr="00CC73F3" w:rsidRDefault="00070FC5" w:rsidP="00D639F5">
            <w:pPr>
              <w:rPr>
                <w:rFonts w:eastAsia="Calibri"/>
                <w:color w:val="000000"/>
              </w:rPr>
            </w:pPr>
            <w:r w:rsidRPr="00CC73F3">
              <w:rPr>
                <w:rFonts w:eastAsia="Calibri"/>
                <w:color w:val="000000"/>
              </w:rPr>
              <w:t>Danger/Safety Issues</w:t>
            </w:r>
          </w:p>
          <w:p w:rsidR="00070FC5" w:rsidRPr="00CC73F3" w:rsidRDefault="00070FC5" w:rsidP="00D639F5">
            <w:pPr>
              <w:rPr>
                <w:rFonts w:eastAsia="Calibri"/>
                <w:color w:val="000000"/>
              </w:rPr>
            </w:pPr>
            <w:r w:rsidRPr="00CC73F3">
              <w:rPr>
                <w:rFonts w:eastAsia="Calibri"/>
                <w:color w:val="000000"/>
              </w:rPr>
              <w:t>Existing Product Analogy</w:t>
            </w:r>
          </w:p>
          <w:p w:rsidR="00070FC5" w:rsidRPr="00CC73F3" w:rsidRDefault="00070FC5" w:rsidP="00D639F5">
            <w:pPr>
              <w:rPr>
                <w:rFonts w:eastAsia="Calibri"/>
                <w:color w:val="000000"/>
              </w:rPr>
            </w:pPr>
            <w:r w:rsidRPr="00CC73F3">
              <w:rPr>
                <w:rFonts w:eastAsia="Calibri"/>
                <w:color w:val="000000"/>
              </w:rPr>
              <w:t>Expert Opinion</w:t>
            </w:r>
          </w:p>
          <w:p w:rsidR="00070FC5" w:rsidRPr="00CC73F3" w:rsidRDefault="00070FC5" w:rsidP="00D639F5">
            <w:pPr>
              <w:rPr>
                <w:rFonts w:eastAsia="Calibri"/>
                <w:color w:val="000000"/>
              </w:rPr>
            </w:pPr>
            <w:r w:rsidRPr="00CC73F3">
              <w:rPr>
                <w:rFonts w:eastAsia="Calibri"/>
                <w:color w:val="000000"/>
              </w:rPr>
              <w:t>Functionality</w:t>
            </w:r>
          </w:p>
          <w:p w:rsidR="00070FC5" w:rsidRPr="00CC73F3" w:rsidRDefault="00070FC5" w:rsidP="00D639F5">
            <w:pPr>
              <w:rPr>
                <w:rFonts w:eastAsia="Calibri"/>
                <w:color w:val="000000"/>
              </w:rPr>
            </w:pPr>
            <w:r w:rsidRPr="00CC73F3">
              <w:rPr>
                <w:rFonts w:eastAsia="Calibri"/>
                <w:color w:val="000000"/>
              </w:rPr>
              <w:t>Inventor Credibility</w:t>
            </w:r>
          </w:p>
          <w:p w:rsidR="00070FC5" w:rsidRPr="00CC73F3" w:rsidRDefault="00070FC5" w:rsidP="00D639F5">
            <w:pPr>
              <w:rPr>
                <w:rFonts w:eastAsia="Calibri"/>
                <w:color w:val="000000"/>
              </w:rPr>
            </w:pPr>
            <w:r w:rsidRPr="00CC73F3">
              <w:rPr>
                <w:rFonts w:eastAsia="Calibri"/>
                <w:color w:val="000000"/>
              </w:rPr>
              <w:t>Legal/Ethical Issues</w:t>
            </w:r>
          </w:p>
          <w:p w:rsidR="00070FC5" w:rsidRPr="00CC73F3" w:rsidRDefault="00070FC5" w:rsidP="00D639F5">
            <w:pPr>
              <w:rPr>
                <w:rFonts w:eastAsia="Calibri"/>
                <w:color w:val="000000"/>
              </w:rPr>
            </w:pPr>
            <w:r w:rsidRPr="00CC73F3">
              <w:rPr>
                <w:rFonts w:eastAsia="Calibri"/>
                <w:color w:val="000000"/>
              </w:rPr>
              <w:t xml:space="preserve">Negative Feedback Seeking </w:t>
            </w:r>
          </w:p>
          <w:p w:rsidR="00070FC5" w:rsidRPr="00CC73F3" w:rsidRDefault="00070FC5" w:rsidP="00D639F5">
            <w:pPr>
              <w:rPr>
                <w:rFonts w:eastAsia="Calibri"/>
                <w:color w:val="000000"/>
              </w:rPr>
            </w:pPr>
            <w:r w:rsidRPr="00CC73F3">
              <w:rPr>
                <w:rFonts w:eastAsia="Calibri"/>
                <w:color w:val="000000"/>
              </w:rPr>
              <w:t>Other Firm Interest</w:t>
            </w:r>
          </w:p>
          <w:p w:rsidR="00070FC5" w:rsidRPr="00CC73F3" w:rsidRDefault="00070FC5" w:rsidP="00D639F5">
            <w:pPr>
              <w:rPr>
                <w:rFonts w:eastAsia="Calibri"/>
                <w:color w:val="000000"/>
              </w:rPr>
            </w:pPr>
            <w:r w:rsidRPr="00CC73F3">
              <w:rPr>
                <w:rFonts w:eastAsia="Calibri"/>
                <w:color w:val="000000"/>
              </w:rPr>
              <w:t>Patent/IP Issues</w:t>
            </w:r>
          </w:p>
          <w:p w:rsidR="00070FC5" w:rsidRPr="00CC73F3" w:rsidRDefault="00070FC5" w:rsidP="00D639F5">
            <w:pPr>
              <w:rPr>
                <w:rFonts w:eastAsia="Calibri"/>
                <w:color w:val="000000"/>
              </w:rPr>
            </w:pPr>
            <w:r w:rsidRPr="00CC73F3">
              <w:rPr>
                <w:rFonts w:eastAsia="Calibri"/>
                <w:color w:val="000000"/>
              </w:rPr>
              <w:t>Prototype</w:t>
            </w:r>
          </w:p>
          <w:p w:rsidR="00070FC5" w:rsidRPr="00CC73F3" w:rsidRDefault="00070FC5" w:rsidP="00D639F5">
            <w:pPr>
              <w:rPr>
                <w:rFonts w:eastAsia="Calibri"/>
                <w:color w:val="000000"/>
              </w:rPr>
            </w:pPr>
            <w:r w:rsidRPr="00CC73F3">
              <w:rPr>
                <w:rFonts w:eastAsia="Calibri"/>
                <w:color w:val="000000"/>
              </w:rPr>
              <w:t>Sellable</w:t>
            </w:r>
          </w:p>
          <w:p w:rsidR="00070FC5" w:rsidRPr="00CC73F3" w:rsidRDefault="00070FC5" w:rsidP="00D639F5">
            <w:pPr>
              <w:rPr>
                <w:rFonts w:eastAsia="Calibri"/>
                <w:color w:val="000000"/>
              </w:rPr>
            </w:pPr>
            <w:r w:rsidRPr="00CC73F3">
              <w:rPr>
                <w:rFonts w:eastAsia="Calibri"/>
                <w:color w:val="000000"/>
              </w:rPr>
              <w:t>Substitutes</w:t>
            </w:r>
          </w:p>
          <w:p w:rsidR="00070FC5" w:rsidRPr="00CC73F3" w:rsidRDefault="00070FC5" w:rsidP="00D639F5">
            <w:pPr>
              <w:rPr>
                <w:rFonts w:eastAsia="Calibri"/>
                <w:color w:val="000000"/>
              </w:rPr>
            </w:pPr>
            <w:r w:rsidRPr="00CC73F3">
              <w:rPr>
                <w:rFonts w:eastAsia="Calibri"/>
                <w:color w:val="000000"/>
              </w:rPr>
              <w:t>Suggested Alternative</w:t>
            </w:r>
          </w:p>
          <w:p w:rsidR="00070FC5" w:rsidRPr="00CC73F3" w:rsidRDefault="00070FC5" w:rsidP="00D639F5">
            <w:pPr>
              <w:rPr>
                <w:rFonts w:eastAsia="Calibri"/>
                <w:color w:val="000000"/>
              </w:rPr>
            </w:pPr>
            <w:r w:rsidRPr="00CC73F3">
              <w:rPr>
                <w:rFonts w:eastAsia="Calibri"/>
                <w:color w:val="000000"/>
              </w:rPr>
              <w:t>Target Market</w:t>
            </w:r>
          </w:p>
          <w:p w:rsidR="00070FC5" w:rsidRPr="00CC73F3" w:rsidRDefault="00070FC5" w:rsidP="00D639F5">
            <w:pPr>
              <w:rPr>
                <w:rFonts w:eastAsia="Calibri"/>
                <w:color w:val="000000"/>
              </w:rPr>
            </w:pPr>
            <w:r w:rsidRPr="00CC73F3">
              <w:rPr>
                <w:rFonts w:eastAsia="Calibri"/>
                <w:color w:val="000000"/>
              </w:rPr>
              <w:t>Technical Feasibility</w:t>
            </w:r>
          </w:p>
          <w:p w:rsidR="00070FC5" w:rsidRPr="00CC73F3" w:rsidRDefault="00070FC5" w:rsidP="00D639F5">
            <w:pPr>
              <w:rPr>
                <w:rFonts w:eastAsia="Calibri"/>
                <w:color w:val="000000"/>
              </w:rPr>
            </w:pPr>
            <w:r w:rsidRPr="00CC73F3">
              <w:rPr>
                <w:rFonts w:eastAsia="Calibri"/>
                <w:color w:val="000000"/>
              </w:rPr>
              <w:t>Unclear</w:t>
            </w:r>
          </w:p>
        </w:tc>
        <w:tc>
          <w:tcPr>
            <w:tcW w:w="1607" w:type="pct"/>
            <w:tcBorders>
              <w:top w:val="single" w:sz="18" w:space="0" w:color="auto"/>
            </w:tcBorders>
            <w:vAlign w:val="center"/>
          </w:tcPr>
          <w:p w:rsidR="00070FC5" w:rsidRPr="00CC73F3" w:rsidRDefault="00070FC5" w:rsidP="00D639F5">
            <w:pPr>
              <w:jc w:val="center"/>
              <w:rPr>
                <w:rFonts w:eastAsia="Calibri"/>
              </w:rPr>
            </w:pPr>
            <w:r w:rsidRPr="00CC73F3">
              <w:rPr>
                <w:rFonts w:eastAsia="Calibri"/>
              </w:rPr>
              <w:t>45.2%</w:t>
            </w:r>
          </w:p>
        </w:tc>
      </w:tr>
      <w:tr w:rsidR="00070FC5" w:rsidRPr="00CC73F3" w:rsidTr="00D639F5">
        <w:trPr>
          <w:trHeight w:val="315"/>
          <w:jc w:val="center"/>
        </w:trPr>
        <w:tc>
          <w:tcPr>
            <w:tcW w:w="1795" w:type="pct"/>
            <w:tcBorders>
              <w:bottom w:val="single" w:sz="18" w:space="0" w:color="auto"/>
            </w:tcBorders>
            <w:shd w:val="clear" w:color="auto" w:fill="auto"/>
            <w:noWrap/>
            <w:vAlign w:val="center"/>
            <w:hideMark/>
          </w:tcPr>
          <w:p w:rsidR="00070FC5" w:rsidRPr="00CC73F3" w:rsidRDefault="00070FC5" w:rsidP="00D639F5">
            <w:pPr>
              <w:jc w:val="center"/>
              <w:rPr>
                <w:rFonts w:eastAsia="Calibri"/>
                <w:b/>
                <w:bCs/>
                <w:i/>
                <w:color w:val="000000"/>
              </w:rPr>
            </w:pPr>
            <w:r w:rsidRPr="00CC73F3">
              <w:rPr>
                <w:rFonts w:eastAsia="Calibri"/>
                <w:b/>
                <w:bCs/>
                <w:i/>
                <w:color w:val="000000"/>
              </w:rPr>
              <w:t>Promotion-Focused</w:t>
            </w:r>
          </w:p>
          <w:p w:rsidR="00070FC5" w:rsidRPr="00CC73F3" w:rsidRDefault="00070FC5" w:rsidP="00D639F5">
            <w:pPr>
              <w:jc w:val="center"/>
              <w:rPr>
                <w:rFonts w:eastAsia="Calibri"/>
                <w:b/>
                <w:bCs/>
                <w:i/>
                <w:color w:val="000000"/>
              </w:rPr>
            </w:pPr>
            <w:r w:rsidRPr="00CC73F3">
              <w:rPr>
                <w:rFonts w:eastAsia="Calibri"/>
                <w:b/>
                <w:bCs/>
                <w:i/>
                <w:color w:val="000000"/>
              </w:rPr>
              <w:t>Comments</w:t>
            </w:r>
          </w:p>
        </w:tc>
        <w:tc>
          <w:tcPr>
            <w:tcW w:w="1598" w:type="pct"/>
            <w:tcBorders>
              <w:bottom w:val="single" w:sz="18" w:space="0" w:color="auto"/>
            </w:tcBorders>
            <w:shd w:val="clear" w:color="auto" w:fill="auto"/>
            <w:vAlign w:val="center"/>
          </w:tcPr>
          <w:p w:rsidR="00070FC5" w:rsidRPr="00CC73F3" w:rsidRDefault="00070FC5" w:rsidP="00D639F5">
            <w:pPr>
              <w:rPr>
                <w:rFonts w:eastAsia="Calibri"/>
                <w:color w:val="000000"/>
                <w:sz w:val="16"/>
                <w:szCs w:val="16"/>
              </w:rPr>
            </w:pPr>
          </w:p>
          <w:p w:rsidR="00070FC5" w:rsidRPr="00CC73F3" w:rsidRDefault="00070FC5" w:rsidP="00D639F5">
            <w:pPr>
              <w:rPr>
                <w:rFonts w:eastAsia="Calibri"/>
                <w:color w:val="000000"/>
              </w:rPr>
            </w:pPr>
            <w:r w:rsidRPr="00CC73F3">
              <w:rPr>
                <w:rFonts w:eastAsia="Calibri"/>
                <w:color w:val="000000"/>
              </w:rPr>
              <w:t>Aesthetics</w:t>
            </w:r>
          </w:p>
          <w:p w:rsidR="00070FC5" w:rsidRPr="00CC73F3" w:rsidRDefault="00070FC5" w:rsidP="00D639F5">
            <w:pPr>
              <w:rPr>
                <w:rFonts w:eastAsia="Calibri"/>
                <w:color w:val="000000"/>
              </w:rPr>
            </w:pPr>
            <w:r w:rsidRPr="00CC73F3">
              <w:rPr>
                <w:rFonts w:eastAsia="Calibri"/>
                <w:color w:val="000000"/>
              </w:rPr>
              <w:t>Development Imperative</w:t>
            </w:r>
          </w:p>
          <w:p w:rsidR="00070FC5" w:rsidRPr="00CC73F3" w:rsidRDefault="00070FC5" w:rsidP="00D639F5">
            <w:pPr>
              <w:rPr>
                <w:rFonts w:eastAsia="Calibri"/>
                <w:color w:val="000000"/>
              </w:rPr>
            </w:pPr>
            <w:r w:rsidRPr="00CC73F3">
              <w:rPr>
                <w:rFonts w:eastAsia="Calibri"/>
                <w:color w:val="000000"/>
              </w:rPr>
              <w:t>Enhances Existing Products</w:t>
            </w:r>
          </w:p>
          <w:p w:rsidR="00070FC5" w:rsidRPr="00CC73F3" w:rsidRDefault="00070FC5" w:rsidP="00D639F5">
            <w:pPr>
              <w:rPr>
                <w:rFonts w:eastAsia="Calibri"/>
                <w:color w:val="000000"/>
              </w:rPr>
            </w:pPr>
            <w:r w:rsidRPr="00CC73F3">
              <w:rPr>
                <w:rFonts w:eastAsia="Calibri"/>
                <w:color w:val="000000"/>
              </w:rPr>
              <w:t>Innovative</w:t>
            </w:r>
          </w:p>
          <w:p w:rsidR="00070FC5" w:rsidRPr="00CC73F3" w:rsidRDefault="00070FC5" w:rsidP="00D639F5">
            <w:pPr>
              <w:rPr>
                <w:rFonts w:eastAsia="Calibri"/>
                <w:color w:val="000000"/>
              </w:rPr>
            </w:pPr>
            <w:r w:rsidRPr="00CC73F3">
              <w:rPr>
                <w:rFonts w:eastAsia="Calibri"/>
                <w:color w:val="000000"/>
              </w:rPr>
              <w:t>Interesting/Fun</w:t>
            </w:r>
          </w:p>
          <w:p w:rsidR="00070FC5" w:rsidRPr="00CC73F3" w:rsidRDefault="00070FC5" w:rsidP="00D639F5">
            <w:pPr>
              <w:rPr>
                <w:rFonts w:eastAsia="Calibri"/>
                <w:color w:val="000000"/>
              </w:rPr>
            </w:pPr>
            <w:r w:rsidRPr="00CC73F3">
              <w:rPr>
                <w:rFonts w:eastAsia="Calibri"/>
                <w:color w:val="000000"/>
              </w:rPr>
              <w:t>Inventor Effort</w:t>
            </w:r>
          </w:p>
          <w:p w:rsidR="00070FC5" w:rsidRPr="00CC73F3" w:rsidRDefault="00070FC5" w:rsidP="00D639F5">
            <w:pPr>
              <w:rPr>
                <w:rFonts w:eastAsia="Calibri"/>
                <w:color w:val="000000"/>
              </w:rPr>
            </w:pPr>
            <w:r w:rsidRPr="00CC73F3">
              <w:rPr>
                <w:rFonts w:eastAsia="Calibri"/>
                <w:color w:val="000000"/>
              </w:rPr>
              <w:t>Market Trend</w:t>
            </w:r>
          </w:p>
          <w:p w:rsidR="00070FC5" w:rsidRPr="00CC73F3" w:rsidRDefault="00070FC5" w:rsidP="00D639F5">
            <w:pPr>
              <w:rPr>
                <w:rFonts w:eastAsia="Calibri"/>
                <w:color w:val="000000"/>
              </w:rPr>
            </w:pPr>
            <w:r w:rsidRPr="00CC73F3">
              <w:rPr>
                <w:rFonts w:eastAsia="Calibri"/>
                <w:color w:val="000000"/>
              </w:rPr>
              <w:t>Meaningful</w:t>
            </w:r>
          </w:p>
          <w:p w:rsidR="00070FC5" w:rsidRPr="00CC73F3" w:rsidRDefault="00070FC5" w:rsidP="00D639F5">
            <w:pPr>
              <w:rPr>
                <w:rFonts w:eastAsia="Calibri"/>
                <w:color w:val="000000"/>
              </w:rPr>
            </w:pPr>
            <w:r w:rsidRPr="00CC73F3">
              <w:rPr>
                <w:rFonts w:eastAsia="Calibri"/>
                <w:color w:val="000000"/>
              </w:rPr>
              <w:t>Multiple Uses</w:t>
            </w:r>
          </w:p>
          <w:p w:rsidR="00070FC5" w:rsidRPr="00CC73F3" w:rsidRDefault="00070FC5" w:rsidP="00D639F5">
            <w:pPr>
              <w:rPr>
                <w:rFonts w:eastAsia="Calibri"/>
                <w:color w:val="000000"/>
              </w:rPr>
            </w:pPr>
            <w:r w:rsidRPr="00CC73F3">
              <w:rPr>
                <w:rFonts w:eastAsia="Calibri"/>
                <w:color w:val="000000"/>
              </w:rPr>
              <w:t>Novelty</w:t>
            </w:r>
          </w:p>
          <w:p w:rsidR="00070FC5" w:rsidRPr="00CC73F3" w:rsidRDefault="00070FC5" w:rsidP="00D639F5">
            <w:pPr>
              <w:rPr>
                <w:rFonts w:eastAsia="Calibri"/>
                <w:color w:val="000000"/>
              </w:rPr>
            </w:pPr>
            <w:r w:rsidRPr="00CC73F3">
              <w:rPr>
                <w:rFonts w:eastAsia="Calibri"/>
                <w:color w:val="000000"/>
              </w:rPr>
              <w:t>Positive Feedback Seeking</w:t>
            </w:r>
          </w:p>
          <w:p w:rsidR="00070FC5" w:rsidRPr="00CC73F3" w:rsidRDefault="00070FC5" w:rsidP="00D639F5">
            <w:pPr>
              <w:rPr>
                <w:rFonts w:eastAsia="Calibri"/>
                <w:color w:val="000000"/>
              </w:rPr>
            </w:pPr>
            <w:r w:rsidRPr="00CC73F3">
              <w:rPr>
                <w:rFonts w:eastAsia="Calibri"/>
                <w:color w:val="000000"/>
              </w:rPr>
              <w:t>Product Extension</w:t>
            </w:r>
          </w:p>
          <w:p w:rsidR="00070FC5" w:rsidRPr="00CC73F3" w:rsidRDefault="00070FC5" w:rsidP="00D639F5">
            <w:pPr>
              <w:rPr>
                <w:rFonts w:eastAsia="Calibri"/>
                <w:color w:val="000000"/>
              </w:rPr>
            </w:pPr>
            <w:r w:rsidRPr="00CC73F3">
              <w:rPr>
                <w:rFonts w:eastAsia="Calibri"/>
                <w:color w:val="000000"/>
              </w:rPr>
              <w:t>Product Growth Potential</w:t>
            </w:r>
          </w:p>
          <w:p w:rsidR="00070FC5" w:rsidRPr="00CC73F3" w:rsidRDefault="00070FC5" w:rsidP="00D639F5">
            <w:pPr>
              <w:rPr>
                <w:rFonts w:eastAsia="Calibri"/>
                <w:color w:val="000000"/>
              </w:rPr>
            </w:pPr>
            <w:r w:rsidRPr="00CC73F3">
              <w:rPr>
                <w:rFonts w:eastAsia="Calibri"/>
                <w:color w:val="000000"/>
              </w:rPr>
              <w:t>Suggested Enhancement</w:t>
            </w:r>
          </w:p>
          <w:p w:rsidR="00070FC5" w:rsidRPr="00CC73F3" w:rsidRDefault="00070FC5" w:rsidP="00D639F5">
            <w:pPr>
              <w:rPr>
                <w:rFonts w:eastAsia="Calibri"/>
                <w:color w:val="000000"/>
              </w:rPr>
            </w:pPr>
            <w:r w:rsidRPr="00CC73F3">
              <w:rPr>
                <w:rFonts w:eastAsia="Calibri"/>
                <w:color w:val="000000"/>
              </w:rPr>
              <w:t>Superior to Alternatives</w:t>
            </w:r>
          </w:p>
          <w:p w:rsidR="00070FC5" w:rsidRPr="00CC73F3" w:rsidRDefault="00070FC5" w:rsidP="00D639F5">
            <w:pPr>
              <w:rPr>
                <w:rFonts w:eastAsia="Calibri"/>
                <w:color w:val="000000"/>
              </w:rPr>
            </w:pPr>
            <w:r w:rsidRPr="00CC73F3">
              <w:rPr>
                <w:rFonts w:eastAsia="Calibri"/>
                <w:color w:val="000000"/>
              </w:rPr>
              <w:t>Word of Mouth/Buzz</w:t>
            </w:r>
          </w:p>
          <w:p w:rsidR="00070FC5" w:rsidRPr="00CC73F3" w:rsidRDefault="00070FC5" w:rsidP="00D639F5">
            <w:pPr>
              <w:rPr>
                <w:rFonts w:eastAsia="Calibri"/>
                <w:color w:val="000000"/>
                <w:sz w:val="16"/>
                <w:szCs w:val="16"/>
              </w:rPr>
            </w:pPr>
          </w:p>
        </w:tc>
        <w:tc>
          <w:tcPr>
            <w:tcW w:w="1607" w:type="pct"/>
            <w:tcBorders>
              <w:bottom w:val="single" w:sz="18" w:space="0" w:color="auto"/>
            </w:tcBorders>
            <w:vAlign w:val="center"/>
          </w:tcPr>
          <w:p w:rsidR="00070FC5" w:rsidRPr="00CC73F3" w:rsidRDefault="00070FC5" w:rsidP="00D639F5">
            <w:pPr>
              <w:jc w:val="center"/>
              <w:rPr>
                <w:rFonts w:eastAsia="Calibri"/>
              </w:rPr>
            </w:pPr>
            <w:r w:rsidRPr="00CC73F3">
              <w:rPr>
                <w:rFonts w:eastAsia="Calibri"/>
              </w:rPr>
              <w:t>54.8%</w:t>
            </w:r>
          </w:p>
        </w:tc>
      </w:tr>
    </w:tbl>
    <w:p w:rsidR="00070FC5" w:rsidRPr="00CC73F3" w:rsidRDefault="00070FC5" w:rsidP="00D639F5">
      <w:pPr>
        <w:pStyle w:val="Heading3"/>
      </w:pPr>
      <w:bookmarkStart w:id="122" w:name="_Toc420572624"/>
      <w:r w:rsidRPr="00CC73F3">
        <w:t>Coding Reliability Assessment</w:t>
      </w:r>
      <w:bookmarkEnd w:id="122"/>
    </w:p>
    <w:p w:rsidR="00070FC5" w:rsidRPr="00CC73F3" w:rsidRDefault="00070FC5" w:rsidP="00D639F5">
      <w:pPr>
        <w:spacing w:line="480" w:lineRule="auto"/>
        <w:rPr>
          <w:rFonts w:eastAsia="Calibri"/>
          <w:szCs w:val="22"/>
        </w:rPr>
      </w:pPr>
      <w:r w:rsidRPr="00CC73F3">
        <w:rPr>
          <w:rFonts w:eastAsia="Calibri"/>
          <w:szCs w:val="22"/>
        </w:rPr>
        <w:tab/>
        <w:t xml:space="preserve">To assess the reliability of the codes, the Weber protocol </w:t>
      </w:r>
      <w:r w:rsidRPr="00CC73F3">
        <w:rPr>
          <w:rFonts w:eastAsia="Calibri"/>
          <w:noProof/>
          <w:szCs w:val="22"/>
        </w:rPr>
        <w:t>(Duriau, Reger, &amp; Pfarrer, 2007; Weber, 1990)</w:t>
      </w:r>
      <w:r w:rsidRPr="00CC73F3">
        <w:rPr>
          <w:rFonts w:eastAsia="Calibri"/>
          <w:szCs w:val="22"/>
        </w:rPr>
        <w:t xml:space="preserve"> was followed using an independent rater, blind to the research questions and purpose of the study. </w:t>
      </w:r>
    </w:p>
    <w:p w:rsidR="00070FC5" w:rsidRPr="00CC73F3" w:rsidRDefault="00070FC5" w:rsidP="00D639F5">
      <w:pPr>
        <w:spacing w:line="480" w:lineRule="auto"/>
        <w:rPr>
          <w:rFonts w:eastAsia="Calibri"/>
          <w:szCs w:val="22"/>
        </w:rPr>
      </w:pPr>
      <w:r w:rsidRPr="00CC73F3">
        <w:rPr>
          <w:rFonts w:eastAsia="Calibri"/>
          <w:szCs w:val="22"/>
        </w:rPr>
        <w:tab/>
        <w:t xml:space="preserve">First, the independent rater was familiarized with the coding units and categories and was given a set of 118 of the coded segments to code to learn the coding heuristic and the code book. In this practice sample, multiple segments for all of the codes were represented. Second, this sample of 118 coded segments was checked for agreement with the coding of the principal researcher. The initial sample of coded segment produced an agreement of 85%.  </w:t>
      </w:r>
    </w:p>
    <w:p w:rsidR="00070FC5" w:rsidRPr="00CC73F3" w:rsidRDefault="00070FC5" w:rsidP="00D639F5">
      <w:pPr>
        <w:spacing w:line="480" w:lineRule="auto"/>
        <w:rPr>
          <w:rFonts w:eastAsia="Calibri"/>
          <w:szCs w:val="22"/>
        </w:rPr>
      </w:pPr>
      <w:r w:rsidRPr="00CC73F3">
        <w:rPr>
          <w:rFonts w:eastAsia="Calibri"/>
          <w:szCs w:val="22"/>
        </w:rPr>
        <w:tab/>
        <w:t xml:space="preserve">Next, the 15% of cases in which there was a discrepancy were discussed, and the coding heuristic was refined so that both raters agreed on the coding of the sample segments. Third, the independent rater was given a much larger sample of 300 coded segments, again representing multiple instances of every code used in the study, and asked to code them based on the training provided and the previous round of sample coding. Reliability was measured using a simple percent agreement calculation for the subset of coded segments. For this larger subset of coded segments, the independent rater and the principal research agreed </w:t>
      </w:r>
      <w:r w:rsidRPr="00CC73F3">
        <w:rPr>
          <w:rFonts w:eastAsia="Calibri"/>
          <w:color w:val="000000"/>
          <w:szCs w:val="22"/>
        </w:rPr>
        <w:t>89%</w:t>
      </w:r>
      <w:r w:rsidRPr="00CC73F3">
        <w:rPr>
          <w:rFonts w:eastAsia="Calibri"/>
          <w:szCs w:val="22"/>
        </w:rPr>
        <w:t xml:space="preserve"> of the time, using a percent agreement method, which is well within the acceptable guidelines suggested by </w:t>
      </w:r>
      <w:r w:rsidRPr="00CC73F3">
        <w:rPr>
          <w:rFonts w:eastAsia="Calibri"/>
          <w:noProof/>
          <w:szCs w:val="22"/>
        </w:rPr>
        <w:t>Krippendorff (2012)</w:t>
      </w:r>
      <w:r w:rsidRPr="00CC73F3">
        <w:rPr>
          <w:rFonts w:eastAsia="Calibri"/>
          <w:szCs w:val="22"/>
        </w:rPr>
        <w:t>.</w:t>
      </w:r>
    </w:p>
    <w:p w:rsidR="00070FC5" w:rsidRPr="00CC73F3" w:rsidRDefault="00070FC5" w:rsidP="00D639F5">
      <w:pPr>
        <w:spacing w:line="480" w:lineRule="auto"/>
        <w:rPr>
          <w:rFonts w:eastAsia="Calibri"/>
        </w:rPr>
      </w:pPr>
      <w:r w:rsidRPr="00CC73F3">
        <w:rPr>
          <w:rFonts w:eastAsia="Calibri"/>
        </w:rPr>
        <w:tab/>
        <w:t xml:space="preserve">To analysis the video for regulatory focus, the </w:t>
      </w:r>
      <w:r w:rsidRPr="00CC73F3">
        <w:t>principal</w:t>
      </w:r>
      <w:r w:rsidRPr="00CC73F3">
        <w:rPr>
          <w:rFonts w:eastAsia="Calibri"/>
        </w:rPr>
        <w:t xml:space="preserve"> researcher conducted a card sorting exercise, using sample comments for each of the discussion topic </w:t>
      </w:r>
      <w:r w:rsidRPr="00CC73F3">
        <w:t xml:space="preserve">codes used for the reflexivity measure and sorting them into one of three categories: prevention, promotion, or neither. The principal researcher then had a second rater do the same sorting exercise using sample comments for each code and sorting them into the same three categories. The two raters discussed the few areas of disagreement they had about how each code should be categorized, and adjusted how codes were assigned to the three categories until they reached a 100% agreement </w:t>
      </w:r>
      <w:r w:rsidRPr="00CC73F3">
        <w:rPr>
          <w:noProof/>
        </w:rPr>
        <w:t>(Antia, Zheng, &amp; Frazier, 2013; Malhotra &amp; Lumineau, 2011)</w:t>
      </w:r>
      <w:r w:rsidRPr="00CC73F3">
        <w:t>.</w:t>
      </w:r>
    </w:p>
    <w:p w:rsidR="00070FC5" w:rsidRPr="00CC73F3" w:rsidRDefault="00070FC5" w:rsidP="00D639F5">
      <w:pPr>
        <w:rPr>
          <w:rFonts w:eastAsia="Calibri"/>
        </w:rPr>
      </w:pPr>
    </w:p>
    <w:p w:rsidR="00070FC5" w:rsidRPr="00CC73F3" w:rsidRDefault="00070FC5" w:rsidP="00D639F5">
      <w:pPr>
        <w:pStyle w:val="Heading3"/>
      </w:pPr>
      <w:bookmarkStart w:id="123" w:name="_Toc420572625"/>
      <w:r w:rsidRPr="00CC73F3">
        <w:t>Constructing the Dependent Variables: Positive and Negative Hits</w:t>
      </w:r>
      <w:bookmarkEnd w:id="123"/>
    </w:p>
    <w:p w:rsidR="00070FC5" w:rsidRPr="00CC73F3" w:rsidRDefault="00070FC5" w:rsidP="00D639F5">
      <w:pPr>
        <w:spacing w:line="480" w:lineRule="auto"/>
        <w:rPr>
          <w:rFonts w:eastAsia="Calibri"/>
          <w:szCs w:val="22"/>
        </w:rPr>
      </w:pPr>
      <w:r w:rsidRPr="00CC73F3">
        <w:rPr>
          <w:rFonts w:eastAsia="Calibri"/>
          <w:szCs w:val="22"/>
        </w:rPr>
        <w:tab/>
        <w:t>To construct the dependent variable, all 186 products were groups into 10 general product categories, adapted from the categories assigned each product by Quirky: electronics, garage/shop tools, health and wellness, home and garden, kitchen/cooking, toys, pet accessories, home safety, travel and leisure, and women and baby. A sample of 1,870 M-Turk users was then recruited to rate the products in each category on a willingness to purchase scale (Berens et al., 2005), such that each product received. Subjects were randomly shown 5 of the products from the categories they selected and were asked to rate them. Participants were paid $0.75 for their participation, and the exercise took about 10 minutes to complete.</w:t>
      </w:r>
      <w:r w:rsidRPr="00CC73F3">
        <w:rPr>
          <w:rFonts w:eastAsia="Calibri"/>
          <w:szCs w:val="22"/>
        </w:rPr>
        <w:tab/>
      </w:r>
    </w:p>
    <w:p w:rsidR="00070FC5" w:rsidRPr="00CC73F3" w:rsidRDefault="00070FC5" w:rsidP="00D639F5">
      <w:pPr>
        <w:spacing w:line="480" w:lineRule="auto"/>
        <w:rPr>
          <w:rFonts w:eastAsia="Calibri"/>
          <w:szCs w:val="22"/>
        </w:rPr>
      </w:pPr>
      <w:r w:rsidRPr="00CC73F3">
        <w:rPr>
          <w:rFonts w:eastAsia="Calibri"/>
          <w:szCs w:val="22"/>
        </w:rPr>
        <w:tab/>
        <w:t xml:space="preserve">Prior to rating the products on a willingness to purchase scale, respondents were informed that in order to qualify for the survey, they needed to have at least moderate product knowledge of the category for which they were evaluating products. Further, an initial screening question for product category knowledge, on a 1-5 scale, was given. Respondents who indicated their knowledge to be moderate or above for any given category (3, 4, or 5) were allowed to complete the survey, while those who had a low knowledge of any given category (1 or 2) were not allowed to complete the survey due to a lack of product category knowledge and asked to choose another category for which they had more knowledge. Across all 10 product categories, this filtering process excluded 16 total participants due to low category knowledge. The product categories and number of respondents for each category are shown in Table 30. </w:t>
      </w:r>
    </w:p>
    <w:p w:rsidR="00070FC5" w:rsidRPr="00CC73F3" w:rsidRDefault="00070FC5" w:rsidP="00D639F5">
      <w:pPr>
        <w:spacing w:line="480" w:lineRule="auto"/>
        <w:rPr>
          <w:rFonts w:eastAsia="Calibri"/>
          <w:szCs w:val="22"/>
        </w:rPr>
      </w:pPr>
      <w:r w:rsidRPr="00CC73F3">
        <w:rPr>
          <w:rFonts w:eastAsia="Calibri"/>
          <w:szCs w:val="22"/>
        </w:rPr>
        <w:tab/>
        <w:t>The products were randomly and evenly displayed so that each product received ratings from approximately 50 different potential consumers who had at least a moderate knowledge of each product’s respective product category. An attention filter was included to ensure that the questions were being carefully read and understood, and respondents who incorrectly answered the attention filter were excluded from the analysis. A total of 3 responses were dropped due to failing to answer the reading filter correctly. At the end of the survey, respondents answered a few short demographic questions, then thanked for their participation.</w:t>
      </w:r>
    </w:p>
    <w:p w:rsidR="00070FC5" w:rsidRPr="00CC73F3" w:rsidRDefault="00070FC5" w:rsidP="00D639F5">
      <w:pPr>
        <w:spacing w:line="480" w:lineRule="auto"/>
        <w:rPr>
          <w:rFonts w:eastAsia="Calibri"/>
          <w:szCs w:val="22"/>
        </w:rPr>
      </w:pPr>
      <w:r w:rsidRPr="00CC73F3">
        <w:rPr>
          <w:rFonts w:eastAsia="Calibri"/>
          <w:szCs w:val="22"/>
        </w:rPr>
        <w:tab/>
        <w:t xml:space="preserve">The willingness to consider purchase scale consisted of 3 items, which were averaged together across all respondents for each product to create a composite willingness to consider purchase score. </w:t>
      </w:r>
      <w:r w:rsidRPr="00AF06BE">
        <w:rPr>
          <w:rFonts w:eastAsia="Calibri"/>
          <w:noProof/>
          <w:szCs w:val="22"/>
        </w:rPr>
        <w:t>To construct the binomial dependent variable</w:t>
      </w:r>
      <w:r w:rsidRPr="00CC73F3">
        <w:rPr>
          <w:rFonts w:eastAsia="Calibri"/>
          <w:szCs w:val="22"/>
        </w:rPr>
        <w:t xml:space="preserve">, the willingness to consider purchase ratings </w:t>
      </w:r>
      <w:proofErr w:type="gramStart"/>
      <w:r w:rsidRPr="00CC73F3">
        <w:rPr>
          <w:rFonts w:eastAsia="Calibri"/>
          <w:szCs w:val="22"/>
        </w:rPr>
        <w:t>were</w:t>
      </w:r>
      <w:proofErr w:type="gramEnd"/>
      <w:r w:rsidRPr="00CC73F3">
        <w:rPr>
          <w:rFonts w:eastAsia="Calibri"/>
          <w:szCs w:val="22"/>
        </w:rPr>
        <w:t xml:space="preserve"> sorted from highest to lowest. If, based on the group discussions captured in the videos, the firm chose to develop a product that ranked </w:t>
      </w:r>
      <w:r w:rsidRPr="00AF06BE">
        <w:rPr>
          <w:rFonts w:eastAsia="Calibri"/>
          <w:noProof/>
          <w:szCs w:val="22"/>
        </w:rPr>
        <w:t>in the 51</w:t>
      </w:r>
      <w:r w:rsidRPr="00AF06BE">
        <w:rPr>
          <w:rFonts w:eastAsia="Calibri"/>
          <w:noProof/>
          <w:szCs w:val="22"/>
          <w:vertAlign w:val="superscript"/>
        </w:rPr>
        <w:t>st</w:t>
      </w:r>
      <w:r w:rsidRPr="00AF06BE">
        <w:rPr>
          <w:rFonts w:eastAsia="Calibri"/>
          <w:noProof/>
          <w:szCs w:val="22"/>
        </w:rPr>
        <w:t xml:space="preserve"> percentile or higher of the willingness</w:t>
      </w:r>
      <w:r w:rsidRPr="00CC73F3">
        <w:rPr>
          <w:rFonts w:eastAsia="Calibri"/>
          <w:szCs w:val="22"/>
        </w:rPr>
        <w:t xml:space="preserve"> to purchase scores, it was coded as a positive hit (1). If the firm chose to reject a project that was ranked the 49</w:t>
      </w:r>
      <w:r w:rsidRPr="00CC73F3">
        <w:rPr>
          <w:rFonts w:eastAsia="Calibri"/>
          <w:szCs w:val="22"/>
          <w:vertAlign w:val="superscript"/>
        </w:rPr>
        <w:t>th</w:t>
      </w:r>
      <w:r w:rsidRPr="00CC73F3">
        <w:rPr>
          <w:rFonts w:eastAsia="Calibri"/>
          <w:szCs w:val="22"/>
        </w:rPr>
        <w:t xml:space="preserve"> percentile or lower, it was coded as a negative hit (1). Products that were neither a positive nor a negative hit (i.e., ranked highly but rejected by the firm or ranked low but accepted by the firm) were coded as 0. This categorical variable was then used as the dependent variable in a binomial logistic regression model.</w:t>
      </w:r>
    </w:p>
    <w:p w:rsidR="00070FC5" w:rsidRPr="00CC73F3" w:rsidRDefault="00070FC5" w:rsidP="00D639F5">
      <w:pPr>
        <w:spacing w:line="480" w:lineRule="auto"/>
        <w:rPr>
          <w:rFonts w:eastAsia="Calibri"/>
          <w:szCs w:val="22"/>
        </w:rPr>
      </w:pPr>
    </w:p>
    <w:p w:rsidR="00070FC5" w:rsidRPr="00CC73F3" w:rsidRDefault="00070FC5" w:rsidP="00D639F5">
      <w:pPr>
        <w:pStyle w:val="Caption"/>
        <w:rPr>
          <w:rFonts w:eastAsia="Calibri"/>
        </w:rPr>
      </w:pPr>
      <w:bookmarkStart w:id="124" w:name="_Toc420570955"/>
      <w:proofErr w:type="gramStart"/>
      <w:r w:rsidRPr="00CC73F3">
        <w:t xml:space="preserve">Table </w:t>
      </w:r>
      <w:fldSimple w:instr=" SEQ Table \* ARABIC ">
        <w:r w:rsidRPr="00CC73F3">
          <w:rPr>
            <w:noProof/>
          </w:rPr>
          <w:t>30</w:t>
        </w:r>
      </w:fldSimple>
      <w:r w:rsidRPr="00CC73F3">
        <w:rPr>
          <w:rFonts w:eastAsia="Calibri"/>
        </w:rPr>
        <w:t>.</w:t>
      </w:r>
      <w:proofErr w:type="gramEnd"/>
      <w:r w:rsidRPr="00CC73F3">
        <w:rPr>
          <w:rFonts w:eastAsia="Calibri"/>
        </w:rPr>
        <w:t xml:space="preserve"> Categories and Responses for Willingness to Purchase </w:t>
      </w:r>
      <w:r w:rsidR="00117A2D">
        <w:rPr>
          <w:rFonts w:eastAsia="Calibri"/>
        </w:rPr>
        <w:t>Variable</w:t>
      </w:r>
      <w:bookmarkEnd w:id="124"/>
    </w:p>
    <w:p w:rsidR="00070FC5" w:rsidRPr="00CC73F3" w:rsidRDefault="00070FC5" w:rsidP="00D639F5">
      <w:pPr>
        <w:rPr>
          <w:rFonts w:eastAsia="Calibri"/>
        </w:rPr>
      </w:pPr>
    </w:p>
    <w:tbl>
      <w:tblPr>
        <w:tblW w:w="6295" w:type="dxa"/>
        <w:jc w:val="center"/>
        <w:tblInd w:w="108" w:type="dxa"/>
        <w:tblLook w:val="04A0" w:firstRow="1" w:lastRow="0" w:firstColumn="1" w:lastColumn="0" w:noHBand="0" w:noVBand="1"/>
      </w:tblPr>
      <w:tblGrid>
        <w:gridCol w:w="3508"/>
        <w:gridCol w:w="1264"/>
        <w:gridCol w:w="1523"/>
      </w:tblGrid>
      <w:tr w:rsidR="00070FC5" w:rsidRPr="00CC73F3" w:rsidTr="00D639F5">
        <w:trPr>
          <w:trHeight w:val="315"/>
          <w:jc w:val="center"/>
        </w:trPr>
        <w:tc>
          <w:tcPr>
            <w:tcW w:w="3508"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rsidP="00D639F5">
            <w:pPr>
              <w:jc w:val="center"/>
              <w:rPr>
                <w:b/>
                <w:bCs/>
                <w:color w:val="000000"/>
              </w:rPr>
            </w:pPr>
            <w:r w:rsidRPr="00CC73F3">
              <w:rPr>
                <w:b/>
                <w:bCs/>
                <w:color w:val="000000"/>
              </w:rPr>
              <w:t>Product Category</w:t>
            </w:r>
          </w:p>
        </w:tc>
        <w:tc>
          <w:tcPr>
            <w:tcW w:w="1264"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rsidP="00D639F5">
            <w:pPr>
              <w:jc w:val="center"/>
              <w:rPr>
                <w:b/>
                <w:bCs/>
                <w:color w:val="000000"/>
              </w:rPr>
            </w:pPr>
            <w:r w:rsidRPr="00CC73F3">
              <w:rPr>
                <w:b/>
                <w:bCs/>
                <w:color w:val="000000"/>
              </w:rPr>
              <w:t>Products</w:t>
            </w:r>
          </w:p>
        </w:tc>
        <w:tc>
          <w:tcPr>
            <w:tcW w:w="1523" w:type="dxa"/>
            <w:tcBorders>
              <w:top w:val="single" w:sz="18" w:space="0" w:color="auto"/>
              <w:left w:val="nil"/>
              <w:bottom w:val="single" w:sz="18" w:space="0" w:color="auto"/>
              <w:right w:val="nil"/>
            </w:tcBorders>
            <w:shd w:val="clear" w:color="auto" w:fill="auto"/>
            <w:noWrap/>
            <w:vAlign w:val="center"/>
            <w:hideMark/>
          </w:tcPr>
          <w:p w:rsidR="00070FC5" w:rsidRPr="00CC73F3" w:rsidRDefault="00070FC5" w:rsidP="00D639F5">
            <w:pPr>
              <w:jc w:val="center"/>
              <w:rPr>
                <w:b/>
                <w:bCs/>
                <w:color w:val="000000"/>
              </w:rPr>
            </w:pPr>
            <w:r w:rsidRPr="00CC73F3">
              <w:rPr>
                <w:b/>
                <w:bCs/>
                <w:color w:val="000000"/>
              </w:rPr>
              <w:t>Respondents</w:t>
            </w:r>
          </w:p>
        </w:tc>
      </w:tr>
      <w:tr w:rsidR="00070FC5" w:rsidRPr="00CC73F3" w:rsidTr="00D639F5">
        <w:trPr>
          <w:trHeight w:val="315"/>
          <w:jc w:val="center"/>
        </w:trPr>
        <w:tc>
          <w:tcPr>
            <w:tcW w:w="3508" w:type="dxa"/>
            <w:tcBorders>
              <w:top w:val="single" w:sz="18" w:space="0" w:color="auto"/>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Consumer Electronics Products</w:t>
            </w:r>
          </w:p>
        </w:tc>
        <w:tc>
          <w:tcPr>
            <w:tcW w:w="1264" w:type="dxa"/>
            <w:tcBorders>
              <w:top w:val="single" w:sz="18" w:space="0" w:color="auto"/>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36</w:t>
            </w:r>
          </w:p>
        </w:tc>
        <w:tc>
          <w:tcPr>
            <w:tcW w:w="1523" w:type="dxa"/>
            <w:tcBorders>
              <w:top w:val="single" w:sz="18" w:space="0" w:color="auto"/>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360</w:t>
            </w:r>
          </w:p>
        </w:tc>
      </w:tr>
      <w:tr w:rsidR="00070FC5" w:rsidRPr="00CC73F3" w:rsidTr="00D639F5">
        <w:trPr>
          <w:trHeight w:val="315"/>
          <w:jc w:val="center"/>
        </w:trPr>
        <w:tc>
          <w:tcPr>
            <w:tcW w:w="3508"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Garage/Shop Products</w:t>
            </w:r>
          </w:p>
        </w:tc>
        <w:tc>
          <w:tcPr>
            <w:tcW w:w="1264"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21</w:t>
            </w:r>
          </w:p>
        </w:tc>
        <w:tc>
          <w:tcPr>
            <w:tcW w:w="1523"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210</w:t>
            </w:r>
          </w:p>
        </w:tc>
      </w:tr>
      <w:tr w:rsidR="00070FC5" w:rsidRPr="00CC73F3" w:rsidTr="00D639F5">
        <w:trPr>
          <w:trHeight w:val="315"/>
          <w:jc w:val="center"/>
        </w:trPr>
        <w:tc>
          <w:tcPr>
            <w:tcW w:w="3508"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Health and Wellness Products</w:t>
            </w:r>
          </w:p>
        </w:tc>
        <w:tc>
          <w:tcPr>
            <w:tcW w:w="1264"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7</w:t>
            </w:r>
          </w:p>
        </w:tc>
        <w:tc>
          <w:tcPr>
            <w:tcW w:w="1523"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70</w:t>
            </w:r>
          </w:p>
        </w:tc>
      </w:tr>
      <w:tr w:rsidR="00070FC5" w:rsidRPr="00CC73F3" w:rsidTr="00D639F5">
        <w:trPr>
          <w:trHeight w:val="315"/>
          <w:jc w:val="center"/>
        </w:trPr>
        <w:tc>
          <w:tcPr>
            <w:tcW w:w="3508"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Home and Garden Products</w:t>
            </w:r>
          </w:p>
        </w:tc>
        <w:tc>
          <w:tcPr>
            <w:tcW w:w="1264"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9</w:t>
            </w:r>
          </w:p>
        </w:tc>
        <w:tc>
          <w:tcPr>
            <w:tcW w:w="1523"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90</w:t>
            </w:r>
          </w:p>
        </w:tc>
      </w:tr>
      <w:tr w:rsidR="00070FC5" w:rsidRPr="00CC73F3" w:rsidTr="00D639F5">
        <w:trPr>
          <w:trHeight w:val="315"/>
          <w:jc w:val="center"/>
        </w:trPr>
        <w:tc>
          <w:tcPr>
            <w:tcW w:w="3508"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Kitchen/Cooking Products</w:t>
            </w:r>
          </w:p>
        </w:tc>
        <w:tc>
          <w:tcPr>
            <w:tcW w:w="1264"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40</w:t>
            </w:r>
          </w:p>
        </w:tc>
        <w:tc>
          <w:tcPr>
            <w:tcW w:w="1523"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400</w:t>
            </w:r>
          </w:p>
        </w:tc>
      </w:tr>
      <w:tr w:rsidR="00070FC5" w:rsidRPr="00CC73F3" w:rsidTr="00D639F5">
        <w:trPr>
          <w:trHeight w:val="315"/>
          <w:jc w:val="center"/>
        </w:trPr>
        <w:tc>
          <w:tcPr>
            <w:tcW w:w="3508"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Toys and Novelty Products</w:t>
            </w:r>
          </w:p>
        </w:tc>
        <w:tc>
          <w:tcPr>
            <w:tcW w:w="1264"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26</w:t>
            </w:r>
          </w:p>
        </w:tc>
        <w:tc>
          <w:tcPr>
            <w:tcW w:w="1523"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260</w:t>
            </w:r>
          </w:p>
        </w:tc>
      </w:tr>
      <w:tr w:rsidR="00070FC5" w:rsidRPr="00CC73F3" w:rsidTr="00D639F5">
        <w:trPr>
          <w:trHeight w:val="315"/>
          <w:jc w:val="center"/>
        </w:trPr>
        <w:tc>
          <w:tcPr>
            <w:tcW w:w="3508"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Pet Accessories</w:t>
            </w:r>
          </w:p>
        </w:tc>
        <w:tc>
          <w:tcPr>
            <w:tcW w:w="1264"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8</w:t>
            </w:r>
          </w:p>
        </w:tc>
        <w:tc>
          <w:tcPr>
            <w:tcW w:w="1523"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80</w:t>
            </w:r>
          </w:p>
        </w:tc>
      </w:tr>
      <w:tr w:rsidR="00070FC5" w:rsidRPr="00CC73F3" w:rsidTr="00D639F5">
        <w:trPr>
          <w:trHeight w:val="315"/>
          <w:jc w:val="center"/>
        </w:trPr>
        <w:tc>
          <w:tcPr>
            <w:tcW w:w="3508"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Home Safety Products</w:t>
            </w:r>
          </w:p>
        </w:tc>
        <w:tc>
          <w:tcPr>
            <w:tcW w:w="1264"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15</w:t>
            </w:r>
          </w:p>
        </w:tc>
        <w:tc>
          <w:tcPr>
            <w:tcW w:w="1523" w:type="dxa"/>
            <w:tcBorders>
              <w:top w:val="nil"/>
              <w:left w:val="nil"/>
              <w:bottom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150</w:t>
            </w:r>
          </w:p>
        </w:tc>
      </w:tr>
      <w:tr w:rsidR="00070FC5" w:rsidRPr="00CC73F3" w:rsidTr="00D639F5">
        <w:trPr>
          <w:trHeight w:val="315"/>
          <w:jc w:val="center"/>
        </w:trPr>
        <w:tc>
          <w:tcPr>
            <w:tcW w:w="3508" w:type="dxa"/>
            <w:tcBorders>
              <w:top w:val="nil"/>
              <w:left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Travel and Leisure Products</w:t>
            </w:r>
          </w:p>
        </w:tc>
        <w:tc>
          <w:tcPr>
            <w:tcW w:w="1264" w:type="dxa"/>
            <w:tcBorders>
              <w:top w:val="nil"/>
              <w:left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17</w:t>
            </w:r>
          </w:p>
        </w:tc>
        <w:tc>
          <w:tcPr>
            <w:tcW w:w="1523" w:type="dxa"/>
            <w:tcBorders>
              <w:top w:val="nil"/>
              <w:left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170</w:t>
            </w:r>
          </w:p>
        </w:tc>
      </w:tr>
      <w:tr w:rsidR="00070FC5" w:rsidRPr="00CC73F3" w:rsidTr="00D639F5">
        <w:trPr>
          <w:trHeight w:val="315"/>
          <w:jc w:val="center"/>
        </w:trPr>
        <w:tc>
          <w:tcPr>
            <w:tcW w:w="3508" w:type="dxa"/>
            <w:tcBorders>
              <w:top w:val="nil"/>
              <w:left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Women and Baby Products</w:t>
            </w:r>
          </w:p>
        </w:tc>
        <w:tc>
          <w:tcPr>
            <w:tcW w:w="1264" w:type="dxa"/>
            <w:tcBorders>
              <w:top w:val="nil"/>
              <w:left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7</w:t>
            </w:r>
          </w:p>
        </w:tc>
        <w:tc>
          <w:tcPr>
            <w:tcW w:w="1523" w:type="dxa"/>
            <w:tcBorders>
              <w:top w:val="nil"/>
              <w:left w:val="nil"/>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70</w:t>
            </w:r>
          </w:p>
        </w:tc>
      </w:tr>
      <w:tr w:rsidR="00070FC5" w:rsidRPr="00CC73F3" w:rsidTr="00D639F5">
        <w:trPr>
          <w:trHeight w:val="315"/>
          <w:jc w:val="center"/>
        </w:trPr>
        <w:tc>
          <w:tcPr>
            <w:tcW w:w="3508" w:type="dxa"/>
            <w:tcBorders>
              <w:left w:val="nil"/>
              <w:right w:val="nil"/>
            </w:tcBorders>
            <w:shd w:val="clear" w:color="auto" w:fill="auto"/>
            <w:noWrap/>
            <w:vAlign w:val="bottom"/>
          </w:tcPr>
          <w:p w:rsidR="00070FC5" w:rsidRPr="00CC73F3" w:rsidRDefault="00070FC5" w:rsidP="00D639F5">
            <w:pPr>
              <w:jc w:val="right"/>
              <w:rPr>
                <w:b/>
                <w:bCs/>
                <w:color w:val="000000"/>
              </w:rPr>
            </w:pPr>
          </w:p>
        </w:tc>
        <w:tc>
          <w:tcPr>
            <w:tcW w:w="1264" w:type="dxa"/>
            <w:tcBorders>
              <w:left w:val="nil"/>
              <w:right w:val="nil"/>
            </w:tcBorders>
            <w:shd w:val="clear" w:color="auto" w:fill="auto"/>
            <w:noWrap/>
            <w:vAlign w:val="bottom"/>
          </w:tcPr>
          <w:p w:rsidR="00070FC5" w:rsidRPr="00CC73F3" w:rsidRDefault="00070FC5" w:rsidP="00D639F5">
            <w:pPr>
              <w:jc w:val="center"/>
              <w:rPr>
                <w:color w:val="000000"/>
              </w:rPr>
            </w:pPr>
          </w:p>
        </w:tc>
        <w:tc>
          <w:tcPr>
            <w:tcW w:w="1523" w:type="dxa"/>
            <w:tcBorders>
              <w:left w:val="nil"/>
              <w:right w:val="nil"/>
            </w:tcBorders>
            <w:shd w:val="clear" w:color="auto" w:fill="auto"/>
            <w:noWrap/>
            <w:vAlign w:val="bottom"/>
          </w:tcPr>
          <w:p w:rsidR="00070FC5" w:rsidRPr="00CC73F3" w:rsidRDefault="00070FC5" w:rsidP="00D639F5">
            <w:pPr>
              <w:jc w:val="center"/>
              <w:rPr>
                <w:color w:val="000000"/>
              </w:rPr>
            </w:pPr>
          </w:p>
        </w:tc>
      </w:tr>
      <w:tr w:rsidR="00070FC5" w:rsidRPr="00CC73F3" w:rsidTr="00D639F5">
        <w:trPr>
          <w:trHeight w:val="315"/>
          <w:jc w:val="center"/>
        </w:trPr>
        <w:tc>
          <w:tcPr>
            <w:tcW w:w="3508" w:type="dxa"/>
            <w:tcBorders>
              <w:left w:val="nil"/>
              <w:bottom w:val="single" w:sz="18" w:space="0" w:color="auto"/>
              <w:right w:val="nil"/>
            </w:tcBorders>
            <w:shd w:val="clear" w:color="auto" w:fill="auto"/>
            <w:noWrap/>
            <w:vAlign w:val="bottom"/>
            <w:hideMark/>
          </w:tcPr>
          <w:p w:rsidR="00070FC5" w:rsidRPr="00CC73F3" w:rsidRDefault="00070FC5" w:rsidP="00D639F5">
            <w:pPr>
              <w:jc w:val="right"/>
              <w:rPr>
                <w:b/>
                <w:bCs/>
                <w:color w:val="000000"/>
              </w:rPr>
            </w:pPr>
            <w:r w:rsidRPr="00CC73F3">
              <w:rPr>
                <w:b/>
                <w:bCs/>
                <w:color w:val="000000"/>
              </w:rPr>
              <w:t>Totals</w:t>
            </w:r>
          </w:p>
        </w:tc>
        <w:tc>
          <w:tcPr>
            <w:tcW w:w="1264" w:type="dxa"/>
            <w:tcBorders>
              <w:left w:val="nil"/>
              <w:bottom w:val="single" w:sz="18" w:space="0" w:color="auto"/>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186</w:t>
            </w:r>
          </w:p>
        </w:tc>
        <w:tc>
          <w:tcPr>
            <w:tcW w:w="1523" w:type="dxa"/>
            <w:tcBorders>
              <w:left w:val="nil"/>
              <w:bottom w:val="single" w:sz="18" w:space="0" w:color="auto"/>
              <w:right w:val="nil"/>
            </w:tcBorders>
            <w:shd w:val="clear" w:color="auto" w:fill="auto"/>
            <w:noWrap/>
            <w:vAlign w:val="bottom"/>
            <w:hideMark/>
          </w:tcPr>
          <w:p w:rsidR="00070FC5" w:rsidRPr="00CC73F3" w:rsidRDefault="00070FC5" w:rsidP="00D639F5">
            <w:pPr>
              <w:jc w:val="center"/>
              <w:rPr>
                <w:color w:val="000000"/>
              </w:rPr>
            </w:pPr>
            <w:r w:rsidRPr="00CC73F3">
              <w:rPr>
                <w:color w:val="000000"/>
              </w:rPr>
              <w:t>1860</w:t>
            </w:r>
          </w:p>
        </w:tc>
      </w:tr>
    </w:tbl>
    <w:p w:rsidR="00070FC5" w:rsidRPr="00CC73F3" w:rsidRDefault="00070FC5" w:rsidP="00D639F5">
      <w:pPr>
        <w:spacing w:line="480" w:lineRule="auto"/>
        <w:rPr>
          <w:rFonts w:eastAsia="Calibri"/>
          <w:szCs w:val="22"/>
        </w:rPr>
      </w:pPr>
      <w:r w:rsidRPr="00CC73F3">
        <w:rPr>
          <w:rFonts w:eastAsia="Calibri"/>
          <w:szCs w:val="22"/>
        </w:rPr>
        <w:tab/>
      </w:r>
    </w:p>
    <w:p w:rsidR="00070FC5" w:rsidRPr="00CC73F3" w:rsidRDefault="00070FC5" w:rsidP="00D639F5">
      <w:pPr>
        <w:pStyle w:val="Heading3"/>
      </w:pPr>
      <w:bookmarkStart w:id="125" w:name="_Toc420572626"/>
      <w:r w:rsidRPr="00CC73F3">
        <w:t>Inventor Expertise</w:t>
      </w:r>
      <w:bookmarkEnd w:id="125"/>
    </w:p>
    <w:p w:rsidR="00070FC5" w:rsidRPr="00CC73F3" w:rsidRDefault="00070FC5" w:rsidP="00D639F5">
      <w:pPr>
        <w:spacing w:line="480" w:lineRule="auto"/>
        <w:rPr>
          <w:rFonts w:eastAsia="Calibri"/>
          <w:szCs w:val="22"/>
        </w:rPr>
      </w:pPr>
      <w:r w:rsidRPr="00CC73F3">
        <w:rPr>
          <w:rFonts w:eastAsia="Calibri"/>
          <w:szCs w:val="22"/>
        </w:rPr>
        <w:tab/>
        <w:t xml:space="preserve">Inventor expertise was measured as the number of online followers in the innovation community the </w:t>
      </w:r>
      <w:r w:rsidRPr="00AF06BE">
        <w:rPr>
          <w:rFonts w:eastAsia="Calibri"/>
          <w:noProof/>
          <w:szCs w:val="22"/>
        </w:rPr>
        <w:t>inventor</w:t>
      </w:r>
      <w:r w:rsidRPr="00CC73F3">
        <w:rPr>
          <w:rFonts w:eastAsia="Calibri"/>
          <w:szCs w:val="22"/>
        </w:rPr>
        <w:t xml:space="preserve"> of each product had at the time his or her product was discussed in the Quirky product evaluation. On the Quirky website, users with an account can subscribe to the news feeds of other </w:t>
      </w:r>
      <w:r w:rsidRPr="00AF06BE">
        <w:rPr>
          <w:rFonts w:eastAsia="Calibri"/>
          <w:noProof/>
          <w:szCs w:val="22"/>
        </w:rPr>
        <w:t>inventors</w:t>
      </w:r>
      <w:r w:rsidRPr="00CC73F3">
        <w:rPr>
          <w:rFonts w:eastAsia="Calibri"/>
          <w:szCs w:val="22"/>
        </w:rPr>
        <w:t xml:space="preserve">, receiving updates about new submissions, the status of existing submissions, development progress of accepted product ideas, etc. </w:t>
      </w:r>
      <w:r w:rsidRPr="00AF06BE">
        <w:rPr>
          <w:rFonts w:eastAsia="Calibri"/>
          <w:noProof/>
          <w:szCs w:val="22"/>
        </w:rPr>
        <w:t>Inventors</w:t>
      </w:r>
      <w:r w:rsidRPr="00CC73F3">
        <w:rPr>
          <w:rFonts w:eastAsia="Calibri"/>
          <w:szCs w:val="22"/>
        </w:rPr>
        <w:t xml:space="preserve"> with a high following are considered experts because they have developed product ideas which have attracted the attention and support of other consumers in the innovation community, or have ideas the community feels have the most potential to be successful.</w:t>
      </w:r>
    </w:p>
    <w:p w:rsidR="00070FC5" w:rsidRPr="00CC73F3" w:rsidRDefault="00070FC5" w:rsidP="00D639F5">
      <w:pPr>
        <w:spacing w:line="480" w:lineRule="auto"/>
        <w:rPr>
          <w:rFonts w:eastAsia="Calibri"/>
          <w:szCs w:val="22"/>
        </w:rPr>
      </w:pPr>
      <w:r w:rsidRPr="00CC73F3">
        <w:rPr>
          <w:rFonts w:eastAsia="Calibri"/>
          <w:szCs w:val="22"/>
        </w:rPr>
        <w:tab/>
        <w:t xml:space="preserve">The information about the number of innovation community is available on Quirky’s website, and included with information about the inventor on each product idea submission webpage. To ensure the information was accurate for the exact date each product was reviewed, this data was pulled from the screenshot shown in each video clip, so the inventor follower totals were accurate for the exact day and time of each product evaluation. </w:t>
      </w:r>
    </w:p>
    <w:p w:rsidR="00070FC5" w:rsidRPr="00CC73F3" w:rsidRDefault="00070FC5" w:rsidP="00D639F5">
      <w:pPr>
        <w:spacing w:line="480" w:lineRule="auto"/>
        <w:rPr>
          <w:rFonts w:eastAsia="Calibri"/>
          <w:szCs w:val="22"/>
        </w:rPr>
      </w:pPr>
    </w:p>
    <w:p w:rsidR="00070FC5" w:rsidRPr="00CC73F3" w:rsidRDefault="00070FC5" w:rsidP="00D639F5">
      <w:pPr>
        <w:pStyle w:val="Heading3"/>
      </w:pPr>
      <w:bookmarkStart w:id="126" w:name="_Toc420572627"/>
      <w:r w:rsidRPr="00CC73F3">
        <w:t>Control Variables</w:t>
      </w:r>
      <w:bookmarkEnd w:id="126"/>
    </w:p>
    <w:p w:rsidR="00070FC5" w:rsidRPr="00CC73F3" w:rsidRDefault="00070FC5" w:rsidP="00D639F5">
      <w:pPr>
        <w:spacing w:line="480" w:lineRule="auto"/>
        <w:rPr>
          <w:rFonts w:eastAsia="Calibri"/>
          <w:szCs w:val="22"/>
        </w:rPr>
      </w:pPr>
      <w:r w:rsidRPr="00CC73F3">
        <w:rPr>
          <w:rFonts w:eastAsia="Calibri"/>
          <w:szCs w:val="22"/>
        </w:rPr>
        <w:tab/>
        <w:t xml:space="preserve">Several control variables were used: the total time each product was discussed, the order in which the product was evaluated, product type (hedonic or utilitarian), and the connection each inventor had to other inventors in the Quirky community. Time was included to account for the fact that more discussion could occur the longer a conversation went on, and was measured as the duration, in seconds, of each product discussion. The video footage consisted of 27, approximately hour-long meetings in which 5-12 products were evaluated in a single sitting. Evaluation order was included to account for any fatigue factor the group might experience after discussion several products. Indeed, there was a small, but significant negative correlation between discussion order and time, a potential indication that the group was less inclined to deeply discuss a product the longer the meeting went. For this reason, evaluation order was included. Bayus (2013) found that members of online customer innovation communities who actively contributed to other inventors’ ideas (e.g., suggestions for improvement, constructive feedback, etc.) had a higher likelihood of submitting high-quality ideas themselves. To account for this possibility, the number of other community members’ ideas each product’s inventor had contributed to at the time of evaluation was collected from the web screen shot in each video. </w:t>
      </w:r>
      <w:r w:rsidRPr="00CC73F3">
        <w:rPr>
          <w:rFonts w:eastAsia="Calibri"/>
          <w:szCs w:val="22"/>
        </w:rPr>
        <w:tab/>
        <w:t xml:space="preserve">Finally, researchers have found that hedonic, experience-based products are typically harder for consumers to objectively evaluate than utilitarian products </w:t>
      </w:r>
      <w:r w:rsidRPr="00CC73F3">
        <w:rPr>
          <w:rFonts w:eastAsia="Calibri"/>
          <w:noProof/>
          <w:szCs w:val="22"/>
        </w:rPr>
        <w:t>(Huang et al., 2009)</w:t>
      </w:r>
      <w:r w:rsidRPr="00CC73F3">
        <w:rPr>
          <w:rFonts w:eastAsia="Calibri"/>
          <w:szCs w:val="22"/>
        </w:rPr>
        <w:t>. For this reason, a categorical measure of product type was used as a control. Five independent raters were used to assess whether products were hedonic or utilitarian, using the 3-item, 7-point sematic differential scale developed by (Berens, Riel, and Bruggen, 2005). The R</w:t>
      </w:r>
      <w:r w:rsidRPr="00CC73F3">
        <w:rPr>
          <w:rFonts w:eastAsia="Calibri"/>
          <w:szCs w:val="22"/>
          <w:vertAlign w:val="subscript"/>
        </w:rPr>
        <w:t>wg</w:t>
      </w:r>
      <w:r w:rsidRPr="00CC73F3">
        <w:rPr>
          <w:rFonts w:eastAsia="Calibri"/>
          <w:szCs w:val="22"/>
        </w:rPr>
        <w:t xml:space="preserve"> formula was used to calculate agreement among the five raters. Since the raters showed less than moderate agreement on 38 of the 186 products, aggregating the responses by averaging them into a continuous variable was not justified. Instead, the responses were averaged and the median split was used to create a categorical variable of the product type (1 = hedonic, 0 = utilitarian).</w:t>
      </w:r>
    </w:p>
    <w:p w:rsidR="00070FC5" w:rsidRPr="00CC73F3" w:rsidRDefault="00070FC5" w:rsidP="00D639F5">
      <w:pPr>
        <w:pStyle w:val="Heading3"/>
      </w:pPr>
    </w:p>
    <w:p w:rsidR="00070FC5" w:rsidRPr="00CC73F3" w:rsidRDefault="00070FC5" w:rsidP="00D639F5">
      <w:pPr>
        <w:pStyle w:val="Heading3"/>
      </w:pPr>
      <w:bookmarkStart w:id="127" w:name="_Toc420572628"/>
      <w:r w:rsidRPr="00CC73F3">
        <w:t>Descriptive Statistics</w:t>
      </w:r>
      <w:bookmarkEnd w:id="127"/>
    </w:p>
    <w:p w:rsidR="00070FC5" w:rsidRPr="00CC73F3" w:rsidRDefault="00070FC5" w:rsidP="00D639F5">
      <w:pPr>
        <w:spacing w:line="480" w:lineRule="auto"/>
        <w:rPr>
          <w:rFonts w:eastAsia="Calibri"/>
          <w:szCs w:val="22"/>
        </w:rPr>
      </w:pPr>
      <w:r w:rsidRPr="00CC73F3">
        <w:rPr>
          <w:rFonts w:eastAsia="Calibri"/>
          <w:szCs w:val="22"/>
        </w:rPr>
        <w:tab/>
        <w:t xml:space="preserve">The correlations, means, and standard deviations for the continuous variables in the model are shown below in Table 31. The product discussions had a mean duration (Time) of 357.87 seconds, with a mean reflexivity level (Reflex) of 2.16, and a mean regulatory focus (RegFocus) level of 2.17. The products themselves had a mean willingness to purchase (W2P) score of 4.35 on a 7-point scale. </w:t>
      </w:r>
    </w:p>
    <w:p w:rsidR="00070FC5" w:rsidRPr="00CC73F3" w:rsidRDefault="00070FC5" w:rsidP="00D639F5">
      <w:pPr>
        <w:spacing w:line="480" w:lineRule="auto"/>
        <w:rPr>
          <w:rFonts w:eastAsia="Calibri"/>
          <w:szCs w:val="22"/>
        </w:rPr>
      </w:pPr>
      <w:r w:rsidRPr="00CC73F3">
        <w:rPr>
          <w:rFonts w:eastAsia="Calibri"/>
          <w:szCs w:val="22"/>
        </w:rPr>
        <w:tab/>
        <w:t>Since all of these products were prescreened before being presented to the firm at an evaluation meeting, the fact that the mean score is above the midpoint of the scale range is not surprising. On average the inventors of the products had participated in developing 148.90 ideas from other inventors (CommtyPart).</w:t>
      </w:r>
    </w:p>
    <w:p w:rsidR="00070FC5" w:rsidRPr="00CC73F3" w:rsidRDefault="00070FC5" w:rsidP="00D639F5">
      <w:pPr>
        <w:jc w:val="center"/>
        <w:rPr>
          <w:rFonts w:eastAsia="Calibri"/>
          <w:b/>
          <w:i/>
          <w:szCs w:val="22"/>
        </w:rPr>
      </w:pPr>
    </w:p>
    <w:p w:rsidR="00070FC5" w:rsidRPr="00CC73F3" w:rsidRDefault="00070FC5" w:rsidP="00D639F5">
      <w:pPr>
        <w:pStyle w:val="Caption"/>
        <w:spacing w:after="0"/>
        <w:rPr>
          <w:rFonts w:eastAsia="Calibri"/>
        </w:rPr>
      </w:pPr>
      <w:bookmarkStart w:id="128" w:name="_Toc420570956"/>
      <w:proofErr w:type="gramStart"/>
      <w:r w:rsidRPr="00CC73F3">
        <w:t xml:space="preserve">Table </w:t>
      </w:r>
      <w:fldSimple w:instr=" SEQ Table \* ARABIC ">
        <w:r w:rsidRPr="00CC73F3">
          <w:rPr>
            <w:noProof/>
          </w:rPr>
          <w:t>31</w:t>
        </w:r>
      </w:fldSimple>
      <w:r w:rsidRPr="00CC73F3">
        <w:rPr>
          <w:rFonts w:eastAsia="Calibri"/>
        </w:rPr>
        <w:t>.</w:t>
      </w:r>
      <w:proofErr w:type="gramEnd"/>
      <w:r w:rsidRPr="00CC73F3">
        <w:rPr>
          <w:rFonts w:eastAsia="Calibri"/>
        </w:rPr>
        <w:t xml:space="preserve"> Correlation of Continuous Variables in Study 3</w:t>
      </w:r>
      <w:bookmarkEnd w:id="128"/>
    </w:p>
    <w:p w:rsidR="00070FC5" w:rsidRPr="00CC73F3" w:rsidRDefault="00070FC5" w:rsidP="00D639F5">
      <w:pPr>
        <w:jc w:val="center"/>
        <w:rPr>
          <w:rFonts w:eastAsia="Calibri"/>
          <w:i/>
          <w:szCs w:val="22"/>
        </w:rPr>
      </w:pPr>
      <w:r w:rsidRPr="00CC73F3">
        <w:rPr>
          <w:rFonts w:eastAsia="Calibri"/>
          <w:i/>
          <w:szCs w:val="22"/>
        </w:rPr>
        <w:t>(Means on the Diagonal)</w:t>
      </w:r>
    </w:p>
    <w:p w:rsidR="00070FC5" w:rsidRPr="00CC73F3" w:rsidRDefault="00070FC5" w:rsidP="00D639F5">
      <w:pPr>
        <w:jc w:val="center"/>
        <w:rPr>
          <w:rFonts w:eastAsia="Calibri"/>
          <w:b/>
          <w:i/>
          <w:szCs w:val="22"/>
        </w:rPr>
      </w:pPr>
    </w:p>
    <w:tbl>
      <w:tblPr>
        <w:tblW w:w="9630" w:type="dxa"/>
        <w:tblInd w:w="-72" w:type="dxa"/>
        <w:tblLayout w:type="fixed"/>
        <w:tblLook w:val="04A0" w:firstRow="1" w:lastRow="0" w:firstColumn="1" w:lastColumn="0" w:noHBand="0" w:noVBand="1"/>
      </w:tblPr>
      <w:tblGrid>
        <w:gridCol w:w="1800"/>
        <w:gridCol w:w="1260"/>
        <w:gridCol w:w="1170"/>
        <w:gridCol w:w="1620"/>
        <w:gridCol w:w="1170"/>
        <w:gridCol w:w="1350"/>
        <w:gridCol w:w="1260"/>
      </w:tblGrid>
      <w:tr w:rsidR="00070FC5" w:rsidRPr="00CC73F3" w:rsidTr="00D639F5">
        <w:trPr>
          <w:trHeight w:val="300"/>
        </w:trPr>
        <w:tc>
          <w:tcPr>
            <w:tcW w:w="1800" w:type="dxa"/>
            <w:tcBorders>
              <w:top w:val="single" w:sz="18" w:space="0" w:color="auto"/>
              <w:left w:val="nil"/>
              <w:bottom w:val="single" w:sz="18" w:space="0" w:color="auto"/>
              <w:right w:val="nil"/>
            </w:tcBorders>
            <w:shd w:val="clear" w:color="auto" w:fill="auto"/>
            <w:vAlign w:val="bottom"/>
            <w:hideMark/>
          </w:tcPr>
          <w:p w:rsidR="00070FC5" w:rsidRPr="00CC73F3" w:rsidRDefault="00070FC5" w:rsidP="00D639F5">
            <w:pPr>
              <w:rPr>
                <w:b/>
                <w:color w:val="000000"/>
              </w:rPr>
            </w:pPr>
          </w:p>
        </w:tc>
        <w:tc>
          <w:tcPr>
            <w:tcW w:w="1260" w:type="dxa"/>
            <w:tcBorders>
              <w:top w:val="single" w:sz="18" w:space="0" w:color="auto"/>
              <w:left w:val="nil"/>
              <w:bottom w:val="single" w:sz="18" w:space="0" w:color="auto"/>
              <w:right w:val="nil"/>
            </w:tcBorders>
            <w:shd w:val="clear" w:color="auto" w:fill="auto"/>
            <w:vAlign w:val="bottom"/>
            <w:hideMark/>
          </w:tcPr>
          <w:p w:rsidR="00070FC5" w:rsidRPr="00CC73F3" w:rsidRDefault="00070FC5" w:rsidP="00D639F5">
            <w:pPr>
              <w:jc w:val="center"/>
              <w:rPr>
                <w:b/>
                <w:color w:val="000000"/>
              </w:rPr>
            </w:pPr>
            <w:r w:rsidRPr="00CC73F3">
              <w:rPr>
                <w:b/>
                <w:color w:val="000000"/>
              </w:rPr>
              <w:t>Order</w:t>
            </w:r>
          </w:p>
        </w:tc>
        <w:tc>
          <w:tcPr>
            <w:tcW w:w="1170" w:type="dxa"/>
            <w:tcBorders>
              <w:top w:val="single" w:sz="18" w:space="0" w:color="auto"/>
              <w:left w:val="nil"/>
              <w:bottom w:val="single" w:sz="18" w:space="0" w:color="auto"/>
              <w:right w:val="nil"/>
            </w:tcBorders>
            <w:shd w:val="clear" w:color="auto" w:fill="auto"/>
            <w:vAlign w:val="bottom"/>
            <w:hideMark/>
          </w:tcPr>
          <w:p w:rsidR="00070FC5" w:rsidRPr="00CC73F3" w:rsidRDefault="00070FC5" w:rsidP="00D639F5">
            <w:pPr>
              <w:jc w:val="center"/>
              <w:rPr>
                <w:b/>
                <w:color w:val="000000"/>
              </w:rPr>
            </w:pPr>
            <w:r w:rsidRPr="00CC73F3">
              <w:rPr>
                <w:b/>
                <w:color w:val="000000"/>
              </w:rPr>
              <w:t>Time</w:t>
            </w:r>
          </w:p>
        </w:tc>
        <w:tc>
          <w:tcPr>
            <w:tcW w:w="1620" w:type="dxa"/>
            <w:tcBorders>
              <w:top w:val="single" w:sz="18" w:space="0" w:color="auto"/>
              <w:left w:val="nil"/>
              <w:bottom w:val="single" w:sz="18" w:space="0" w:color="auto"/>
              <w:right w:val="nil"/>
            </w:tcBorders>
            <w:shd w:val="clear" w:color="auto" w:fill="auto"/>
            <w:vAlign w:val="bottom"/>
            <w:hideMark/>
          </w:tcPr>
          <w:p w:rsidR="00070FC5" w:rsidRPr="00CC73F3" w:rsidRDefault="00070FC5" w:rsidP="00D639F5">
            <w:pPr>
              <w:jc w:val="center"/>
              <w:rPr>
                <w:b/>
                <w:color w:val="000000"/>
              </w:rPr>
            </w:pPr>
            <w:r w:rsidRPr="00CC73F3">
              <w:rPr>
                <w:b/>
                <w:color w:val="000000"/>
              </w:rPr>
              <w:t>CommtyPart</w:t>
            </w:r>
          </w:p>
        </w:tc>
        <w:tc>
          <w:tcPr>
            <w:tcW w:w="1170" w:type="dxa"/>
            <w:tcBorders>
              <w:top w:val="single" w:sz="18" w:space="0" w:color="auto"/>
              <w:left w:val="nil"/>
              <w:bottom w:val="single" w:sz="18" w:space="0" w:color="auto"/>
              <w:right w:val="nil"/>
            </w:tcBorders>
            <w:shd w:val="clear" w:color="auto" w:fill="auto"/>
            <w:vAlign w:val="bottom"/>
            <w:hideMark/>
          </w:tcPr>
          <w:p w:rsidR="00070FC5" w:rsidRPr="00CC73F3" w:rsidRDefault="00070FC5" w:rsidP="00D639F5">
            <w:pPr>
              <w:jc w:val="center"/>
              <w:rPr>
                <w:b/>
                <w:color w:val="000000"/>
              </w:rPr>
            </w:pPr>
            <w:r w:rsidRPr="00CC73F3">
              <w:rPr>
                <w:b/>
                <w:color w:val="000000"/>
              </w:rPr>
              <w:t>Reflex</w:t>
            </w:r>
          </w:p>
        </w:tc>
        <w:tc>
          <w:tcPr>
            <w:tcW w:w="1350" w:type="dxa"/>
            <w:tcBorders>
              <w:top w:val="single" w:sz="18" w:space="0" w:color="auto"/>
              <w:left w:val="nil"/>
              <w:bottom w:val="single" w:sz="18" w:space="0" w:color="auto"/>
              <w:right w:val="nil"/>
            </w:tcBorders>
            <w:shd w:val="clear" w:color="auto" w:fill="auto"/>
            <w:vAlign w:val="bottom"/>
            <w:hideMark/>
          </w:tcPr>
          <w:p w:rsidR="00070FC5" w:rsidRPr="00CC73F3" w:rsidRDefault="00070FC5" w:rsidP="00D639F5">
            <w:pPr>
              <w:jc w:val="center"/>
              <w:rPr>
                <w:b/>
                <w:color w:val="000000"/>
              </w:rPr>
            </w:pPr>
            <w:r w:rsidRPr="00CC73F3">
              <w:rPr>
                <w:b/>
                <w:color w:val="000000"/>
              </w:rPr>
              <w:t>RegFocus</w:t>
            </w:r>
          </w:p>
        </w:tc>
        <w:tc>
          <w:tcPr>
            <w:tcW w:w="1260" w:type="dxa"/>
            <w:tcBorders>
              <w:top w:val="single" w:sz="18" w:space="0" w:color="auto"/>
              <w:left w:val="nil"/>
              <w:bottom w:val="single" w:sz="18" w:space="0" w:color="auto"/>
              <w:right w:val="nil"/>
            </w:tcBorders>
            <w:shd w:val="clear" w:color="auto" w:fill="auto"/>
            <w:vAlign w:val="bottom"/>
            <w:hideMark/>
          </w:tcPr>
          <w:p w:rsidR="00070FC5" w:rsidRPr="00CC73F3" w:rsidRDefault="00070FC5" w:rsidP="00D639F5">
            <w:pPr>
              <w:jc w:val="center"/>
              <w:rPr>
                <w:b/>
                <w:color w:val="000000"/>
              </w:rPr>
            </w:pPr>
            <w:r w:rsidRPr="00CC73F3">
              <w:rPr>
                <w:b/>
                <w:color w:val="000000"/>
              </w:rPr>
              <w:t>W2P</w:t>
            </w:r>
          </w:p>
        </w:tc>
      </w:tr>
      <w:tr w:rsidR="00070FC5" w:rsidRPr="00CC73F3" w:rsidTr="00D639F5">
        <w:trPr>
          <w:trHeight w:val="300"/>
        </w:trPr>
        <w:tc>
          <w:tcPr>
            <w:tcW w:w="1800" w:type="dxa"/>
            <w:tcBorders>
              <w:top w:val="single" w:sz="18" w:space="0" w:color="auto"/>
              <w:left w:val="nil"/>
              <w:bottom w:val="nil"/>
              <w:right w:val="nil"/>
            </w:tcBorders>
            <w:shd w:val="clear" w:color="auto" w:fill="auto"/>
            <w:hideMark/>
          </w:tcPr>
          <w:p w:rsidR="00070FC5" w:rsidRPr="00CC73F3" w:rsidRDefault="00070FC5" w:rsidP="00D639F5">
            <w:pPr>
              <w:rPr>
                <w:b/>
                <w:color w:val="000000"/>
              </w:rPr>
            </w:pPr>
            <w:r w:rsidRPr="00CC73F3">
              <w:rPr>
                <w:b/>
                <w:color w:val="000000"/>
              </w:rPr>
              <w:t>Order</w:t>
            </w:r>
          </w:p>
        </w:tc>
        <w:tc>
          <w:tcPr>
            <w:tcW w:w="1260" w:type="dxa"/>
            <w:tcBorders>
              <w:top w:val="single" w:sz="18" w:space="0" w:color="auto"/>
              <w:left w:val="nil"/>
              <w:bottom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 xml:space="preserve">(5.01) </w:t>
            </w:r>
          </w:p>
        </w:tc>
        <w:tc>
          <w:tcPr>
            <w:tcW w:w="1170" w:type="dxa"/>
            <w:tcBorders>
              <w:top w:val="single" w:sz="18" w:space="0" w:color="auto"/>
              <w:left w:val="nil"/>
              <w:bottom w:val="nil"/>
              <w:right w:val="nil"/>
            </w:tcBorders>
            <w:shd w:val="clear" w:color="auto" w:fill="auto"/>
            <w:noWrap/>
            <w:vAlign w:val="center"/>
            <w:hideMark/>
          </w:tcPr>
          <w:p w:rsidR="00070FC5" w:rsidRPr="00CC73F3" w:rsidRDefault="00070FC5" w:rsidP="00D639F5">
            <w:pPr>
              <w:jc w:val="center"/>
              <w:rPr>
                <w:color w:val="000000"/>
              </w:rPr>
            </w:pPr>
          </w:p>
        </w:tc>
        <w:tc>
          <w:tcPr>
            <w:tcW w:w="1620" w:type="dxa"/>
            <w:tcBorders>
              <w:top w:val="single" w:sz="18" w:space="0" w:color="auto"/>
              <w:left w:val="nil"/>
              <w:bottom w:val="nil"/>
              <w:right w:val="nil"/>
            </w:tcBorders>
            <w:shd w:val="clear" w:color="auto" w:fill="auto"/>
            <w:noWrap/>
            <w:vAlign w:val="center"/>
            <w:hideMark/>
          </w:tcPr>
          <w:p w:rsidR="00070FC5" w:rsidRPr="00CC73F3" w:rsidRDefault="00070FC5" w:rsidP="00D639F5">
            <w:pPr>
              <w:jc w:val="center"/>
              <w:rPr>
                <w:color w:val="000000"/>
              </w:rPr>
            </w:pPr>
          </w:p>
        </w:tc>
        <w:tc>
          <w:tcPr>
            <w:tcW w:w="1170" w:type="dxa"/>
            <w:tcBorders>
              <w:top w:val="single" w:sz="18" w:space="0" w:color="auto"/>
              <w:left w:val="nil"/>
              <w:bottom w:val="nil"/>
              <w:right w:val="nil"/>
            </w:tcBorders>
            <w:shd w:val="clear" w:color="auto" w:fill="auto"/>
            <w:noWrap/>
            <w:vAlign w:val="center"/>
            <w:hideMark/>
          </w:tcPr>
          <w:p w:rsidR="00070FC5" w:rsidRPr="00CC73F3" w:rsidRDefault="00070FC5" w:rsidP="00D639F5">
            <w:pPr>
              <w:jc w:val="center"/>
              <w:rPr>
                <w:color w:val="000000"/>
              </w:rPr>
            </w:pPr>
          </w:p>
        </w:tc>
        <w:tc>
          <w:tcPr>
            <w:tcW w:w="1350" w:type="dxa"/>
            <w:tcBorders>
              <w:top w:val="single" w:sz="18" w:space="0" w:color="auto"/>
              <w:left w:val="nil"/>
              <w:bottom w:val="nil"/>
              <w:right w:val="nil"/>
            </w:tcBorders>
            <w:shd w:val="clear" w:color="auto" w:fill="auto"/>
            <w:noWrap/>
            <w:vAlign w:val="center"/>
            <w:hideMark/>
          </w:tcPr>
          <w:p w:rsidR="00070FC5" w:rsidRPr="00CC73F3" w:rsidRDefault="00070FC5" w:rsidP="00D639F5">
            <w:pPr>
              <w:jc w:val="center"/>
              <w:rPr>
                <w:color w:val="000000"/>
              </w:rPr>
            </w:pPr>
          </w:p>
        </w:tc>
        <w:tc>
          <w:tcPr>
            <w:tcW w:w="1260" w:type="dxa"/>
            <w:tcBorders>
              <w:top w:val="single" w:sz="18" w:space="0" w:color="auto"/>
              <w:left w:val="nil"/>
              <w:bottom w:val="nil"/>
              <w:right w:val="nil"/>
            </w:tcBorders>
            <w:shd w:val="clear" w:color="auto" w:fill="auto"/>
            <w:noWrap/>
            <w:vAlign w:val="center"/>
            <w:hideMark/>
          </w:tcPr>
          <w:p w:rsidR="00070FC5" w:rsidRPr="00CC73F3" w:rsidRDefault="00070FC5" w:rsidP="00D639F5">
            <w:pPr>
              <w:jc w:val="center"/>
              <w:rPr>
                <w:color w:val="000000"/>
              </w:rPr>
            </w:pPr>
          </w:p>
        </w:tc>
      </w:tr>
      <w:tr w:rsidR="00070FC5" w:rsidRPr="00CC73F3" w:rsidTr="00D639F5">
        <w:trPr>
          <w:trHeight w:val="300"/>
        </w:trPr>
        <w:tc>
          <w:tcPr>
            <w:tcW w:w="1800" w:type="dxa"/>
            <w:tcBorders>
              <w:top w:val="nil"/>
              <w:left w:val="nil"/>
              <w:bottom w:val="nil"/>
              <w:right w:val="nil"/>
            </w:tcBorders>
            <w:shd w:val="clear" w:color="auto" w:fill="auto"/>
            <w:hideMark/>
          </w:tcPr>
          <w:p w:rsidR="00070FC5" w:rsidRPr="00CC73F3" w:rsidRDefault="00070FC5" w:rsidP="00D639F5">
            <w:pPr>
              <w:rPr>
                <w:b/>
                <w:color w:val="000000"/>
              </w:rPr>
            </w:pPr>
            <w:r w:rsidRPr="00CC73F3">
              <w:rPr>
                <w:b/>
                <w:color w:val="000000"/>
              </w:rPr>
              <w:t>Time</w:t>
            </w:r>
          </w:p>
        </w:tc>
        <w:tc>
          <w:tcPr>
            <w:tcW w:w="126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-.238**</w:t>
            </w:r>
          </w:p>
        </w:tc>
        <w:tc>
          <w:tcPr>
            <w:tcW w:w="117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 xml:space="preserve">(357.87) </w:t>
            </w:r>
          </w:p>
        </w:tc>
        <w:tc>
          <w:tcPr>
            <w:tcW w:w="162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p>
        </w:tc>
        <w:tc>
          <w:tcPr>
            <w:tcW w:w="117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p>
        </w:tc>
        <w:tc>
          <w:tcPr>
            <w:tcW w:w="135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p>
        </w:tc>
        <w:tc>
          <w:tcPr>
            <w:tcW w:w="126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p>
        </w:tc>
      </w:tr>
      <w:tr w:rsidR="00070FC5" w:rsidRPr="00CC73F3" w:rsidTr="00D639F5">
        <w:trPr>
          <w:trHeight w:val="300"/>
        </w:trPr>
        <w:tc>
          <w:tcPr>
            <w:tcW w:w="1800" w:type="dxa"/>
            <w:tcBorders>
              <w:top w:val="nil"/>
              <w:left w:val="nil"/>
              <w:bottom w:val="nil"/>
              <w:right w:val="nil"/>
            </w:tcBorders>
            <w:shd w:val="clear" w:color="auto" w:fill="auto"/>
            <w:hideMark/>
          </w:tcPr>
          <w:p w:rsidR="00070FC5" w:rsidRPr="00CC73F3" w:rsidRDefault="00070FC5" w:rsidP="00D639F5">
            <w:pPr>
              <w:rPr>
                <w:b/>
                <w:color w:val="000000"/>
              </w:rPr>
            </w:pPr>
            <w:r w:rsidRPr="00CC73F3">
              <w:rPr>
                <w:b/>
                <w:color w:val="000000"/>
              </w:rPr>
              <w:t>CommtyPart</w:t>
            </w:r>
          </w:p>
        </w:tc>
        <w:tc>
          <w:tcPr>
            <w:tcW w:w="126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-.063</w:t>
            </w:r>
          </w:p>
        </w:tc>
        <w:tc>
          <w:tcPr>
            <w:tcW w:w="117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.116</w:t>
            </w:r>
          </w:p>
        </w:tc>
        <w:tc>
          <w:tcPr>
            <w:tcW w:w="162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(149.316)</w:t>
            </w:r>
          </w:p>
        </w:tc>
        <w:tc>
          <w:tcPr>
            <w:tcW w:w="117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p>
        </w:tc>
        <w:tc>
          <w:tcPr>
            <w:tcW w:w="135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p>
        </w:tc>
        <w:tc>
          <w:tcPr>
            <w:tcW w:w="126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p>
        </w:tc>
      </w:tr>
      <w:tr w:rsidR="00070FC5" w:rsidRPr="00CC73F3" w:rsidTr="00D639F5">
        <w:trPr>
          <w:trHeight w:val="300"/>
        </w:trPr>
        <w:tc>
          <w:tcPr>
            <w:tcW w:w="1800" w:type="dxa"/>
            <w:tcBorders>
              <w:top w:val="nil"/>
              <w:left w:val="nil"/>
              <w:bottom w:val="nil"/>
              <w:right w:val="nil"/>
            </w:tcBorders>
            <w:shd w:val="clear" w:color="auto" w:fill="auto"/>
            <w:hideMark/>
          </w:tcPr>
          <w:p w:rsidR="00070FC5" w:rsidRPr="00CC73F3" w:rsidRDefault="00070FC5" w:rsidP="00D639F5">
            <w:pPr>
              <w:rPr>
                <w:b/>
                <w:color w:val="000000"/>
              </w:rPr>
            </w:pPr>
            <w:r w:rsidRPr="00CC73F3">
              <w:rPr>
                <w:b/>
                <w:color w:val="000000"/>
              </w:rPr>
              <w:t>Reflex</w:t>
            </w:r>
          </w:p>
        </w:tc>
        <w:tc>
          <w:tcPr>
            <w:tcW w:w="126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-.091</w:t>
            </w:r>
          </w:p>
        </w:tc>
        <w:tc>
          <w:tcPr>
            <w:tcW w:w="117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.240**</w:t>
            </w:r>
          </w:p>
        </w:tc>
        <w:tc>
          <w:tcPr>
            <w:tcW w:w="162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.050</w:t>
            </w:r>
          </w:p>
        </w:tc>
        <w:tc>
          <w:tcPr>
            <w:tcW w:w="117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 xml:space="preserve">(2.16) </w:t>
            </w:r>
          </w:p>
        </w:tc>
        <w:tc>
          <w:tcPr>
            <w:tcW w:w="135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p>
        </w:tc>
        <w:tc>
          <w:tcPr>
            <w:tcW w:w="1260" w:type="dxa"/>
            <w:tcBorders>
              <w:top w:val="nil"/>
              <w:left w:val="nil"/>
              <w:bottom w:val="nil"/>
              <w:right w:val="nil"/>
            </w:tcBorders>
            <w:shd w:val="clear" w:color="auto" w:fill="auto"/>
            <w:noWrap/>
            <w:vAlign w:val="center"/>
            <w:hideMark/>
          </w:tcPr>
          <w:p w:rsidR="00070FC5" w:rsidRPr="00CC73F3" w:rsidRDefault="00070FC5" w:rsidP="00D639F5">
            <w:pPr>
              <w:jc w:val="center"/>
              <w:rPr>
                <w:color w:val="000000"/>
              </w:rPr>
            </w:pPr>
          </w:p>
        </w:tc>
      </w:tr>
      <w:tr w:rsidR="00070FC5" w:rsidRPr="00CC73F3" w:rsidTr="00D639F5">
        <w:trPr>
          <w:trHeight w:val="300"/>
        </w:trPr>
        <w:tc>
          <w:tcPr>
            <w:tcW w:w="1800" w:type="dxa"/>
            <w:tcBorders>
              <w:top w:val="nil"/>
              <w:left w:val="nil"/>
              <w:right w:val="nil"/>
            </w:tcBorders>
            <w:shd w:val="clear" w:color="auto" w:fill="auto"/>
            <w:hideMark/>
          </w:tcPr>
          <w:p w:rsidR="00070FC5" w:rsidRPr="00CC73F3" w:rsidRDefault="00070FC5" w:rsidP="00D639F5">
            <w:pPr>
              <w:rPr>
                <w:b/>
                <w:color w:val="000000"/>
              </w:rPr>
            </w:pPr>
            <w:r w:rsidRPr="00CC73F3">
              <w:rPr>
                <w:b/>
                <w:color w:val="000000"/>
              </w:rPr>
              <w:t>RegFocus</w:t>
            </w:r>
          </w:p>
        </w:tc>
        <w:tc>
          <w:tcPr>
            <w:tcW w:w="1260" w:type="dxa"/>
            <w:tcBorders>
              <w:top w:val="nil"/>
              <w:left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.085</w:t>
            </w:r>
          </w:p>
        </w:tc>
        <w:tc>
          <w:tcPr>
            <w:tcW w:w="1170" w:type="dxa"/>
            <w:tcBorders>
              <w:top w:val="nil"/>
              <w:left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-.151*</w:t>
            </w:r>
          </w:p>
        </w:tc>
        <w:tc>
          <w:tcPr>
            <w:tcW w:w="1620" w:type="dxa"/>
            <w:tcBorders>
              <w:top w:val="nil"/>
              <w:left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-.058</w:t>
            </w:r>
          </w:p>
        </w:tc>
        <w:tc>
          <w:tcPr>
            <w:tcW w:w="1170" w:type="dxa"/>
            <w:tcBorders>
              <w:top w:val="nil"/>
              <w:left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.163</w:t>
            </w:r>
            <w:r w:rsidRPr="00CC73F3">
              <w:rPr>
                <w:color w:val="000000"/>
                <w:vertAlign w:val="superscript"/>
              </w:rPr>
              <w:t>*</w:t>
            </w:r>
          </w:p>
        </w:tc>
        <w:tc>
          <w:tcPr>
            <w:tcW w:w="1350" w:type="dxa"/>
            <w:tcBorders>
              <w:top w:val="nil"/>
              <w:left w:val="nil"/>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 xml:space="preserve">(2.17) </w:t>
            </w:r>
          </w:p>
        </w:tc>
        <w:tc>
          <w:tcPr>
            <w:tcW w:w="1260" w:type="dxa"/>
            <w:tcBorders>
              <w:top w:val="nil"/>
              <w:left w:val="nil"/>
              <w:right w:val="nil"/>
            </w:tcBorders>
            <w:shd w:val="clear" w:color="auto" w:fill="auto"/>
            <w:noWrap/>
            <w:vAlign w:val="center"/>
            <w:hideMark/>
          </w:tcPr>
          <w:p w:rsidR="00070FC5" w:rsidRPr="00CC73F3" w:rsidRDefault="00070FC5" w:rsidP="00D639F5">
            <w:pPr>
              <w:jc w:val="center"/>
              <w:rPr>
                <w:color w:val="000000"/>
              </w:rPr>
            </w:pPr>
          </w:p>
        </w:tc>
      </w:tr>
      <w:tr w:rsidR="00070FC5" w:rsidRPr="00CC73F3" w:rsidTr="00D639F5">
        <w:trPr>
          <w:trHeight w:val="300"/>
        </w:trPr>
        <w:tc>
          <w:tcPr>
            <w:tcW w:w="1800" w:type="dxa"/>
            <w:tcBorders>
              <w:top w:val="nil"/>
              <w:left w:val="nil"/>
              <w:bottom w:val="single" w:sz="18" w:space="0" w:color="auto"/>
              <w:right w:val="nil"/>
            </w:tcBorders>
            <w:shd w:val="clear" w:color="auto" w:fill="auto"/>
            <w:hideMark/>
          </w:tcPr>
          <w:p w:rsidR="00070FC5" w:rsidRPr="00CC73F3" w:rsidRDefault="00070FC5" w:rsidP="00D639F5">
            <w:pPr>
              <w:rPr>
                <w:b/>
                <w:color w:val="000000"/>
              </w:rPr>
            </w:pPr>
            <w:r w:rsidRPr="00CC73F3">
              <w:rPr>
                <w:b/>
                <w:color w:val="000000"/>
              </w:rPr>
              <w:t>W2P</w:t>
            </w:r>
          </w:p>
        </w:tc>
        <w:tc>
          <w:tcPr>
            <w:tcW w:w="1260"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-.072</w:t>
            </w:r>
          </w:p>
        </w:tc>
        <w:tc>
          <w:tcPr>
            <w:tcW w:w="1170"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-.159</w:t>
            </w:r>
            <w:r w:rsidRPr="00CC73F3">
              <w:rPr>
                <w:color w:val="000000"/>
                <w:vertAlign w:val="superscript"/>
              </w:rPr>
              <w:t>*</w:t>
            </w:r>
          </w:p>
        </w:tc>
        <w:tc>
          <w:tcPr>
            <w:tcW w:w="1620"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.017</w:t>
            </w:r>
          </w:p>
        </w:tc>
        <w:tc>
          <w:tcPr>
            <w:tcW w:w="1170"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.079</w:t>
            </w:r>
          </w:p>
        </w:tc>
        <w:tc>
          <w:tcPr>
            <w:tcW w:w="1350"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.218**</w:t>
            </w:r>
          </w:p>
        </w:tc>
        <w:tc>
          <w:tcPr>
            <w:tcW w:w="1260" w:type="dxa"/>
            <w:tcBorders>
              <w:top w:val="nil"/>
              <w:left w:val="nil"/>
              <w:bottom w:val="single" w:sz="18" w:space="0" w:color="auto"/>
              <w:right w:val="nil"/>
            </w:tcBorders>
            <w:shd w:val="clear" w:color="auto" w:fill="auto"/>
            <w:noWrap/>
            <w:vAlign w:val="center"/>
            <w:hideMark/>
          </w:tcPr>
          <w:p w:rsidR="00070FC5" w:rsidRPr="00CC73F3" w:rsidRDefault="00070FC5" w:rsidP="00D639F5">
            <w:pPr>
              <w:jc w:val="center"/>
              <w:rPr>
                <w:color w:val="000000"/>
              </w:rPr>
            </w:pPr>
            <w:r w:rsidRPr="00CC73F3">
              <w:rPr>
                <w:color w:val="000000"/>
              </w:rPr>
              <w:t>(4.35)</w:t>
            </w:r>
          </w:p>
        </w:tc>
      </w:tr>
      <w:tr w:rsidR="00070FC5" w:rsidRPr="00CC73F3" w:rsidTr="00D639F5">
        <w:trPr>
          <w:trHeight w:val="300"/>
        </w:trPr>
        <w:tc>
          <w:tcPr>
            <w:tcW w:w="9630" w:type="dxa"/>
            <w:gridSpan w:val="7"/>
            <w:tcBorders>
              <w:top w:val="single" w:sz="18" w:space="0" w:color="auto"/>
              <w:left w:val="nil"/>
              <w:bottom w:val="nil"/>
              <w:right w:val="nil"/>
            </w:tcBorders>
            <w:shd w:val="clear" w:color="auto" w:fill="auto"/>
            <w:hideMark/>
          </w:tcPr>
          <w:p w:rsidR="00070FC5" w:rsidRPr="00CC73F3" w:rsidRDefault="00070FC5" w:rsidP="00D639F5">
            <w:pPr>
              <w:rPr>
                <w:color w:val="000000"/>
                <w:sz w:val="20"/>
                <w:szCs w:val="20"/>
              </w:rPr>
            </w:pPr>
            <w:r w:rsidRPr="00CC73F3">
              <w:rPr>
                <w:color w:val="000000"/>
                <w:sz w:val="20"/>
                <w:szCs w:val="20"/>
              </w:rPr>
              <w:t>*. Correlation is significant at the 0.05 level (2-tailed).</w:t>
            </w:r>
          </w:p>
        </w:tc>
      </w:tr>
      <w:tr w:rsidR="00070FC5" w:rsidRPr="00CC73F3" w:rsidTr="00D639F5">
        <w:trPr>
          <w:trHeight w:val="300"/>
        </w:trPr>
        <w:tc>
          <w:tcPr>
            <w:tcW w:w="9630" w:type="dxa"/>
            <w:gridSpan w:val="7"/>
            <w:tcBorders>
              <w:top w:val="nil"/>
              <w:left w:val="nil"/>
              <w:bottom w:val="nil"/>
              <w:right w:val="nil"/>
            </w:tcBorders>
            <w:shd w:val="clear" w:color="auto" w:fill="auto"/>
            <w:hideMark/>
          </w:tcPr>
          <w:p w:rsidR="00070FC5" w:rsidRPr="00CC73F3" w:rsidRDefault="00070FC5" w:rsidP="00D639F5">
            <w:pPr>
              <w:rPr>
                <w:color w:val="000000"/>
                <w:sz w:val="20"/>
                <w:szCs w:val="20"/>
              </w:rPr>
            </w:pPr>
            <w:r w:rsidRPr="00CC73F3">
              <w:rPr>
                <w:color w:val="000000"/>
                <w:sz w:val="20"/>
                <w:szCs w:val="20"/>
              </w:rPr>
              <w:t>**. Correlation is significant at the 0.01 level (2-tailed).</w:t>
            </w:r>
          </w:p>
        </w:tc>
      </w:tr>
    </w:tbl>
    <w:p w:rsidR="00070FC5" w:rsidRPr="00CC73F3" w:rsidRDefault="00070FC5" w:rsidP="00D639F5">
      <w:pPr>
        <w:spacing w:line="480" w:lineRule="auto"/>
        <w:rPr>
          <w:rFonts w:eastAsia="Calibri"/>
          <w:szCs w:val="22"/>
        </w:rPr>
      </w:pPr>
      <w:r w:rsidRPr="00CC73F3">
        <w:rPr>
          <w:rFonts w:eastAsia="Calibri"/>
          <w:szCs w:val="22"/>
        </w:rPr>
        <w:tab/>
      </w:r>
    </w:p>
    <w:p w:rsidR="00070FC5" w:rsidRPr="00CC73F3" w:rsidRDefault="00070FC5" w:rsidP="00D639F5">
      <w:pPr>
        <w:pStyle w:val="Caption"/>
        <w:rPr>
          <w:rFonts w:eastAsia="Calibri"/>
        </w:rPr>
      </w:pPr>
      <w:bookmarkStart w:id="129" w:name="_Toc420570957"/>
      <w:proofErr w:type="gramStart"/>
      <w:r w:rsidRPr="00CC73F3">
        <w:t xml:space="preserve">Table </w:t>
      </w:r>
      <w:fldSimple w:instr=" SEQ Table \* ARABIC ">
        <w:r w:rsidRPr="00CC73F3">
          <w:rPr>
            <w:noProof/>
          </w:rPr>
          <w:t>32</w:t>
        </w:r>
      </w:fldSimple>
      <w:r w:rsidRPr="00CC73F3">
        <w:rPr>
          <w:rFonts w:eastAsia="Calibri"/>
        </w:rPr>
        <w:t>.</w:t>
      </w:r>
      <w:proofErr w:type="gramEnd"/>
      <w:r w:rsidRPr="00CC73F3">
        <w:rPr>
          <w:rFonts w:eastAsia="Calibri"/>
        </w:rPr>
        <w:t xml:space="preserve"> Description of Study 3 Categorical Variables</w:t>
      </w:r>
      <w:bookmarkEnd w:id="129"/>
    </w:p>
    <w:p w:rsidR="00070FC5" w:rsidRPr="00CC73F3" w:rsidRDefault="00070FC5" w:rsidP="00D639F5">
      <w:pPr>
        <w:rPr>
          <w:rFonts w:eastAsia="Calibri"/>
        </w:rPr>
      </w:pPr>
    </w:p>
    <w:tbl>
      <w:tblPr>
        <w:tblW w:w="0" w:type="auto"/>
        <w:jc w:val="center"/>
        <w:tblInd w:w="-1098" w:type="dxa"/>
        <w:tblLook w:val="04A0" w:firstRow="1" w:lastRow="0" w:firstColumn="1" w:lastColumn="0" w:noHBand="0" w:noVBand="1"/>
      </w:tblPr>
      <w:tblGrid>
        <w:gridCol w:w="5886"/>
        <w:gridCol w:w="3150"/>
      </w:tblGrid>
      <w:tr w:rsidR="00070FC5" w:rsidRPr="00CC73F3" w:rsidTr="00D639F5">
        <w:trPr>
          <w:trHeight w:val="360"/>
          <w:jc w:val="center"/>
        </w:trPr>
        <w:tc>
          <w:tcPr>
            <w:tcW w:w="5886" w:type="dxa"/>
            <w:tcBorders>
              <w:top w:val="single" w:sz="18" w:space="0" w:color="auto"/>
              <w:bottom w:val="single" w:sz="18" w:space="0" w:color="auto"/>
            </w:tcBorders>
            <w:shd w:val="clear" w:color="auto" w:fill="auto"/>
            <w:vAlign w:val="center"/>
          </w:tcPr>
          <w:p w:rsidR="00070FC5" w:rsidRPr="00CC73F3" w:rsidRDefault="00070FC5" w:rsidP="00D639F5">
            <w:pPr>
              <w:rPr>
                <w:rFonts w:eastAsia="Calibri"/>
                <w:b/>
              </w:rPr>
            </w:pPr>
            <w:r w:rsidRPr="00CC73F3">
              <w:rPr>
                <w:rFonts w:eastAsia="Calibri"/>
                <w:b/>
              </w:rPr>
              <w:t>Variable</w:t>
            </w:r>
          </w:p>
        </w:tc>
        <w:tc>
          <w:tcPr>
            <w:tcW w:w="3150" w:type="dxa"/>
            <w:tcBorders>
              <w:top w:val="single" w:sz="18" w:space="0" w:color="auto"/>
              <w:bottom w:val="single" w:sz="18" w:space="0" w:color="auto"/>
            </w:tcBorders>
            <w:shd w:val="clear" w:color="auto" w:fill="auto"/>
            <w:vAlign w:val="center"/>
          </w:tcPr>
          <w:p w:rsidR="00070FC5" w:rsidRPr="00CC73F3" w:rsidRDefault="00070FC5" w:rsidP="00D639F5">
            <w:pPr>
              <w:rPr>
                <w:rFonts w:eastAsia="Calibri"/>
                <w:b/>
              </w:rPr>
            </w:pPr>
            <w:r w:rsidRPr="00CC73F3">
              <w:rPr>
                <w:rFonts w:eastAsia="Calibri"/>
                <w:b/>
              </w:rPr>
              <w:t>Descriptives</w:t>
            </w:r>
          </w:p>
        </w:tc>
      </w:tr>
      <w:tr w:rsidR="00070FC5" w:rsidRPr="00CC73F3" w:rsidTr="00D639F5">
        <w:trPr>
          <w:trHeight w:val="360"/>
          <w:jc w:val="center"/>
        </w:trPr>
        <w:tc>
          <w:tcPr>
            <w:tcW w:w="5886" w:type="dxa"/>
            <w:tcBorders>
              <w:top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Product Type (Hedonic)</w:t>
            </w:r>
          </w:p>
        </w:tc>
        <w:tc>
          <w:tcPr>
            <w:tcW w:w="3150" w:type="dxa"/>
            <w:tcBorders>
              <w:top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56/186 (30.1%)</w:t>
            </w:r>
          </w:p>
        </w:tc>
      </w:tr>
      <w:tr w:rsidR="00070FC5" w:rsidRPr="00CC73F3" w:rsidTr="00D639F5">
        <w:trPr>
          <w:trHeight w:val="360"/>
          <w:jc w:val="center"/>
        </w:trPr>
        <w:tc>
          <w:tcPr>
            <w:tcW w:w="5886" w:type="dxa"/>
            <w:shd w:val="clear" w:color="auto" w:fill="auto"/>
            <w:vAlign w:val="center"/>
          </w:tcPr>
          <w:p w:rsidR="00070FC5" w:rsidRPr="00CC73F3" w:rsidRDefault="00070FC5" w:rsidP="00D639F5">
            <w:pPr>
              <w:rPr>
                <w:rFonts w:eastAsia="Calibri"/>
              </w:rPr>
            </w:pPr>
            <w:r w:rsidRPr="00CC73F3">
              <w:rPr>
                <w:rFonts w:eastAsia="Calibri"/>
              </w:rPr>
              <w:t>Development Decision (Yes)</w:t>
            </w:r>
          </w:p>
        </w:tc>
        <w:tc>
          <w:tcPr>
            <w:tcW w:w="3150" w:type="dxa"/>
            <w:shd w:val="clear" w:color="auto" w:fill="auto"/>
            <w:vAlign w:val="center"/>
          </w:tcPr>
          <w:p w:rsidR="00070FC5" w:rsidRPr="00CC73F3" w:rsidRDefault="00070FC5" w:rsidP="00D639F5">
            <w:pPr>
              <w:rPr>
                <w:rFonts w:eastAsia="Calibri"/>
              </w:rPr>
            </w:pPr>
            <w:r w:rsidRPr="00CC73F3">
              <w:rPr>
                <w:rFonts w:eastAsia="Calibri"/>
              </w:rPr>
              <w:t>84/186 (45.2%)</w:t>
            </w:r>
          </w:p>
        </w:tc>
      </w:tr>
      <w:tr w:rsidR="00070FC5" w:rsidRPr="00CC73F3" w:rsidTr="00D639F5">
        <w:trPr>
          <w:trHeight w:val="360"/>
          <w:jc w:val="center"/>
        </w:trPr>
        <w:tc>
          <w:tcPr>
            <w:tcW w:w="5886" w:type="dxa"/>
            <w:shd w:val="clear" w:color="auto" w:fill="auto"/>
            <w:vAlign w:val="center"/>
          </w:tcPr>
          <w:p w:rsidR="00070FC5" w:rsidRPr="00CC73F3" w:rsidRDefault="00070FC5" w:rsidP="00D639F5">
            <w:pPr>
              <w:rPr>
                <w:rFonts w:eastAsia="Calibri"/>
              </w:rPr>
            </w:pPr>
            <w:r w:rsidRPr="00CC73F3">
              <w:rPr>
                <w:rFonts w:eastAsia="Calibri"/>
              </w:rPr>
              <w:t>Positive Hits (Accepted 51</w:t>
            </w:r>
            <w:r w:rsidRPr="00CC73F3">
              <w:rPr>
                <w:rFonts w:eastAsia="Calibri"/>
                <w:vertAlign w:val="superscript"/>
              </w:rPr>
              <w:t>st</w:t>
            </w:r>
            <w:r w:rsidRPr="00CC73F3">
              <w:rPr>
                <w:rFonts w:eastAsia="Calibri"/>
              </w:rPr>
              <w:t xml:space="preserve"> percentile and above)</w:t>
            </w:r>
          </w:p>
        </w:tc>
        <w:tc>
          <w:tcPr>
            <w:tcW w:w="3150" w:type="dxa"/>
            <w:shd w:val="clear" w:color="auto" w:fill="auto"/>
            <w:vAlign w:val="center"/>
          </w:tcPr>
          <w:p w:rsidR="00070FC5" w:rsidRPr="00CC73F3" w:rsidRDefault="00070FC5" w:rsidP="00D639F5">
            <w:pPr>
              <w:rPr>
                <w:rFonts w:eastAsia="Calibri"/>
              </w:rPr>
            </w:pPr>
            <w:r w:rsidRPr="00CC73F3">
              <w:rPr>
                <w:rFonts w:eastAsia="Calibri"/>
              </w:rPr>
              <w:t>43/92 (46.7%)</w:t>
            </w:r>
          </w:p>
        </w:tc>
      </w:tr>
      <w:tr w:rsidR="00070FC5" w:rsidRPr="00CC73F3" w:rsidTr="00D639F5">
        <w:trPr>
          <w:trHeight w:val="360"/>
          <w:jc w:val="center"/>
        </w:trPr>
        <w:tc>
          <w:tcPr>
            <w:tcW w:w="5886" w:type="dxa"/>
            <w:shd w:val="clear" w:color="auto" w:fill="auto"/>
            <w:vAlign w:val="center"/>
          </w:tcPr>
          <w:p w:rsidR="00070FC5" w:rsidRPr="00CC73F3" w:rsidRDefault="00070FC5" w:rsidP="00D639F5">
            <w:pPr>
              <w:rPr>
                <w:rFonts w:eastAsia="Calibri"/>
              </w:rPr>
            </w:pPr>
            <w:r w:rsidRPr="00CC73F3">
              <w:rPr>
                <w:rFonts w:eastAsia="Calibri"/>
              </w:rPr>
              <w:t>Negative Hits (Rejected 49</w:t>
            </w:r>
            <w:r w:rsidRPr="00CC73F3">
              <w:rPr>
                <w:rFonts w:eastAsia="Calibri"/>
                <w:vertAlign w:val="superscript"/>
              </w:rPr>
              <w:t>th</w:t>
            </w:r>
            <w:r w:rsidRPr="00CC73F3">
              <w:rPr>
                <w:rFonts w:eastAsia="Calibri"/>
              </w:rPr>
              <w:t xml:space="preserve"> percentile and below)</w:t>
            </w:r>
          </w:p>
        </w:tc>
        <w:tc>
          <w:tcPr>
            <w:tcW w:w="3150" w:type="dxa"/>
            <w:shd w:val="clear" w:color="auto" w:fill="auto"/>
            <w:vAlign w:val="center"/>
          </w:tcPr>
          <w:p w:rsidR="00070FC5" w:rsidRPr="00CC73F3" w:rsidRDefault="00070FC5" w:rsidP="00D639F5">
            <w:pPr>
              <w:rPr>
                <w:rFonts w:eastAsia="Calibri"/>
              </w:rPr>
            </w:pPr>
            <w:r w:rsidRPr="00CC73F3">
              <w:rPr>
                <w:rFonts w:eastAsia="Calibri"/>
              </w:rPr>
              <w:t>53/91 (58.2%)</w:t>
            </w:r>
          </w:p>
        </w:tc>
      </w:tr>
      <w:tr w:rsidR="00070FC5" w:rsidRPr="00CC73F3" w:rsidTr="00D639F5">
        <w:trPr>
          <w:trHeight w:val="360"/>
          <w:jc w:val="center"/>
        </w:trPr>
        <w:tc>
          <w:tcPr>
            <w:tcW w:w="5886" w:type="dxa"/>
            <w:tcBorders>
              <w:bottom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Total Correct Decisions (Positive and Negative Hits)</w:t>
            </w:r>
          </w:p>
        </w:tc>
        <w:tc>
          <w:tcPr>
            <w:tcW w:w="3150" w:type="dxa"/>
            <w:tcBorders>
              <w:bottom w:val="single" w:sz="18" w:space="0" w:color="auto"/>
            </w:tcBorders>
            <w:shd w:val="clear" w:color="auto" w:fill="auto"/>
            <w:vAlign w:val="center"/>
          </w:tcPr>
          <w:p w:rsidR="00070FC5" w:rsidRPr="00CC73F3" w:rsidRDefault="00070FC5" w:rsidP="00D639F5">
            <w:pPr>
              <w:rPr>
                <w:rFonts w:eastAsia="Calibri"/>
              </w:rPr>
            </w:pPr>
            <w:r w:rsidRPr="00CC73F3">
              <w:rPr>
                <w:rFonts w:eastAsia="Calibri"/>
              </w:rPr>
              <w:t>96/186 (51.3%)</w:t>
            </w:r>
          </w:p>
        </w:tc>
      </w:tr>
    </w:tbl>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szCs w:val="22"/>
        </w:rPr>
        <w:tab/>
        <w:t>The descriptive percentages for the categorical variables used in Study 3 are shown in Table 32. The firm accepted 84 of the 186 products reviewed (45.2%). In total, the firm made the correct development decision based on consumer willingness to purchase ratings 51.3% of the time. The firm accepted products they should have accepted 46.7% of the time and rejected products they should have rejected 58.2% of the time. Of the products that were reviewed, 30.1% of them were categorized as hedonic using the hedonic utilitarian ratings of the five independent consumer judges.</w:t>
      </w:r>
    </w:p>
    <w:p w:rsidR="00070FC5" w:rsidRPr="00CC73F3" w:rsidRDefault="00070FC5" w:rsidP="00D639F5">
      <w:pPr>
        <w:pStyle w:val="Heading2"/>
      </w:pPr>
    </w:p>
    <w:p w:rsidR="00070FC5" w:rsidRPr="00CC73F3" w:rsidRDefault="00070FC5" w:rsidP="00D639F5">
      <w:pPr>
        <w:pStyle w:val="Heading2"/>
      </w:pPr>
      <w:bookmarkStart w:id="130" w:name="_Toc420572629"/>
      <w:r w:rsidRPr="00CC73F3">
        <w:t>Analysis</w:t>
      </w:r>
      <w:bookmarkEnd w:id="130"/>
    </w:p>
    <w:p w:rsidR="00070FC5" w:rsidRPr="00CC73F3" w:rsidRDefault="00070FC5" w:rsidP="00D639F5">
      <w:pPr>
        <w:spacing w:line="480" w:lineRule="auto"/>
        <w:rPr>
          <w:rFonts w:eastAsia="Calibri"/>
          <w:szCs w:val="22"/>
        </w:rPr>
      </w:pPr>
      <w:r w:rsidRPr="00CC73F3">
        <w:rPr>
          <w:rFonts w:eastAsia="Calibri"/>
          <w:szCs w:val="22"/>
        </w:rPr>
        <w:tab/>
        <w:t>Since the dependent variables of interest were binomial (positive hit/miss or negative hit/miss), binary logistic regression was used to analyze the data. A concern in logistic regression, particularly with small samples, is that the model can overfit to the data, but be significantly less accurate when applied to a new random sample from the population. To help safeguard against this overfitting problem, a training sample of 80% of the total observations was used to create a logistic regression function that was applied to the remaining 20% holdout sample. If the correct classification percentage of the holdout sample is less than approximately 10% lower than the training sample, the model was deemed stable. If the model was deemed stable, the data was run again using the entire sample, the results of which were used to report beta coefficients and significance levels.</w:t>
      </w:r>
    </w:p>
    <w:p w:rsidR="00070FC5" w:rsidRPr="00CC73F3" w:rsidRDefault="00070FC5" w:rsidP="00D639F5">
      <w:pPr>
        <w:pStyle w:val="Heading2"/>
      </w:pPr>
    </w:p>
    <w:p w:rsidR="00070FC5" w:rsidRPr="00CC73F3" w:rsidRDefault="00070FC5" w:rsidP="00D639F5">
      <w:pPr>
        <w:pStyle w:val="Heading2"/>
      </w:pPr>
      <w:bookmarkStart w:id="131" w:name="_Toc420572630"/>
      <w:r w:rsidRPr="00CC73F3">
        <w:t>Study 3 Results</w:t>
      </w:r>
      <w:bookmarkEnd w:id="131"/>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i/>
          <w:szCs w:val="22"/>
        </w:rPr>
        <w:t>Hypothesis 4a, Hypothesis 5a, and Hypothesis 6a</w:t>
      </w:r>
      <w:r w:rsidRPr="00CC73F3">
        <w:rPr>
          <w:rFonts w:eastAsia="Calibri"/>
          <w:szCs w:val="22"/>
        </w:rPr>
        <w:t xml:space="preserve"> from Study 2 were tested in a field context in Study 3. The model used to test these three hypotheses is shown below in Table 33. Positive Hits is the dependent variable which was used. The model includes group regulatory focus, group reflexivity, product type, inventor expertise, and the inventor’s level of community connection as independent variables and regulatory focus by reflexivity as an interaction effect. </w:t>
      </w:r>
    </w:p>
    <w:p w:rsidR="00070FC5" w:rsidRPr="00CC73F3" w:rsidRDefault="00070FC5" w:rsidP="00D639F5">
      <w:pPr>
        <w:pStyle w:val="Caption"/>
        <w:rPr>
          <w:rFonts w:eastAsia="Calibri"/>
        </w:rPr>
      </w:pPr>
      <w:bookmarkStart w:id="132" w:name="_Toc420570958"/>
      <w:proofErr w:type="gramStart"/>
      <w:r w:rsidRPr="00CC73F3">
        <w:t xml:space="preserve">Table </w:t>
      </w:r>
      <w:fldSimple w:instr=" SEQ Table \* ARABIC ">
        <w:r w:rsidRPr="00CC73F3">
          <w:rPr>
            <w:noProof/>
          </w:rPr>
          <w:t>33</w:t>
        </w:r>
      </w:fldSimple>
      <w:r w:rsidRPr="00CC73F3">
        <w:rPr>
          <w:rFonts w:eastAsia="Calibri"/>
        </w:rPr>
        <w:t>.</w:t>
      </w:r>
      <w:proofErr w:type="gramEnd"/>
      <w:r w:rsidRPr="00CC73F3">
        <w:rPr>
          <w:rFonts w:eastAsia="Calibri"/>
        </w:rPr>
        <w:t xml:space="preserve"> Logistic Regression Model for H4a, H5a, and H6a - Positive Hits</w:t>
      </w:r>
      <w:bookmarkEnd w:id="132"/>
    </w:p>
    <w:p w:rsidR="00070FC5" w:rsidRPr="00CC73F3" w:rsidRDefault="00070FC5" w:rsidP="00D639F5">
      <w:pPr>
        <w:rPr>
          <w:rFonts w:eastAsia="Calibri"/>
          <w:szCs w:val="22"/>
        </w:rPr>
      </w:pPr>
    </w:p>
    <w:tbl>
      <w:tblPr>
        <w:tblW w:w="0" w:type="auto"/>
        <w:jc w:val="center"/>
        <w:tblLook w:val="04A0" w:firstRow="1" w:lastRow="0" w:firstColumn="1" w:lastColumn="0" w:noHBand="0" w:noVBand="1"/>
      </w:tblPr>
      <w:tblGrid>
        <w:gridCol w:w="4392"/>
        <w:gridCol w:w="1386"/>
        <w:gridCol w:w="1507"/>
      </w:tblGrid>
      <w:tr w:rsidR="00070FC5" w:rsidRPr="00CC73F3" w:rsidTr="00D639F5">
        <w:trPr>
          <w:jc w:val="center"/>
        </w:trPr>
        <w:tc>
          <w:tcPr>
            <w:tcW w:w="4392"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Model Term</w:t>
            </w:r>
          </w:p>
        </w:tc>
        <w:tc>
          <w:tcPr>
            <w:tcW w:w="1386"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p>
        </w:tc>
        <w:tc>
          <w:tcPr>
            <w:tcW w:w="1507"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Coefficient</w:t>
            </w:r>
          </w:p>
        </w:tc>
      </w:tr>
      <w:tr w:rsidR="00070FC5" w:rsidRPr="00CC73F3" w:rsidTr="00D639F5">
        <w:trPr>
          <w:jc w:val="center"/>
        </w:trPr>
        <w:tc>
          <w:tcPr>
            <w:tcW w:w="4392" w:type="dxa"/>
            <w:tcBorders>
              <w:top w:val="single" w:sz="18" w:space="0" w:color="auto"/>
            </w:tcBorders>
            <w:shd w:val="clear" w:color="auto" w:fill="auto"/>
          </w:tcPr>
          <w:p w:rsidR="00070FC5" w:rsidRPr="00CC73F3" w:rsidRDefault="00070FC5" w:rsidP="00D639F5">
            <w:pPr>
              <w:rPr>
                <w:rFonts w:eastAsia="Calibri"/>
                <w:b/>
              </w:rPr>
            </w:pPr>
            <w:r w:rsidRPr="00CC73F3">
              <w:rPr>
                <w:rFonts w:eastAsia="Calibri"/>
                <w:b/>
              </w:rPr>
              <w:t>Constant</w:t>
            </w:r>
          </w:p>
        </w:tc>
        <w:tc>
          <w:tcPr>
            <w:tcW w:w="1386" w:type="dxa"/>
            <w:tcBorders>
              <w:top w:val="single" w:sz="18" w:space="0" w:color="auto"/>
            </w:tcBorders>
            <w:shd w:val="clear" w:color="auto" w:fill="auto"/>
          </w:tcPr>
          <w:p w:rsidR="00070FC5" w:rsidRPr="00CC73F3" w:rsidRDefault="00070FC5" w:rsidP="00D639F5">
            <w:pPr>
              <w:jc w:val="center"/>
              <w:rPr>
                <w:rFonts w:eastAsia="Calibri"/>
                <w:b/>
              </w:rPr>
            </w:pPr>
          </w:p>
        </w:tc>
        <w:tc>
          <w:tcPr>
            <w:tcW w:w="1507"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-4.503**</w:t>
            </w: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Main Effects</w:t>
            </w:r>
          </w:p>
        </w:tc>
        <w:tc>
          <w:tcPr>
            <w:tcW w:w="1386" w:type="dxa"/>
            <w:shd w:val="clear" w:color="auto" w:fill="auto"/>
          </w:tcPr>
          <w:p w:rsidR="00070FC5" w:rsidRPr="00CC73F3" w:rsidRDefault="00070FC5" w:rsidP="00D639F5">
            <w:pPr>
              <w:rPr>
                <w:rFonts w:eastAsia="Calibri"/>
                <w:b/>
              </w:rPr>
            </w:pPr>
          </w:p>
        </w:tc>
        <w:tc>
          <w:tcPr>
            <w:tcW w:w="1507" w:type="dxa"/>
            <w:shd w:val="clear" w:color="auto" w:fill="auto"/>
          </w:tcPr>
          <w:p w:rsidR="00070FC5" w:rsidRPr="00CC73F3" w:rsidRDefault="00070FC5" w:rsidP="00D639F5">
            <w:pPr>
              <w:rPr>
                <w:rFonts w:eastAsia="Calibri"/>
                <w:b/>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Group Regulatory Focus</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2.744*</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Group Reflexivity</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1.767*</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Inventor Expertise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.001</w:t>
            </w:r>
          </w:p>
        </w:tc>
      </w:tr>
      <w:tr w:rsidR="00070FC5" w:rsidRPr="00CC73F3" w:rsidTr="00D639F5">
        <w:trPr>
          <w:jc w:val="center"/>
        </w:trPr>
        <w:tc>
          <w:tcPr>
            <w:tcW w:w="4392" w:type="dxa"/>
            <w:shd w:val="clear" w:color="auto" w:fill="auto"/>
          </w:tcPr>
          <w:p w:rsidR="00070FC5" w:rsidRPr="00CC73F3" w:rsidRDefault="00070FC5" w:rsidP="00D639F5">
            <w:pPr>
              <w:rPr>
                <w:rFonts w:eastAsia="Calibri"/>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Interaction Term</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Regulatory Focus * Reflexivity</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-1.223*</w:t>
            </w:r>
          </w:p>
        </w:tc>
      </w:tr>
      <w:tr w:rsidR="00070FC5" w:rsidRPr="00CC73F3" w:rsidTr="00D639F5">
        <w:trPr>
          <w:jc w:val="center"/>
        </w:trPr>
        <w:tc>
          <w:tcPr>
            <w:tcW w:w="4392" w:type="dxa"/>
            <w:shd w:val="clear" w:color="auto" w:fill="auto"/>
          </w:tcPr>
          <w:p w:rsidR="00070FC5" w:rsidRPr="00CC73F3" w:rsidRDefault="00070FC5" w:rsidP="00D639F5">
            <w:pPr>
              <w:rPr>
                <w:rFonts w:eastAsia="Calibri"/>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Controls</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Discussion Time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-.003</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Evaluation Order</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-.037</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Product Type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.270</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Inventor Community Connection</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-.002</w:t>
            </w:r>
          </w:p>
        </w:tc>
      </w:tr>
      <w:tr w:rsidR="00070FC5" w:rsidRPr="00CC73F3" w:rsidTr="00D639F5">
        <w:trPr>
          <w:jc w:val="center"/>
        </w:trPr>
        <w:tc>
          <w:tcPr>
            <w:tcW w:w="4392" w:type="dxa"/>
            <w:shd w:val="clear" w:color="auto" w:fill="auto"/>
          </w:tcPr>
          <w:p w:rsidR="00070FC5" w:rsidRPr="00CC73F3" w:rsidRDefault="00070FC5" w:rsidP="00D639F5">
            <w:pPr>
              <w:rPr>
                <w:rFonts w:eastAsia="Calibri"/>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-2 Log likelihood</w:t>
            </w:r>
          </w:p>
        </w:tc>
        <w:tc>
          <w:tcPr>
            <w:tcW w:w="1507" w:type="dxa"/>
            <w:shd w:val="clear" w:color="auto" w:fill="auto"/>
          </w:tcPr>
          <w:p w:rsidR="00070FC5" w:rsidRPr="00CC73F3" w:rsidRDefault="00070FC5" w:rsidP="00D639F5">
            <w:pPr>
              <w:jc w:val="center"/>
              <w:rPr>
                <w:rFonts w:eastAsia="Calibri"/>
              </w:rPr>
            </w:pPr>
            <w:r w:rsidRPr="00CC73F3">
              <w:rPr>
                <w:rFonts w:eastAsia="Calibri"/>
              </w:rPr>
              <w:t>186.702</w:t>
            </w: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Hosmer and Lemeshow Goodness-of-Fit (d.f. = 8)</w:t>
            </w:r>
          </w:p>
        </w:tc>
        <w:tc>
          <w:tcPr>
            <w:tcW w:w="1507" w:type="dxa"/>
            <w:shd w:val="clear" w:color="auto" w:fill="auto"/>
          </w:tcPr>
          <w:p w:rsidR="00070FC5" w:rsidRPr="00CC73F3" w:rsidRDefault="00070FC5" w:rsidP="00D639F5">
            <w:pPr>
              <w:jc w:val="center"/>
              <w:rPr>
                <w:rFonts w:eastAsia="Calibri"/>
              </w:rPr>
            </w:pPr>
            <w:r w:rsidRPr="00CC73F3">
              <w:rPr>
                <w:rFonts w:eastAsia="Calibri"/>
              </w:rPr>
              <w:t>14.459</w:t>
            </w: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Nagelkerke R</w:t>
            </w:r>
            <w:r w:rsidRPr="00CC73F3">
              <w:rPr>
                <w:rFonts w:eastAsia="Calibri"/>
                <w:b/>
                <w:vertAlign w:val="superscript"/>
              </w:rPr>
              <w:t>2</w:t>
            </w:r>
          </w:p>
        </w:tc>
        <w:tc>
          <w:tcPr>
            <w:tcW w:w="1507" w:type="dxa"/>
            <w:shd w:val="clear" w:color="auto" w:fill="auto"/>
          </w:tcPr>
          <w:p w:rsidR="00070FC5" w:rsidRPr="00CC73F3" w:rsidRDefault="00070FC5" w:rsidP="00D639F5">
            <w:pPr>
              <w:jc w:val="center"/>
              <w:rPr>
                <w:rFonts w:eastAsia="Calibri"/>
              </w:rPr>
            </w:pPr>
            <w:r w:rsidRPr="00CC73F3">
              <w:rPr>
                <w:rFonts w:eastAsia="Calibri"/>
              </w:rPr>
              <w:t>.123</w:t>
            </w:r>
          </w:p>
        </w:tc>
      </w:tr>
      <w:tr w:rsidR="00070FC5" w:rsidRPr="00CC73F3" w:rsidTr="00D639F5">
        <w:trPr>
          <w:jc w:val="center"/>
        </w:trPr>
        <w:tc>
          <w:tcPr>
            <w:tcW w:w="5778" w:type="dxa"/>
            <w:gridSpan w:val="2"/>
            <w:tcBorders>
              <w:bottom w:val="single" w:sz="18" w:space="0" w:color="auto"/>
            </w:tcBorders>
            <w:shd w:val="clear" w:color="auto" w:fill="auto"/>
          </w:tcPr>
          <w:p w:rsidR="00070FC5" w:rsidRPr="00CC73F3" w:rsidRDefault="00070FC5" w:rsidP="00D639F5">
            <w:pPr>
              <w:jc w:val="right"/>
              <w:rPr>
                <w:rFonts w:eastAsia="Calibri"/>
              </w:rPr>
            </w:pPr>
            <w:r w:rsidRPr="00CC73F3">
              <w:rPr>
                <w:rFonts w:eastAsia="Calibri"/>
                <w:b/>
              </w:rPr>
              <w:t>Classification Percentage</w:t>
            </w:r>
          </w:p>
        </w:tc>
        <w:tc>
          <w:tcPr>
            <w:tcW w:w="1507"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78%</w:t>
            </w:r>
          </w:p>
        </w:tc>
      </w:tr>
      <w:tr w:rsidR="00070FC5" w:rsidRPr="00CC73F3" w:rsidTr="00D639F5">
        <w:trPr>
          <w:jc w:val="center"/>
        </w:trPr>
        <w:tc>
          <w:tcPr>
            <w:tcW w:w="7285" w:type="dxa"/>
            <w:gridSpan w:val="3"/>
            <w:tcBorders>
              <w:top w:val="single" w:sz="18" w:space="0" w:color="auto"/>
            </w:tcBorders>
            <w:shd w:val="clear" w:color="auto" w:fill="auto"/>
          </w:tcPr>
          <w:p w:rsidR="00070FC5" w:rsidRPr="00CC73F3" w:rsidRDefault="00070FC5" w:rsidP="00D639F5">
            <w:pPr>
              <w:contextualSpacing/>
              <w:rPr>
                <w:rFonts w:eastAsia="Calibri"/>
              </w:rPr>
            </w:pPr>
            <w:r w:rsidRPr="00CC73F3">
              <w:rPr>
                <w:rFonts w:eastAsia="Calibri"/>
              </w:rPr>
              <w:t>*p&lt;.05</w:t>
            </w:r>
          </w:p>
          <w:p w:rsidR="00070FC5" w:rsidRPr="00CC73F3" w:rsidRDefault="00070FC5" w:rsidP="00D639F5">
            <w:pPr>
              <w:contextualSpacing/>
              <w:rPr>
                <w:rFonts w:eastAsia="Calibri"/>
              </w:rPr>
            </w:pPr>
            <w:r w:rsidRPr="00CC73F3">
              <w:rPr>
                <w:rFonts w:eastAsia="Calibri"/>
              </w:rPr>
              <w:t>**p&lt;.01</w:t>
            </w:r>
          </w:p>
        </w:tc>
      </w:tr>
    </w:tbl>
    <w:p w:rsidR="00070FC5" w:rsidRPr="00CC73F3" w:rsidRDefault="00070FC5" w:rsidP="00D639F5">
      <w:pPr>
        <w:spacing w:line="480" w:lineRule="auto"/>
        <w:rPr>
          <w:rFonts w:eastAsia="Calibri"/>
          <w:szCs w:val="22"/>
        </w:rPr>
      </w:pPr>
      <w:r w:rsidRPr="00CC73F3">
        <w:rPr>
          <w:rFonts w:eastAsia="Calibri"/>
          <w:szCs w:val="22"/>
        </w:rPr>
        <w:tab/>
      </w:r>
    </w:p>
    <w:p w:rsidR="00070FC5" w:rsidRPr="00CC73F3" w:rsidRDefault="00070FC5" w:rsidP="00D639F5">
      <w:pPr>
        <w:spacing w:line="480" w:lineRule="auto"/>
        <w:rPr>
          <w:rFonts w:eastAsia="Calibri"/>
          <w:szCs w:val="22"/>
        </w:rPr>
      </w:pPr>
      <w:r w:rsidRPr="00CC73F3">
        <w:rPr>
          <w:rFonts w:eastAsia="Calibri"/>
          <w:szCs w:val="22"/>
        </w:rPr>
        <w:t xml:space="preserve">Control variables include the total time of discussion and the order in which each product was reviewed compared to other products evaluated in the same evaluation meeting. The model was run using a training sample (80%) and a holdout sample (20%). For this model, the training sample had </w:t>
      </w:r>
      <w:proofErr w:type="gramStart"/>
      <w:r w:rsidRPr="00CC73F3">
        <w:rPr>
          <w:rFonts w:eastAsia="Calibri"/>
          <w:szCs w:val="22"/>
        </w:rPr>
        <w:t>a 78.1</w:t>
      </w:r>
      <w:proofErr w:type="gramEnd"/>
      <w:r w:rsidRPr="00CC73F3">
        <w:rPr>
          <w:rFonts w:eastAsia="Calibri"/>
          <w:szCs w:val="22"/>
        </w:rPr>
        <w:t>% classification accuracy and the holdout sample had a 74.3% classification accuracy, indicating that the model was not overfitting to the data. The model was then run using the entire sample, which had a classification accuracy of 78%. The Hosmer and Lemeshow Goodness-of-Fit test for logistic regression equations was not significant (</w:t>
      </w:r>
      <w:r w:rsidRPr="00CC73F3">
        <w:rPr>
          <w:rFonts w:eastAsia="Calibri"/>
          <w:i/>
          <w:szCs w:val="22"/>
        </w:rPr>
        <w:t>χ</w:t>
      </w:r>
      <w:r w:rsidRPr="00CC73F3">
        <w:rPr>
          <w:rFonts w:eastAsia="Calibri"/>
          <w:i/>
          <w:szCs w:val="22"/>
          <w:vertAlign w:val="superscript"/>
        </w:rPr>
        <w:t>2</w:t>
      </w:r>
      <w:r w:rsidRPr="00CC73F3">
        <w:rPr>
          <w:rFonts w:eastAsia="Calibri"/>
          <w:szCs w:val="22"/>
        </w:rPr>
        <w:t xml:space="preserve"> = 14.459, </w:t>
      </w:r>
      <w:r w:rsidRPr="00CC73F3">
        <w:rPr>
          <w:rFonts w:eastAsia="Calibri"/>
          <w:i/>
          <w:szCs w:val="22"/>
        </w:rPr>
        <w:t>p</w:t>
      </w:r>
      <w:r w:rsidRPr="00CC73F3">
        <w:rPr>
          <w:rFonts w:eastAsia="Calibri"/>
          <w:szCs w:val="22"/>
        </w:rPr>
        <w:t xml:space="preserve"> = .071), indicating the model had acceptable fit </w:t>
      </w:r>
      <w:r w:rsidRPr="00CC73F3">
        <w:rPr>
          <w:rFonts w:eastAsia="Calibri"/>
          <w:noProof/>
          <w:szCs w:val="22"/>
        </w:rPr>
        <w:t>(Hosmer Jr, Lemeshow, &amp; Sturdivant, 2013)</w:t>
      </w:r>
      <w:r w:rsidRPr="00CC73F3">
        <w:rPr>
          <w:rFonts w:eastAsia="Calibri"/>
          <w:szCs w:val="22"/>
        </w:rPr>
        <w:t>.</w:t>
      </w:r>
    </w:p>
    <w:p w:rsidR="00070FC5" w:rsidRPr="00CC73F3" w:rsidRDefault="00070FC5" w:rsidP="00D639F5">
      <w:pPr>
        <w:spacing w:line="480" w:lineRule="auto"/>
        <w:rPr>
          <w:rFonts w:eastAsia="Calibri"/>
          <w:szCs w:val="22"/>
        </w:rPr>
      </w:pPr>
      <w:r w:rsidRPr="00CC73F3">
        <w:rPr>
          <w:rFonts w:eastAsia="Calibri"/>
          <w:i/>
          <w:szCs w:val="22"/>
        </w:rPr>
        <w:tab/>
        <w:t>H4a</w:t>
      </w:r>
      <w:r w:rsidRPr="00CC73F3">
        <w:rPr>
          <w:rFonts w:eastAsia="Calibri"/>
          <w:szCs w:val="22"/>
        </w:rPr>
        <w:t xml:space="preserve"> states that prevention-oriented teams will have more positive hits than promotion oriented teams. The result was significant but in the opposite direction (B = 2.74, p &lt;.05). Being promotion-oriented during the firm’s development discussions was positively associated with the likelihood of achieving a positive hit, or accepting a product that was rated by consumers in the 51</w:t>
      </w:r>
      <w:r w:rsidRPr="00CC73F3">
        <w:rPr>
          <w:rFonts w:eastAsia="Calibri"/>
          <w:szCs w:val="22"/>
          <w:vertAlign w:val="superscript"/>
        </w:rPr>
        <w:t>st</w:t>
      </w:r>
      <w:r w:rsidRPr="00CC73F3">
        <w:rPr>
          <w:rFonts w:eastAsia="Calibri"/>
          <w:szCs w:val="22"/>
        </w:rPr>
        <w:t xml:space="preserve"> percentile or higher on the willingness to purchase measure. As such, </w:t>
      </w:r>
      <w:r w:rsidRPr="00CC73F3">
        <w:rPr>
          <w:rFonts w:eastAsia="Calibri"/>
          <w:i/>
          <w:szCs w:val="22"/>
        </w:rPr>
        <w:t>Hypothesis 4a</w:t>
      </w:r>
      <w:r w:rsidRPr="00CC73F3">
        <w:rPr>
          <w:rFonts w:eastAsia="Calibri"/>
          <w:szCs w:val="22"/>
        </w:rPr>
        <w:t xml:space="preserve"> is not supported.</w:t>
      </w:r>
    </w:p>
    <w:p w:rsidR="00070FC5" w:rsidRPr="00CC73F3" w:rsidRDefault="00070FC5" w:rsidP="00D639F5">
      <w:pPr>
        <w:spacing w:line="480" w:lineRule="auto"/>
        <w:rPr>
          <w:rFonts w:eastAsia="Calibri"/>
          <w:szCs w:val="22"/>
        </w:rPr>
      </w:pPr>
      <w:r w:rsidRPr="00CC73F3">
        <w:rPr>
          <w:rFonts w:eastAsia="Calibri"/>
          <w:i/>
          <w:szCs w:val="22"/>
        </w:rPr>
        <w:tab/>
        <w:t>H5a</w:t>
      </w:r>
      <w:r w:rsidRPr="00CC73F3">
        <w:rPr>
          <w:rFonts w:eastAsia="Calibri"/>
          <w:szCs w:val="22"/>
        </w:rPr>
        <w:t xml:space="preserve"> states that highly reflexive teams will have more positive hits than team with low levels of reflexivity. The result was positive and significant in the hypothesized direction (B = </w:t>
      </w:r>
      <w:proofErr w:type="gramStart"/>
      <w:r w:rsidRPr="00CC73F3">
        <w:rPr>
          <w:rFonts w:eastAsia="Calibri"/>
          <w:szCs w:val="22"/>
        </w:rPr>
        <w:t>1.77 ,</w:t>
      </w:r>
      <w:proofErr w:type="gramEnd"/>
      <w:r w:rsidRPr="00CC73F3">
        <w:rPr>
          <w:rFonts w:eastAsia="Calibri"/>
          <w:szCs w:val="22"/>
        </w:rPr>
        <w:t xml:space="preserve"> p &lt;.05). Being more reflexive during the firm’s development discussions was positively associated with the likelihood of achieving a positive hit, or accepting a product that was rated by consumers in the 51</w:t>
      </w:r>
      <w:r w:rsidRPr="00CC73F3">
        <w:rPr>
          <w:rFonts w:eastAsia="Calibri"/>
          <w:szCs w:val="22"/>
          <w:vertAlign w:val="superscript"/>
        </w:rPr>
        <w:t>st</w:t>
      </w:r>
      <w:r w:rsidRPr="00CC73F3">
        <w:rPr>
          <w:rFonts w:eastAsia="Calibri"/>
          <w:szCs w:val="22"/>
        </w:rPr>
        <w:t xml:space="preserve"> percentile or higher on the willingness to purchase measure. Based on this result, </w:t>
      </w:r>
      <w:r w:rsidRPr="00CC73F3">
        <w:rPr>
          <w:rFonts w:eastAsia="Calibri"/>
          <w:i/>
          <w:szCs w:val="22"/>
        </w:rPr>
        <w:t>Hypothesis 5a</w:t>
      </w:r>
      <w:r w:rsidRPr="00CC73F3">
        <w:rPr>
          <w:rFonts w:eastAsia="Calibri"/>
          <w:szCs w:val="22"/>
        </w:rPr>
        <w:t xml:space="preserve"> is supported.</w:t>
      </w:r>
    </w:p>
    <w:p w:rsidR="00070FC5" w:rsidRPr="00CC73F3" w:rsidRDefault="00070FC5" w:rsidP="00D639F5">
      <w:pPr>
        <w:spacing w:line="480" w:lineRule="auto"/>
        <w:rPr>
          <w:rFonts w:eastAsia="Calibri"/>
          <w:szCs w:val="22"/>
        </w:rPr>
      </w:pPr>
      <w:r w:rsidRPr="00CC73F3">
        <w:rPr>
          <w:rFonts w:eastAsia="Calibri"/>
          <w:i/>
          <w:szCs w:val="22"/>
        </w:rPr>
        <w:tab/>
        <w:t>H6a</w:t>
      </w:r>
      <w:r w:rsidRPr="00CC73F3">
        <w:rPr>
          <w:rFonts w:eastAsia="Calibri"/>
          <w:szCs w:val="22"/>
        </w:rPr>
        <w:t xml:space="preserve"> states that reflexivity will have a more positive effect on prevention-oriented teams than on promotion-oriented teams with respect to positive hit rates. The result of the interaction was negative and significant (B = -1.22, p &lt;.05). When reflexivity is low, promotion-oriented teams have a higher probability of making a positive hit decision than prevention-oriented teams. However, when reflexivity is high, prevention-oriented teams have a higher probability of making a positive hit decision. As such, </w:t>
      </w:r>
      <w:r w:rsidRPr="00CC73F3">
        <w:rPr>
          <w:rFonts w:eastAsia="Calibri"/>
          <w:i/>
          <w:szCs w:val="22"/>
        </w:rPr>
        <w:t>Hypothesis 6a</w:t>
      </w:r>
      <w:r w:rsidRPr="00CC73F3">
        <w:rPr>
          <w:rFonts w:eastAsia="Calibri"/>
          <w:szCs w:val="22"/>
        </w:rPr>
        <w:t xml:space="preserve"> is supported. The graph of the interaction is shown in Figure 8.</w:t>
      </w:r>
    </w:p>
    <w:p w:rsidR="00070FC5" w:rsidRPr="00CC73F3" w:rsidRDefault="007E2E0A" w:rsidP="00D639F5">
      <w:pPr>
        <w:spacing w:line="480" w:lineRule="auto"/>
        <w:jc w:val="center"/>
        <w:rPr>
          <w:rFonts w:eastAsia="Calibri"/>
          <w:noProof/>
          <w:szCs w:val="22"/>
        </w:rPr>
      </w:pPr>
      <w:r>
        <w:pict>
          <v:shape id="_x0000_i1035" type="#_x0000_t75" style="width:468pt;height:242.25pt;visibility:visible">
            <v:imagedata r:id="rId21" o:title=""/>
          </v:shape>
        </w:pict>
      </w:r>
    </w:p>
    <w:p w:rsidR="00070FC5" w:rsidRPr="00CC73F3" w:rsidRDefault="00070FC5" w:rsidP="00D639F5">
      <w:pPr>
        <w:pStyle w:val="Caption"/>
        <w:rPr>
          <w:rFonts w:eastAsia="Calibri"/>
        </w:rPr>
      </w:pPr>
      <w:bookmarkStart w:id="133" w:name="_Toc420524238"/>
      <w:proofErr w:type="gramStart"/>
      <w:r w:rsidRPr="00CC73F3">
        <w:t xml:space="preserve">Figure </w:t>
      </w:r>
      <w:fldSimple w:instr=" SEQ Figure \* ARABIC ">
        <w:r w:rsidRPr="00CC73F3">
          <w:rPr>
            <w:noProof/>
          </w:rPr>
          <w:t>8</w:t>
        </w:r>
      </w:fldSimple>
      <w:r w:rsidRPr="00CC73F3">
        <w:rPr>
          <w:rFonts w:eastAsia="Calibri"/>
        </w:rPr>
        <w:t>.</w:t>
      </w:r>
      <w:proofErr w:type="gramEnd"/>
      <w:r w:rsidRPr="00CC73F3">
        <w:rPr>
          <w:rFonts w:eastAsia="Calibri"/>
        </w:rPr>
        <w:t xml:space="preserve"> Interaction between Regulatory Focus and Reflexivity</w:t>
      </w:r>
      <w:bookmarkEnd w:id="133"/>
    </w:p>
    <w:p w:rsidR="00070FC5" w:rsidRPr="00CC73F3" w:rsidRDefault="00070FC5" w:rsidP="00D639F5">
      <w:pPr>
        <w:spacing w:line="480" w:lineRule="auto"/>
        <w:rPr>
          <w:rFonts w:eastAsia="Calibri"/>
          <w:szCs w:val="22"/>
        </w:rPr>
      </w:pPr>
      <w:r w:rsidRPr="00CC73F3">
        <w:rPr>
          <w:rFonts w:eastAsia="Calibri"/>
          <w:i/>
          <w:szCs w:val="22"/>
        </w:rPr>
        <w:tab/>
      </w:r>
    </w:p>
    <w:p w:rsidR="00070FC5" w:rsidRPr="00CC73F3" w:rsidRDefault="00070FC5" w:rsidP="00D639F5">
      <w:pPr>
        <w:spacing w:line="480" w:lineRule="auto"/>
        <w:rPr>
          <w:rFonts w:eastAsia="Calibri"/>
          <w:szCs w:val="22"/>
        </w:rPr>
      </w:pPr>
      <w:r w:rsidRPr="00CC73F3">
        <w:rPr>
          <w:rFonts w:eastAsia="Calibri"/>
          <w:i/>
          <w:szCs w:val="22"/>
        </w:rPr>
        <w:tab/>
        <w:t>Hypothesis 4b, Hypothesis 5b, and Hypothesis 6b</w:t>
      </w:r>
      <w:r w:rsidRPr="00CC73F3">
        <w:rPr>
          <w:rFonts w:eastAsia="Calibri"/>
          <w:szCs w:val="22"/>
        </w:rPr>
        <w:t xml:space="preserve"> from Study 2 were also tested in a field setting in Study 3.  Negative Hits is the dependent variable in this model. The model (shown in Table 34) includes group regulatory focus, group reflexivity, product type, inventor expertise, and the inventor’s level of community connection as independent variables, and the interaction between regulatory and reflexivity. Control variables include the time of discussion and the order in which each product was reviewed compared to other products evaluated in the same meeting. The training sample correct classification rate was 74.8%</w:t>
      </w:r>
      <w:proofErr w:type="gramStart"/>
      <w:r w:rsidRPr="00CC73F3">
        <w:rPr>
          <w:rFonts w:eastAsia="Calibri"/>
          <w:szCs w:val="22"/>
        </w:rPr>
        <w:t>,</w:t>
      </w:r>
      <w:proofErr w:type="gramEnd"/>
      <w:r w:rsidRPr="00CC73F3">
        <w:rPr>
          <w:rFonts w:eastAsia="Calibri"/>
          <w:szCs w:val="22"/>
        </w:rPr>
        <w:t xml:space="preserve"> the holdout sample rate was 60%, indicating the logistic regression equation likely overfit to the training sample. The correct classification rate of the entire sample was 72.6%. </w:t>
      </w: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i/>
          <w:szCs w:val="22"/>
        </w:rPr>
        <w:t>H4b</w:t>
      </w:r>
      <w:r w:rsidRPr="00CC73F3">
        <w:rPr>
          <w:rFonts w:eastAsia="Calibri"/>
          <w:szCs w:val="22"/>
        </w:rPr>
        <w:t xml:space="preserve"> states that prevention-oriented teams will have more negative hits than promotion oriented teams. The result was not significant (B = -.715, p = .368), indicating </w:t>
      </w:r>
      <w:r w:rsidRPr="00CC73F3">
        <w:rPr>
          <w:rFonts w:eastAsia="Calibri"/>
          <w:i/>
          <w:szCs w:val="22"/>
        </w:rPr>
        <w:t>Hypothesis 4b</w:t>
      </w:r>
      <w:r w:rsidRPr="00CC73F3">
        <w:rPr>
          <w:rFonts w:eastAsia="Calibri"/>
          <w:szCs w:val="22"/>
        </w:rPr>
        <w:t xml:space="preserve"> is not supported. </w:t>
      </w:r>
      <w:r w:rsidRPr="00CC73F3">
        <w:rPr>
          <w:rFonts w:eastAsia="Calibri"/>
          <w:i/>
          <w:szCs w:val="22"/>
        </w:rPr>
        <w:t>H5b</w:t>
      </w:r>
      <w:r w:rsidRPr="00CC73F3">
        <w:rPr>
          <w:rFonts w:eastAsia="Calibri"/>
          <w:szCs w:val="22"/>
        </w:rPr>
        <w:t xml:space="preserve"> states that highly reflexive teams will have more negative hits than teams with low levels of reflexivity. The result was not significant (B = -.282, p = .630). Based on this finding, </w:t>
      </w:r>
      <w:r w:rsidRPr="00CC73F3">
        <w:rPr>
          <w:rFonts w:eastAsia="Calibri"/>
          <w:i/>
          <w:szCs w:val="22"/>
        </w:rPr>
        <w:t>Hypothesis 5b</w:t>
      </w:r>
      <w:r w:rsidRPr="00CC73F3">
        <w:rPr>
          <w:rFonts w:eastAsia="Calibri"/>
          <w:szCs w:val="22"/>
        </w:rPr>
        <w:t xml:space="preserve"> is not supported. </w:t>
      </w:r>
      <w:r w:rsidRPr="00CC73F3">
        <w:rPr>
          <w:rFonts w:eastAsia="Calibri"/>
          <w:i/>
          <w:szCs w:val="22"/>
        </w:rPr>
        <w:t xml:space="preserve">H6b </w:t>
      </w:r>
      <w:r w:rsidRPr="00CC73F3">
        <w:rPr>
          <w:rFonts w:eastAsia="Calibri"/>
          <w:szCs w:val="22"/>
        </w:rPr>
        <w:t xml:space="preserve">states that reflexivity will have a more positive effect on prevention-oriented teams than on promotion-oriented teams with respect to negative hits. The result of the interaction was not significant (B = .340, p = .296). Given this finding, </w:t>
      </w:r>
      <w:r w:rsidRPr="00CC73F3">
        <w:rPr>
          <w:rFonts w:eastAsia="Calibri"/>
          <w:i/>
          <w:szCs w:val="22"/>
        </w:rPr>
        <w:t xml:space="preserve">Hypothesis 6b </w:t>
      </w:r>
      <w:r w:rsidRPr="00CC73F3">
        <w:rPr>
          <w:rFonts w:eastAsia="Calibri"/>
          <w:szCs w:val="22"/>
        </w:rPr>
        <w:t>is also not supported.</w:t>
      </w:r>
    </w:p>
    <w:p w:rsidR="00070FC5" w:rsidRPr="00CC73F3" w:rsidRDefault="00070FC5" w:rsidP="00D639F5">
      <w:pPr>
        <w:rPr>
          <w:rFonts w:eastAsia="Calibri"/>
          <w:szCs w:val="22"/>
        </w:rPr>
      </w:pPr>
    </w:p>
    <w:p w:rsidR="00070FC5" w:rsidRPr="00CC73F3" w:rsidRDefault="00070FC5" w:rsidP="00D639F5">
      <w:pPr>
        <w:rPr>
          <w:rFonts w:eastAsia="Calibri"/>
          <w:szCs w:val="22"/>
        </w:rPr>
      </w:pPr>
    </w:p>
    <w:p w:rsidR="00070FC5" w:rsidRPr="00CC73F3" w:rsidRDefault="00070FC5" w:rsidP="00D639F5">
      <w:pPr>
        <w:pStyle w:val="Caption"/>
        <w:rPr>
          <w:rFonts w:eastAsia="Calibri"/>
        </w:rPr>
      </w:pPr>
      <w:bookmarkStart w:id="134" w:name="_Toc420570959"/>
      <w:proofErr w:type="gramStart"/>
      <w:r w:rsidRPr="00CC73F3">
        <w:t xml:space="preserve">Table </w:t>
      </w:r>
      <w:fldSimple w:instr=" SEQ Table \* ARABIC ">
        <w:r w:rsidRPr="00CC73F3">
          <w:rPr>
            <w:noProof/>
          </w:rPr>
          <w:t>34</w:t>
        </w:r>
      </w:fldSimple>
      <w:r w:rsidRPr="00CC73F3">
        <w:rPr>
          <w:rFonts w:eastAsia="Calibri"/>
        </w:rPr>
        <w:t>.</w:t>
      </w:r>
      <w:proofErr w:type="gramEnd"/>
      <w:r w:rsidRPr="00CC73F3">
        <w:rPr>
          <w:rFonts w:eastAsia="Calibri"/>
        </w:rPr>
        <w:t xml:space="preserve"> Logistic Regression Model for H4a, H5a, and H6a - Negative Hits</w:t>
      </w:r>
      <w:bookmarkEnd w:id="134"/>
    </w:p>
    <w:p w:rsidR="00070FC5" w:rsidRPr="00CC73F3" w:rsidRDefault="00070FC5" w:rsidP="00D639F5">
      <w:pPr>
        <w:jc w:val="center"/>
        <w:rPr>
          <w:rFonts w:eastAsia="Calibri"/>
          <w:b/>
          <w:i/>
          <w:szCs w:val="22"/>
        </w:rPr>
      </w:pPr>
    </w:p>
    <w:tbl>
      <w:tblPr>
        <w:tblW w:w="0" w:type="auto"/>
        <w:jc w:val="center"/>
        <w:tblLook w:val="04A0" w:firstRow="1" w:lastRow="0" w:firstColumn="1" w:lastColumn="0" w:noHBand="0" w:noVBand="1"/>
      </w:tblPr>
      <w:tblGrid>
        <w:gridCol w:w="4392"/>
        <w:gridCol w:w="1386"/>
        <w:gridCol w:w="1507"/>
      </w:tblGrid>
      <w:tr w:rsidR="00070FC5" w:rsidRPr="00CC73F3" w:rsidTr="00D639F5">
        <w:trPr>
          <w:jc w:val="center"/>
        </w:trPr>
        <w:tc>
          <w:tcPr>
            <w:tcW w:w="4392"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Model Term</w:t>
            </w:r>
          </w:p>
        </w:tc>
        <w:tc>
          <w:tcPr>
            <w:tcW w:w="1386"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p>
        </w:tc>
        <w:tc>
          <w:tcPr>
            <w:tcW w:w="1507"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Coefficient*</w:t>
            </w:r>
          </w:p>
        </w:tc>
      </w:tr>
      <w:tr w:rsidR="00070FC5" w:rsidRPr="00CC73F3" w:rsidTr="00D639F5">
        <w:trPr>
          <w:jc w:val="center"/>
        </w:trPr>
        <w:tc>
          <w:tcPr>
            <w:tcW w:w="4392" w:type="dxa"/>
            <w:tcBorders>
              <w:top w:val="single" w:sz="18" w:space="0" w:color="auto"/>
            </w:tcBorders>
            <w:shd w:val="clear" w:color="auto" w:fill="auto"/>
          </w:tcPr>
          <w:p w:rsidR="00070FC5" w:rsidRPr="00CC73F3" w:rsidRDefault="00070FC5" w:rsidP="00D639F5">
            <w:pPr>
              <w:rPr>
                <w:rFonts w:eastAsia="Calibri"/>
                <w:b/>
              </w:rPr>
            </w:pPr>
            <w:r w:rsidRPr="00CC73F3">
              <w:rPr>
                <w:rFonts w:eastAsia="Calibri"/>
                <w:b/>
              </w:rPr>
              <w:t>Constant</w:t>
            </w:r>
          </w:p>
        </w:tc>
        <w:tc>
          <w:tcPr>
            <w:tcW w:w="1386" w:type="dxa"/>
            <w:tcBorders>
              <w:top w:val="single" w:sz="18" w:space="0" w:color="auto"/>
            </w:tcBorders>
            <w:shd w:val="clear" w:color="auto" w:fill="auto"/>
          </w:tcPr>
          <w:p w:rsidR="00070FC5" w:rsidRPr="00CC73F3" w:rsidRDefault="00070FC5" w:rsidP="00D639F5">
            <w:pPr>
              <w:jc w:val="center"/>
              <w:rPr>
                <w:rFonts w:eastAsia="Calibri"/>
                <w:b/>
              </w:rPr>
            </w:pPr>
          </w:p>
        </w:tc>
        <w:tc>
          <w:tcPr>
            <w:tcW w:w="1507"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-.942</w:t>
            </w: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Main Effects</w:t>
            </w:r>
          </w:p>
        </w:tc>
        <w:tc>
          <w:tcPr>
            <w:tcW w:w="1386" w:type="dxa"/>
            <w:shd w:val="clear" w:color="auto" w:fill="auto"/>
          </w:tcPr>
          <w:p w:rsidR="00070FC5" w:rsidRPr="00CC73F3" w:rsidRDefault="00070FC5" w:rsidP="00D639F5">
            <w:pPr>
              <w:rPr>
                <w:rFonts w:eastAsia="Calibri"/>
                <w:b/>
              </w:rPr>
            </w:pPr>
          </w:p>
        </w:tc>
        <w:tc>
          <w:tcPr>
            <w:tcW w:w="1507" w:type="dxa"/>
            <w:shd w:val="clear" w:color="auto" w:fill="auto"/>
          </w:tcPr>
          <w:p w:rsidR="00070FC5" w:rsidRPr="00CC73F3" w:rsidRDefault="00070FC5" w:rsidP="00D639F5">
            <w:pPr>
              <w:rPr>
                <w:rFonts w:eastAsia="Calibri"/>
                <w:b/>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Group Regulatory Focus</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-.715</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Group Reflexivity</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-282</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Inventor Expertise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.000</w:t>
            </w:r>
          </w:p>
        </w:tc>
      </w:tr>
      <w:tr w:rsidR="00070FC5" w:rsidRPr="00CC73F3" w:rsidTr="00D639F5">
        <w:trPr>
          <w:jc w:val="center"/>
        </w:trPr>
        <w:tc>
          <w:tcPr>
            <w:tcW w:w="4392" w:type="dxa"/>
            <w:shd w:val="clear" w:color="auto" w:fill="auto"/>
          </w:tcPr>
          <w:p w:rsidR="00070FC5" w:rsidRPr="00CC73F3" w:rsidRDefault="00070FC5" w:rsidP="00D639F5">
            <w:pPr>
              <w:rPr>
                <w:rFonts w:eastAsia="Calibri"/>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Interaction Term</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Regulatory Focus * Reflexivity</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.340</w:t>
            </w:r>
          </w:p>
        </w:tc>
      </w:tr>
      <w:tr w:rsidR="00070FC5" w:rsidRPr="00CC73F3" w:rsidTr="00D639F5">
        <w:trPr>
          <w:jc w:val="center"/>
        </w:trPr>
        <w:tc>
          <w:tcPr>
            <w:tcW w:w="4392" w:type="dxa"/>
            <w:shd w:val="clear" w:color="auto" w:fill="auto"/>
          </w:tcPr>
          <w:p w:rsidR="00070FC5" w:rsidRPr="00CC73F3" w:rsidRDefault="00070FC5" w:rsidP="00D639F5">
            <w:pPr>
              <w:rPr>
                <w:rFonts w:eastAsia="Calibri"/>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Controls</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Discussion Time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.001</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Evaluation Order</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.068</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Product Type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-.242</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Inventor Community Connection</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.000</w:t>
            </w:r>
          </w:p>
        </w:tc>
      </w:tr>
      <w:tr w:rsidR="00070FC5" w:rsidRPr="00CC73F3" w:rsidTr="00D639F5">
        <w:trPr>
          <w:jc w:val="center"/>
        </w:trPr>
        <w:tc>
          <w:tcPr>
            <w:tcW w:w="4392" w:type="dxa"/>
            <w:shd w:val="clear" w:color="auto" w:fill="auto"/>
          </w:tcPr>
          <w:p w:rsidR="00070FC5" w:rsidRPr="00CC73F3" w:rsidRDefault="00070FC5" w:rsidP="00D639F5">
            <w:pPr>
              <w:rPr>
                <w:rFonts w:eastAsia="Calibri"/>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-2 Log likelihood</w:t>
            </w:r>
          </w:p>
        </w:tc>
        <w:tc>
          <w:tcPr>
            <w:tcW w:w="1507" w:type="dxa"/>
            <w:shd w:val="clear" w:color="auto" w:fill="auto"/>
          </w:tcPr>
          <w:p w:rsidR="00070FC5" w:rsidRPr="00CC73F3" w:rsidRDefault="00070FC5" w:rsidP="00D639F5">
            <w:pPr>
              <w:jc w:val="center"/>
              <w:rPr>
                <w:rFonts w:eastAsia="Calibri"/>
              </w:rPr>
            </w:pPr>
            <w:r w:rsidRPr="00CC73F3">
              <w:rPr>
                <w:rFonts w:eastAsia="Calibri"/>
              </w:rPr>
              <w:t>217.956</w:t>
            </w: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Hosmer and Lemeshow Goodness-of-Fit (d.f. = 8)</w:t>
            </w:r>
          </w:p>
        </w:tc>
        <w:tc>
          <w:tcPr>
            <w:tcW w:w="1507" w:type="dxa"/>
            <w:shd w:val="clear" w:color="auto" w:fill="auto"/>
          </w:tcPr>
          <w:p w:rsidR="00070FC5" w:rsidRPr="00CC73F3" w:rsidRDefault="00070FC5" w:rsidP="00D639F5">
            <w:pPr>
              <w:jc w:val="center"/>
              <w:rPr>
                <w:rFonts w:eastAsia="Calibri"/>
              </w:rPr>
            </w:pPr>
            <w:r w:rsidRPr="00CC73F3">
              <w:rPr>
                <w:rFonts w:eastAsia="Calibri"/>
              </w:rPr>
              <w:t>7.695</w:t>
            </w: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Nagelkerke R</w:t>
            </w:r>
            <w:r w:rsidRPr="00CC73F3">
              <w:rPr>
                <w:rFonts w:eastAsia="Calibri"/>
                <w:b/>
                <w:vertAlign w:val="superscript"/>
              </w:rPr>
              <w:t>2</w:t>
            </w:r>
          </w:p>
        </w:tc>
        <w:tc>
          <w:tcPr>
            <w:tcW w:w="1507" w:type="dxa"/>
            <w:shd w:val="clear" w:color="auto" w:fill="auto"/>
          </w:tcPr>
          <w:p w:rsidR="00070FC5" w:rsidRPr="00CC73F3" w:rsidRDefault="00070FC5" w:rsidP="00D639F5">
            <w:pPr>
              <w:jc w:val="center"/>
              <w:rPr>
                <w:rFonts w:eastAsia="Calibri"/>
              </w:rPr>
            </w:pPr>
            <w:r w:rsidRPr="00CC73F3">
              <w:rPr>
                <w:rFonts w:eastAsia="Calibri"/>
              </w:rPr>
              <w:t>.033</w:t>
            </w:r>
          </w:p>
        </w:tc>
      </w:tr>
      <w:tr w:rsidR="00070FC5" w:rsidRPr="00CC73F3" w:rsidTr="00D639F5">
        <w:trPr>
          <w:jc w:val="center"/>
        </w:trPr>
        <w:tc>
          <w:tcPr>
            <w:tcW w:w="5778" w:type="dxa"/>
            <w:gridSpan w:val="2"/>
            <w:tcBorders>
              <w:bottom w:val="single" w:sz="18" w:space="0" w:color="auto"/>
            </w:tcBorders>
            <w:shd w:val="clear" w:color="auto" w:fill="auto"/>
          </w:tcPr>
          <w:p w:rsidR="00070FC5" w:rsidRPr="00CC73F3" w:rsidRDefault="00070FC5" w:rsidP="00D639F5">
            <w:pPr>
              <w:jc w:val="right"/>
              <w:rPr>
                <w:rFonts w:eastAsia="Calibri"/>
              </w:rPr>
            </w:pPr>
            <w:r w:rsidRPr="00CC73F3">
              <w:rPr>
                <w:rFonts w:eastAsia="Calibri"/>
                <w:b/>
              </w:rPr>
              <w:t>Classification Percentage</w:t>
            </w:r>
          </w:p>
        </w:tc>
        <w:tc>
          <w:tcPr>
            <w:tcW w:w="1507"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72.6%</w:t>
            </w:r>
          </w:p>
        </w:tc>
      </w:tr>
      <w:tr w:rsidR="00070FC5" w:rsidRPr="00CC73F3" w:rsidTr="00D639F5">
        <w:trPr>
          <w:jc w:val="center"/>
        </w:trPr>
        <w:tc>
          <w:tcPr>
            <w:tcW w:w="7285" w:type="dxa"/>
            <w:gridSpan w:val="3"/>
            <w:tcBorders>
              <w:top w:val="single" w:sz="18" w:space="0" w:color="auto"/>
            </w:tcBorders>
            <w:shd w:val="clear" w:color="auto" w:fill="auto"/>
          </w:tcPr>
          <w:p w:rsidR="00070FC5" w:rsidRPr="00CC73F3" w:rsidRDefault="00070FC5" w:rsidP="00D639F5">
            <w:pPr>
              <w:contextualSpacing/>
              <w:rPr>
                <w:rFonts w:eastAsia="Calibri"/>
                <w:sz w:val="20"/>
                <w:szCs w:val="20"/>
              </w:rPr>
            </w:pPr>
            <w:r w:rsidRPr="00CC73F3">
              <w:rPr>
                <w:rFonts w:eastAsia="Calibri"/>
                <w:sz w:val="20"/>
                <w:szCs w:val="20"/>
              </w:rPr>
              <w:t>*None of the coefficients in this Negative Hits model were significant</w:t>
            </w:r>
          </w:p>
        </w:tc>
      </w:tr>
    </w:tbl>
    <w:p w:rsidR="00070FC5" w:rsidRPr="00CC73F3" w:rsidRDefault="00070FC5" w:rsidP="00D639F5">
      <w:pPr>
        <w:spacing w:line="480" w:lineRule="auto"/>
        <w:rPr>
          <w:rFonts w:eastAsia="Calibri"/>
          <w:szCs w:val="22"/>
        </w:rPr>
      </w:pPr>
      <w:r w:rsidRPr="00CC73F3">
        <w:rPr>
          <w:rFonts w:eastAsia="Calibri"/>
          <w:i/>
          <w:szCs w:val="22"/>
        </w:rPr>
        <w:tab/>
      </w:r>
      <w:r w:rsidRPr="00CC73F3">
        <w:rPr>
          <w:rFonts w:eastAsia="Calibri"/>
          <w:szCs w:val="22"/>
        </w:rPr>
        <w:t xml:space="preserve"> </w:t>
      </w:r>
    </w:p>
    <w:p w:rsidR="00070FC5" w:rsidRPr="00CC73F3" w:rsidRDefault="00070FC5" w:rsidP="00D639F5">
      <w:pPr>
        <w:pStyle w:val="Heading3"/>
      </w:pPr>
      <w:bookmarkStart w:id="135" w:name="_Toc420572631"/>
      <w:r w:rsidRPr="00CC73F3">
        <w:t>Inventor Expertise Interactions</w:t>
      </w:r>
      <w:bookmarkEnd w:id="135"/>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i/>
          <w:szCs w:val="22"/>
        </w:rPr>
        <w:t>Hypothesis 7a</w:t>
      </w:r>
      <w:r w:rsidRPr="00CC73F3">
        <w:rPr>
          <w:rFonts w:eastAsia="Calibri"/>
          <w:szCs w:val="22"/>
        </w:rPr>
        <w:t xml:space="preserve"> and </w:t>
      </w:r>
      <w:r w:rsidRPr="00CC73F3">
        <w:rPr>
          <w:rFonts w:eastAsia="Calibri"/>
          <w:i/>
          <w:szCs w:val="22"/>
        </w:rPr>
        <w:t>Hypothesis 8a</w:t>
      </w:r>
      <w:r w:rsidRPr="00CC73F3">
        <w:rPr>
          <w:rFonts w:eastAsia="Calibri"/>
          <w:szCs w:val="22"/>
        </w:rPr>
        <w:t xml:space="preserve"> test the interaction between regulatory focus and product inventor expertise, as well as reflexivity and inventor expertise, respectively. In this model, positive hit rate was used as the dependent variable.  As with the previous tests a training and holdout sample was used. The holdout sample classification rate was 80.0% and the training sample classification rate was 77.5%, indicating there were no issues with the data overfitting to the training sample. </w:t>
      </w:r>
      <w:r w:rsidRPr="00CC73F3">
        <w:rPr>
          <w:rFonts w:eastAsia="Calibri"/>
          <w:i/>
          <w:szCs w:val="22"/>
        </w:rPr>
        <w:tab/>
      </w:r>
    </w:p>
    <w:p w:rsidR="00070FC5" w:rsidRPr="00CC73F3" w:rsidRDefault="00070FC5" w:rsidP="00D639F5">
      <w:pPr>
        <w:pStyle w:val="Caption"/>
        <w:rPr>
          <w:rFonts w:eastAsia="Calibri"/>
        </w:rPr>
      </w:pPr>
      <w:bookmarkStart w:id="136" w:name="_Toc420570960"/>
      <w:proofErr w:type="gramStart"/>
      <w:r w:rsidRPr="00CC73F3">
        <w:t xml:space="preserve">Table </w:t>
      </w:r>
      <w:fldSimple w:instr=" SEQ Table \* ARABIC ">
        <w:r w:rsidRPr="00CC73F3">
          <w:rPr>
            <w:noProof/>
          </w:rPr>
          <w:t>35</w:t>
        </w:r>
      </w:fldSimple>
      <w:r w:rsidRPr="00CC73F3">
        <w:rPr>
          <w:rFonts w:eastAsia="Calibri"/>
        </w:rPr>
        <w:t>.</w:t>
      </w:r>
      <w:proofErr w:type="gramEnd"/>
      <w:r w:rsidRPr="00CC73F3">
        <w:rPr>
          <w:rFonts w:eastAsia="Calibri"/>
        </w:rPr>
        <w:t xml:space="preserve"> Logistic Regression Model for H7a and H8a – Positive Hits</w:t>
      </w:r>
      <w:bookmarkEnd w:id="136"/>
    </w:p>
    <w:p w:rsidR="00070FC5" w:rsidRPr="00CC73F3" w:rsidRDefault="00070FC5" w:rsidP="00D639F5">
      <w:pPr>
        <w:jc w:val="center"/>
        <w:rPr>
          <w:rFonts w:eastAsia="Calibri"/>
          <w:b/>
          <w:i/>
          <w:szCs w:val="22"/>
        </w:rPr>
      </w:pPr>
    </w:p>
    <w:tbl>
      <w:tblPr>
        <w:tblW w:w="0" w:type="auto"/>
        <w:jc w:val="center"/>
        <w:tblLook w:val="04A0" w:firstRow="1" w:lastRow="0" w:firstColumn="1" w:lastColumn="0" w:noHBand="0" w:noVBand="1"/>
      </w:tblPr>
      <w:tblGrid>
        <w:gridCol w:w="4392"/>
        <w:gridCol w:w="1386"/>
        <w:gridCol w:w="1507"/>
      </w:tblGrid>
      <w:tr w:rsidR="00070FC5" w:rsidRPr="00CC73F3" w:rsidTr="00D639F5">
        <w:trPr>
          <w:jc w:val="center"/>
        </w:trPr>
        <w:tc>
          <w:tcPr>
            <w:tcW w:w="4392"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Model Term</w:t>
            </w:r>
          </w:p>
        </w:tc>
        <w:tc>
          <w:tcPr>
            <w:tcW w:w="1386"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p>
        </w:tc>
        <w:tc>
          <w:tcPr>
            <w:tcW w:w="1507"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Coefficient</w:t>
            </w:r>
          </w:p>
        </w:tc>
      </w:tr>
      <w:tr w:rsidR="00070FC5" w:rsidRPr="00CC73F3" w:rsidTr="00D639F5">
        <w:trPr>
          <w:jc w:val="center"/>
        </w:trPr>
        <w:tc>
          <w:tcPr>
            <w:tcW w:w="4392" w:type="dxa"/>
            <w:tcBorders>
              <w:top w:val="single" w:sz="18" w:space="0" w:color="auto"/>
            </w:tcBorders>
            <w:shd w:val="clear" w:color="auto" w:fill="auto"/>
          </w:tcPr>
          <w:p w:rsidR="00070FC5" w:rsidRPr="00CC73F3" w:rsidRDefault="00070FC5" w:rsidP="00D639F5">
            <w:pPr>
              <w:rPr>
                <w:rFonts w:eastAsia="Calibri"/>
                <w:b/>
              </w:rPr>
            </w:pPr>
            <w:r w:rsidRPr="00CC73F3">
              <w:rPr>
                <w:rFonts w:eastAsia="Calibri"/>
                <w:b/>
              </w:rPr>
              <w:t>Constant</w:t>
            </w:r>
          </w:p>
        </w:tc>
        <w:tc>
          <w:tcPr>
            <w:tcW w:w="1386" w:type="dxa"/>
            <w:tcBorders>
              <w:top w:val="single" w:sz="18" w:space="0" w:color="auto"/>
            </w:tcBorders>
            <w:shd w:val="clear" w:color="auto" w:fill="auto"/>
          </w:tcPr>
          <w:p w:rsidR="00070FC5" w:rsidRPr="00CC73F3" w:rsidRDefault="00070FC5" w:rsidP="00D639F5">
            <w:pPr>
              <w:jc w:val="center"/>
              <w:rPr>
                <w:rFonts w:eastAsia="Calibri"/>
                <w:b/>
              </w:rPr>
            </w:pPr>
          </w:p>
        </w:tc>
        <w:tc>
          <w:tcPr>
            <w:tcW w:w="1507"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-2.456</w:t>
            </w:r>
            <w:r w:rsidRPr="00CC73F3">
              <w:rPr>
                <w:rFonts w:eastAsia="Calibri"/>
                <w:vertAlign w:val="superscript"/>
              </w:rPr>
              <w:t>†</w:t>
            </w: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Main Effects</w:t>
            </w:r>
          </w:p>
        </w:tc>
        <w:tc>
          <w:tcPr>
            <w:tcW w:w="1386" w:type="dxa"/>
            <w:shd w:val="clear" w:color="auto" w:fill="auto"/>
          </w:tcPr>
          <w:p w:rsidR="00070FC5" w:rsidRPr="00CC73F3" w:rsidRDefault="00070FC5" w:rsidP="00D639F5">
            <w:pPr>
              <w:rPr>
                <w:rFonts w:eastAsia="Calibri"/>
                <w:b/>
              </w:rPr>
            </w:pPr>
          </w:p>
        </w:tc>
        <w:tc>
          <w:tcPr>
            <w:tcW w:w="1507" w:type="dxa"/>
            <w:shd w:val="clear" w:color="auto" w:fill="auto"/>
          </w:tcPr>
          <w:p w:rsidR="00070FC5" w:rsidRPr="00CC73F3" w:rsidRDefault="00070FC5" w:rsidP="00D639F5">
            <w:pPr>
              <w:rPr>
                <w:rFonts w:eastAsia="Calibri"/>
                <w:b/>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Group Regulatory Focus</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.739*</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Group Reflexivity</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.325</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Inventor Expertise</w:t>
            </w:r>
          </w:p>
        </w:tc>
        <w:tc>
          <w:tcPr>
            <w:tcW w:w="1386" w:type="dxa"/>
            <w:shd w:val="clear" w:color="auto" w:fill="auto"/>
          </w:tcPr>
          <w:p w:rsidR="00070FC5" w:rsidRPr="00CC73F3" w:rsidRDefault="00070FC5" w:rsidP="00D639F5">
            <w:pPr>
              <w:jc w:val="center"/>
              <w:rPr>
                <w:rFonts w:eastAsia="Calibri"/>
                <w:i/>
              </w:rPr>
            </w:pPr>
          </w:p>
        </w:tc>
        <w:tc>
          <w:tcPr>
            <w:tcW w:w="1507" w:type="dxa"/>
            <w:shd w:val="clear" w:color="auto" w:fill="auto"/>
          </w:tcPr>
          <w:p w:rsidR="00070FC5" w:rsidRPr="00CC73F3" w:rsidRDefault="00070FC5" w:rsidP="00D639F5">
            <w:pPr>
              <w:jc w:val="center"/>
              <w:rPr>
                <w:rFonts w:eastAsia="Calibri"/>
                <w:i/>
              </w:rPr>
            </w:pPr>
            <w:r w:rsidRPr="00CC73F3">
              <w:rPr>
                <w:rFonts w:eastAsia="Calibri"/>
              </w:rPr>
              <w:t>.002</w:t>
            </w:r>
            <w:r w:rsidRPr="00CC73F3">
              <w:rPr>
                <w:rFonts w:eastAsia="Calibri"/>
                <w:vertAlign w:val="superscript"/>
              </w:rPr>
              <w:t>*</w:t>
            </w: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Interaction Terms</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Regulatory Focus * Inventor Expertise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-.001*</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Reflexivity * Inventor Expertise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.000</w:t>
            </w: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Controls</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Discussion Time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-.003</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Evaluation Order</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-.011</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Product Type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.307</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Inventor Community Connection</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-.001</w:t>
            </w:r>
          </w:p>
        </w:tc>
      </w:tr>
      <w:tr w:rsidR="00070FC5" w:rsidRPr="00CC73F3" w:rsidTr="00D639F5">
        <w:trPr>
          <w:jc w:val="center"/>
        </w:trPr>
        <w:tc>
          <w:tcPr>
            <w:tcW w:w="4392" w:type="dxa"/>
            <w:shd w:val="clear" w:color="auto" w:fill="auto"/>
          </w:tcPr>
          <w:p w:rsidR="00070FC5" w:rsidRPr="00CC73F3" w:rsidRDefault="00070FC5" w:rsidP="00D639F5">
            <w:pPr>
              <w:rPr>
                <w:rFonts w:eastAsia="Calibri"/>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-2 Log likelihood</w:t>
            </w:r>
          </w:p>
        </w:tc>
        <w:tc>
          <w:tcPr>
            <w:tcW w:w="1507" w:type="dxa"/>
            <w:shd w:val="clear" w:color="auto" w:fill="auto"/>
          </w:tcPr>
          <w:p w:rsidR="00070FC5" w:rsidRPr="00CC73F3" w:rsidRDefault="00070FC5" w:rsidP="00D639F5">
            <w:pPr>
              <w:jc w:val="center"/>
              <w:rPr>
                <w:rFonts w:eastAsia="Calibri"/>
              </w:rPr>
            </w:pPr>
            <w:r w:rsidRPr="00CC73F3">
              <w:rPr>
                <w:rFonts w:eastAsia="Calibri"/>
              </w:rPr>
              <w:t>187.808</w:t>
            </w: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Hosmer and Lemeshow Goodness-of-Fit (d.f. = 8)</w:t>
            </w:r>
          </w:p>
        </w:tc>
        <w:tc>
          <w:tcPr>
            <w:tcW w:w="1507" w:type="dxa"/>
            <w:shd w:val="clear" w:color="auto" w:fill="auto"/>
          </w:tcPr>
          <w:p w:rsidR="00070FC5" w:rsidRPr="00CC73F3" w:rsidRDefault="00070FC5" w:rsidP="00D639F5">
            <w:pPr>
              <w:jc w:val="center"/>
              <w:rPr>
                <w:rFonts w:eastAsia="Calibri"/>
              </w:rPr>
            </w:pPr>
            <w:r w:rsidRPr="00CC73F3">
              <w:rPr>
                <w:rFonts w:eastAsia="Calibri"/>
              </w:rPr>
              <w:t>2.823</w:t>
            </w: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Nagelkerke R</w:t>
            </w:r>
            <w:r w:rsidRPr="00CC73F3">
              <w:rPr>
                <w:rFonts w:eastAsia="Calibri"/>
                <w:b/>
                <w:vertAlign w:val="superscript"/>
              </w:rPr>
              <w:t>2</w:t>
            </w:r>
          </w:p>
        </w:tc>
        <w:tc>
          <w:tcPr>
            <w:tcW w:w="1507" w:type="dxa"/>
            <w:shd w:val="clear" w:color="auto" w:fill="auto"/>
          </w:tcPr>
          <w:p w:rsidR="00070FC5" w:rsidRPr="00CC73F3" w:rsidRDefault="00070FC5" w:rsidP="00D639F5">
            <w:pPr>
              <w:jc w:val="center"/>
              <w:rPr>
                <w:rFonts w:eastAsia="Calibri"/>
              </w:rPr>
            </w:pPr>
            <w:r w:rsidRPr="00CC73F3">
              <w:rPr>
                <w:rFonts w:eastAsia="Calibri"/>
              </w:rPr>
              <w:t>.105</w:t>
            </w:r>
          </w:p>
        </w:tc>
      </w:tr>
      <w:tr w:rsidR="00070FC5" w:rsidRPr="00CC73F3" w:rsidTr="00D639F5">
        <w:trPr>
          <w:jc w:val="center"/>
        </w:trPr>
        <w:tc>
          <w:tcPr>
            <w:tcW w:w="5778" w:type="dxa"/>
            <w:gridSpan w:val="2"/>
            <w:tcBorders>
              <w:bottom w:val="single" w:sz="18" w:space="0" w:color="auto"/>
            </w:tcBorders>
            <w:shd w:val="clear" w:color="auto" w:fill="auto"/>
          </w:tcPr>
          <w:p w:rsidR="00070FC5" w:rsidRPr="00CC73F3" w:rsidRDefault="00070FC5" w:rsidP="00D639F5">
            <w:pPr>
              <w:jc w:val="right"/>
              <w:rPr>
                <w:rFonts w:eastAsia="Calibri"/>
              </w:rPr>
            </w:pPr>
            <w:r w:rsidRPr="00CC73F3">
              <w:rPr>
                <w:rFonts w:eastAsia="Calibri"/>
                <w:b/>
              </w:rPr>
              <w:t>Classification Percentage</w:t>
            </w:r>
          </w:p>
        </w:tc>
        <w:tc>
          <w:tcPr>
            <w:tcW w:w="1507"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78.0%</w:t>
            </w:r>
          </w:p>
        </w:tc>
      </w:tr>
      <w:tr w:rsidR="00070FC5" w:rsidRPr="00CC73F3" w:rsidTr="00D639F5">
        <w:trPr>
          <w:jc w:val="center"/>
        </w:trPr>
        <w:tc>
          <w:tcPr>
            <w:tcW w:w="7285" w:type="dxa"/>
            <w:gridSpan w:val="3"/>
            <w:tcBorders>
              <w:top w:val="single" w:sz="18" w:space="0" w:color="auto"/>
            </w:tcBorders>
            <w:shd w:val="clear" w:color="auto" w:fill="auto"/>
          </w:tcPr>
          <w:p w:rsidR="00070FC5" w:rsidRPr="00CC73F3" w:rsidRDefault="00070FC5" w:rsidP="00D639F5">
            <w:pPr>
              <w:contextualSpacing/>
              <w:rPr>
                <w:rFonts w:eastAsia="Calibri"/>
              </w:rPr>
            </w:pPr>
            <w:r w:rsidRPr="00CC73F3">
              <w:rPr>
                <w:rFonts w:eastAsia="Calibri"/>
                <w:vertAlign w:val="superscript"/>
              </w:rPr>
              <w:t>†</w:t>
            </w:r>
            <w:r w:rsidRPr="00CC73F3">
              <w:rPr>
                <w:rFonts w:eastAsia="Calibri"/>
              </w:rPr>
              <w:t>p&lt;.01</w:t>
            </w:r>
          </w:p>
          <w:p w:rsidR="00070FC5" w:rsidRPr="00CC73F3" w:rsidRDefault="00070FC5" w:rsidP="00D639F5">
            <w:pPr>
              <w:contextualSpacing/>
              <w:rPr>
                <w:rFonts w:eastAsia="Calibri"/>
              </w:rPr>
            </w:pPr>
            <w:r w:rsidRPr="00CC73F3">
              <w:rPr>
                <w:rFonts w:eastAsia="Calibri"/>
              </w:rPr>
              <w:t>*p&lt;.05</w:t>
            </w:r>
          </w:p>
        </w:tc>
      </w:tr>
    </w:tbl>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szCs w:val="22"/>
        </w:rPr>
        <w:t xml:space="preserve">The classification rate of the entire sample was 78.0%. The Hosmer and Lemeshow Goodness-of-Fit test was not significant, indicating the model had acceptable fit </w:t>
      </w:r>
      <w:r w:rsidRPr="00CC73F3">
        <w:rPr>
          <w:rFonts w:eastAsia="Calibri"/>
          <w:noProof/>
          <w:szCs w:val="22"/>
        </w:rPr>
        <w:t>(Hosmer Jr et al., 2013)</w:t>
      </w:r>
      <w:r w:rsidRPr="00CC73F3">
        <w:rPr>
          <w:rFonts w:eastAsia="Calibri"/>
          <w:szCs w:val="22"/>
        </w:rPr>
        <w:t>. The model used to test H7a and H8a is shown below in Table 35.</w:t>
      </w:r>
    </w:p>
    <w:p w:rsidR="00070FC5" w:rsidRPr="00CC73F3" w:rsidRDefault="00070FC5" w:rsidP="00D639F5">
      <w:pPr>
        <w:spacing w:line="480" w:lineRule="auto"/>
        <w:rPr>
          <w:rFonts w:eastAsia="Calibri"/>
          <w:szCs w:val="22"/>
        </w:rPr>
      </w:pPr>
      <w:r w:rsidRPr="00CC73F3">
        <w:rPr>
          <w:rFonts w:eastAsia="Calibri"/>
          <w:i/>
          <w:szCs w:val="22"/>
        </w:rPr>
        <w:tab/>
        <w:t>H7a</w:t>
      </w:r>
      <w:r w:rsidRPr="00CC73F3">
        <w:rPr>
          <w:rFonts w:eastAsia="Calibri"/>
          <w:szCs w:val="22"/>
        </w:rPr>
        <w:t xml:space="preserve"> states that inventor expertise positively moderates the relationship between a prevention orientation and inventor expertise. The term was significant in the predicted direction (B = -.001</w:t>
      </w:r>
      <w:proofErr w:type="gramStart"/>
      <w:r w:rsidRPr="00CC73F3">
        <w:rPr>
          <w:rFonts w:eastAsia="Calibri"/>
          <w:szCs w:val="22"/>
        </w:rPr>
        <w:t xml:space="preserve">,  </w:t>
      </w:r>
      <w:r w:rsidRPr="00CC73F3">
        <w:rPr>
          <w:rFonts w:eastAsia="Calibri"/>
          <w:i/>
          <w:szCs w:val="22"/>
        </w:rPr>
        <w:t>p</w:t>
      </w:r>
      <w:proofErr w:type="gramEnd"/>
      <w:r w:rsidRPr="00CC73F3">
        <w:rPr>
          <w:rFonts w:eastAsia="Calibri"/>
          <w:szCs w:val="22"/>
        </w:rPr>
        <w:t xml:space="preserve"> &lt; .05). When regulatory focus tended toward prevention and inventor expertise was high, the group’s decisions were more accurate. The opposite was also true. When regulatory focus tended toward promotion and inventor expertise was high, the firm’s decisions were less accurate. A graph of the interaction effect is shown below in Figure 9.</w:t>
      </w:r>
    </w:p>
    <w:p w:rsidR="00070FC5" w:rsidRPr="00CC73F3" w:rsidRDefault="007E2E0A" w:rsidP="00D639F5">
      <w:pPr>
        <w:spacing w:line="480" w:lineRule="auto"/>
        <w:jc w:val="center"/>
        <w:rPr>
          <w:rFonts w:eastAsia="Calibri"/>
          <w:szCs w:val="22"/>
        </w:rPr>
      </w:pPr>
      <w:r>
        <w:rPr>
          <w:noProof/>
        </w:rPr>
        <w:pict>
          <v:shape id="_x0000_i1036" type="#_x0000_t75" style="width:468pt;height:268.5pt;visibility:visible">
            <v:imagedata r:id="rId22" o:title=""/>
          </v:shape>
        </w:pict>
      </w:r>
    </w:p>
    <w:p w:rsidR="00070FC5" w:rsidRPr="00CC73F3" w:rsidRDefault="00070FC5" w:rsidP="00D639F5">
      <w:pPr>
        <w:pStyle w:val="Caption"/>
        <w:rPr>
          <w:rFonts w:eastAsia="Calibri"/>
        </w:rPr>
      </w:pPr>
      <w:bookmarkStart w:id="137" w:name="_Toc420524239"/>
      <w:proofErr w:type="gramStart"/>
      <w:r w:rsidRPr="00CC73F3">
        <w:t xml:space="preserve">Figure </w:t>
      </w:r>
      <w:fldSimple w:instr=" SEQ Figure \* ARABIC ">
        <w:r w:rsidRPr="00CC73F3">
          <w:rPr>
            <w:noProof/>
          </w:rPr>
          <w:t>9</w:t>
        </w:r>
      </w:fldSimple>
      <w:r w:rsidRPr="00CC73F3">
        <w:rPr>
          <w:rFonts w:eastAsia="Calibri"/>
        </w:rPr>
        <w:t>.</w:t>
      </w:r>
      <w:proofErr w:type="gramEnd"/>
      <w:r w:rsidRPr="00CC73F3">
        <w:rPr>
          <w:rFonts w:eastAsia="Calibri"/>
        </w:rPr>
        <w:t xml:space="preserve"> Regulatory Focus x Inventor Expertise Interaction for Positive Hits</w:t>
      </w:r>
      <w:bookmarkEnd w:id="137"/>
    </w:p>
    <w:p w:rsidR="00070FC5" w:rsidRPr="00CC73F3" w:rsidRDefault="00070FC5" w:rsidP="00D639F5">
      <w:pPr>
        <w:spacing w:line="480" w:lineRule="auto"/>
        <w:jc w:val="center"/>
        <w:rPr>
          <w:rFonts w:eastAsia="Calibri"/>
          <w:b/>
          <w:i/>
          <w:szCs w:val="22"/>
        </w:rPr>
      </w:pP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i/>
          <w:szCs w:val="22"/>
        </w:rPr>
        <w:t>H8a</w:t>
      </w:r>
      <w:r w:rsidRPr="00CC73F3">
        <w:rPr>
          <w:rFonts w:eastAsia="Calibri"/>
          <w:szCs w:val="22"/>
        </w:rPr>
        <w:t xml:space="preserve"> predicts that inventor expertise will positively moderate the relationship between group reflexivity and positive hits. In the model, the interaction between reflexivity and inventor expertise is not significant (B = .000</w:t>
      </w:r>
      <w:proofErr w:type="gramStart"/>
      <w:r w:rsidRPr="00CC73F3">
        <w:rPr>
          <w:rFonts w:eastAsia="Calibri"/>
          <w:szCs w:val="22"/>
        </w:rPr>
        <w:t xml:space="preserve">,  </w:t>
      </w:r>
      <w:r w:rsidRPr="00CC73F3">
        <w:rPr>
          <w:rFonts w:eastAsia="Calibri"/>
          <w:i/>
          <w:szCs w:val="22"/>
        </w:rPr>
        <w:t>p</w:t>
      </w:r>
      <w:proofErr w:type="gramEnd"/>
      <w:r w:rsidRPr="00CC73F3">
        <w:rPr>
          <w:rFonts w:eastAsia="Calibri"/>
          <w:szCs w:val="22"/>
        </w:rPr>
        <w:t xml:space="preserve"> = .64). As such, </w:t>
      </w:r>
      <w:r w:rsidRPr="00CC73F3">
        <w:rPr>
          <w:rFonts w:eastAsia="Calibri"/>
          <w:i/>
          <w:szCs w:val="22"/>
        </w:rPr>
        <w:t>H8a</w:t>
      </w:r>
      <w:r w:rsidRPr="00CC73F3">
        <w:rPr>
          <w:rFonts w:eastAsia="Calibri"/>
          <w:szCs w:val="22"/>
        </w:rPr>
        <w:t xml:space="preserve"> is not supported.</w:t>
      </w:r>
    </w:p>
    <w:p w:rsidR="00070FC5" w:rsidRPr="00CC73F3" w:rsidRDefault="00070FC5" w:rsidP="00D639F5">
      <w:pPr>
        <w:spacing w:line="480" w:lineRule="auto"/>
        <w:rPr>
          <w:rFonts w:eastAsia="Calibri"/>
          <w:szCs w:val="22"/>
        </w:rPr>
      </w:pPr>
      <w:r w:rsidRPr="00CC73F3">
        <w:rPr>
          <w:rFonts w:eastAsia="Calibri"/>
          <w:szCs w:val="22"/>
        </w:rPr>
        <w:tab/>
      </w:r>
    </w:p>
    <w:p w:rsidR="00070FC5" w:rsidRPr="00CC73F3" w:rsidRDefault="00070FC5" w:rsidP="00D639F5">
      <w:pPr>
        <w:pStyle w:val="Caption"/>
        <w:rPr>
          <w:rFonts w:eastAsia="Calibri"/>
        </w:rPr>
      </w:pPr>
      <w:bookmarkStart w:id="138" w:name="_Toc420570961"/>
      <w:proofErr w:type="gramStart"/>
      <w:r w:rsidRPr="00CC73F3">
        <w:t xml:space="preserve">Table </w:t>
      </w:r>
      <w:fldSimple w:instr=" SEQ Table \* ARABIC ">
        <w:r w:rsidRPr="00CC73F3">
          <w:rPr>
            <w:noProof/>
          </w:rPr>
          <w:t>36</w:t>
        </w:r>
      </w:fldSimple>
      <w:r w:rsidRPr="00CC73F3">
        <w:rPr>
          <w:rFonts w:eastAsia="Calibri"/>
        </w:rPr>
        <w:t>.</w:t>
      </w:r>
      <w:proofErr w:type="gramEnd"/>
      <w:r w:rsidRPr="00CC73F3">
        <w:rPr>
          <w:rFonts w:eastAsia="Calibri"/>
        </w:rPr>
        <w:t xml:space="preserve"> Logistic Regression Model for H7a and H8a – Negative Hits</w:t>
      </w:r>
      <w:bookmarkEnd w:id="138"/>
    </w:p>
    <w:p w:rsidR="00070FC5" w:rsidRPr="00CC73F3" w:rsidRDefault="00070FC5" w:rsidP="00D639F5">
      <w:pPr>
        <w:jc w:val="center"/>
        <w:rPr>
          <w:rFonts w:eastAsia="Calibri"/>
          <w:b/>
          <w:i/>
          <w:szCs w:val="22"/>
        </w:rPr>
      </w:pPr>
    </w:p>
    <w:tbl>
      <w:tblPr>
        <w:tblW w:w="0" w:type="auto"/>
        <w:jc w:val="center"/>
        <w:tblLook w:val="04A0" w:firstRow="1" w:lastRow="0" w:firstColumn="1" w:lastColumn="0" w:noHBand="0" w:noVBand="1"/>
      </w:tblPr>
      <w:tblGrid>
        <w:gridCol w:w="4392"/>
        <w:gridCol w:w="1386"/>
        <w:gridCol w:w="1507"/>
      </w:tblGrid>
      <w:tr w:rsidR="00070FC5" w:rsidRPr="00CC73F3" w:rsidTr="00D639F5">
        <w:trPr>
          <w:jc w:val="center"/>
        </w:trPr>
        <w:tc>
          <w:tcPr>
            <w:tcW w:w="4392"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Model Term</w:t>
            </w:r>
          </w:p>
        </w:tc>
        <w:tc>
          <w:tcPr>
            <w:tcW w:w="1386"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p>
        </w:tc>
        <w:tc>
          <w:tcPr>
            <w:tcW w:w="1507" w:type="dxa"/>
            <w:tcBorders>
              <w:top w:val="single" w:sz="18" w:space="0" w:color="auto"/>
              <w:bottom w:val="single" w:sz="18" w:space="0" w:color="auto"/>
            </w:tcBorders>
            <w:shd w:val="clear" w:color="auto" w:fill="auto"/>
          </w:tcPr>
          <w:p w:rsidR="00070FC5" w:rsidRPr="00CC73F3" w:rsidRDefault="00070FC5" w:rsidP="00D639F5">
            <w:pPr>
              <w:jc w:val="center"/>
              <w:rPr>
                <w:rFonts w:eastAsia="Calibri"/>
                <w:b/>
              </w:rPr>
            </w:pPr>
            <w:r w:rsidRPr="00CC73F3">
              <w:rPr>
                <w:rFonts w:eastAsia="Calibri"/>
                <w:b/>
              </w:rPr>
              <w:t>Coefficient</w:t>
            </w:r>
          </w:p>
        </w:tc>
      </w:tr>
      <w:tr w:rsidR="00070FC5" w:rsidRPr="00CC73F3" w:rsidTr="00D639F5">
        <w:trPr>
          <w:jc w:val="center"/>
        </w:trPr>
        <w:tc>
          <w:tcPr>
            <w:tcW w:w="4392" w:type="dxa"/>
            <w:tcBorders>
              <w:top w:val="single" w:sz="18" w:space="0" w:color="auto"/>
            </w:tcBorders>
            <w:shd w:val="clear" w:color="auto" w:fill="auto"/>
          </w:tcPr>
          <w:p w:rsidR="00070FC5" w:rsidRPr="00CC73F3" w:rsidRDefault="00070FC5" w:rsidP="00D639F5">
            <w:pPr>
              <w:rPr>
                <w:rFonts w:eastAsia="Calibri"/>
                <w:b/>
              </w:rPr>
            </w:pPr>
            <w:r w:rsidRPr="00CC73F3">
              <w:rPr>
                <w:rFonts w:eastAsia="Calibri"/>
                <w:b/>
              </w:rPr>
              <w:t>Constant</w:t>
            </w:r>
          </w:p>
        </w:tc>
        <w:tc>
          <w:tcPr>
            <w:tcW w:w="1386" w:type="dxa"/>
            <w:tcBorders>
              <w:top w:val="single" w:sz="18" w:space="0" w:color="auto"/>
            </w:tcBorders>
            <w:shd w:val="clear" w:color="auto" w:fill="auto"/>
          </w:tcPr>
          <w:p w:rsidR="00070FC5" w:rsidRPr="00CC73F3" w:rsidRDefault="00070FC5" w:rsidP="00D639F5">
            <w:pPr>
              <w:jc w:val="center"/>
              <w:rPr>
                <w:rFonts w:eastAsia="Calibri"/>
                <w:b/>
              </w:rPr>
            </w:pPr>
          </w:p>
        </w:tc>
        <w:tc>
          <w:tcPr>
            <w:tcW w:w="1507" w:type="dxa"/>
            <w:tcBorders>
              <w:top w:val="single" w:sz="18" w:space="0" w:color="auto"/>
            </w:tcBorders>
            <w:shd w:val="clear" w:color="auto" w:fill="auto"/>
          </w:tcPr>
          <w:p w:rsidR="00070FC5" w:rsidRPr="00CC73F3" w:rsidRDefault="00070FC5" w:rsidP="00D639F5">
            <w:pPr>
              <w:jc w:val="center"/>
              <w:rPr>
                <w:rFonts w:eastAsia="Calibri"/>
              </w:rPr>
            </w:pPr>
            <w:r w:rsidRPr="00CC73F3">
              <w:rPr>
                <w:rFonts w:eastAsia="Calibri"/>
              </w:rPr>
              <w:t>-2.193</w:t>
            </w:r>
            <w:r w:rsidRPr="00CC73F3">
              <w:rPr>
                <w:rFonts w:eastAsia="Calibri"/>
                <w:vertAlign w:val="superscript"/>
              </w:rPr>
              <w:t>†</w:t>
            </w: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Main Effects</w:t>
            </w:r>
          </w:p>
        </w:tc>
        <w:tc>
          <w:tcPr>
            <w:tcW w:w="1386" w:type="dxa"/>
            <w:shd w:val="clear" w:color="auto" w:fill="auto"/>
          </w:tcPr>
          <w:p w:rsidR="00070FC5" w:rsidRPr="00CC73F3" w:rsidRDefault="00070FC5" w:rsidP="00D639F5">
            <w:pPr>
              <w:rPr>
                <w:rFonts w:eastAsia="Calibri"/>
                <w:b/>
              </w:rPr>
            </w:pPr>
          </w:p>
        </w:tc>
        <w:tc>
          <w:tcPr>
            <w:tcW w:w="1507" w:type="dxa"/>
            <w:shd w:val="clear" w:color="auto" w:fill="auto"/>
          </w:tcPr>
          <w:p w:rsidR="00070FC5" w:rsidRPr="00CC73F3" w:rsidRDefault="00070FC5" w:rsidP="00D639F5">
            <w:pPr>
              <w:rPr>
                <w:rFonts w:eastAsia="Calibri"/>
                <w:b/>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Group Regulatory Focus</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.107</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Group Reflexivity</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.277</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Inventor Expertise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.000</w:t>
            </w: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Interaction Terms</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Regulatory Focus * Inventor Expertise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.000</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Reflexivity * Inventor Expertise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.000</w:t>
            </w: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rPr>
                <w:rFonts w:eastAsia="Calibri"/>
                <w:b/>
              </w:rPr>
            </w:pPr>
            <w:r w:rsidRPr="00CC73F3">
              <w:rPr>
                <w:rFonts w:eastAsia="Calibri"/>
                <w:b/>
              </w:rPr>
              <w:t>Controls</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Discussion Time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.001</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Evaluation Order</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.061</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Product Type</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-.257</w:t>
            </w:r>
          </w:p>
        </w:tc>
      </w:tr>
      <w:tr w:rsidR="00070FC5" w:rsidRPr="00CC73F3" w:rsidTr="00D639F5">
        <w:trPr>
          <w:jc w:val="center"/>
        </w:trPr>
        <w:tc>
          <w:tcPr>
            <w:tcW w:w="4392" w:type="dxa"/>
            <w:shd w:val="clear" w:color="auto" w:fill="auto"/>
          </w:tcPr>
          <w:p w:rsidR="00070FC5" w:rsidRPr="00CC73F3" w:rsidRDefault="00070FC5" w:rsidP="00D639F5">
            <w:pPr>
              <w:jc w:val="right"/>
              <w:rPr>
                <w:rFonts w:eastAsia="Calibri"/>
              </w:rPr>
            </w:pPr>
            <w:r w:rsidRPr="00CC73F3">
              <w:rPr>
                <w:rFonts w:eastAsia="Calibri"/>
              </w:rPr>
              <w:t>Inventor Community Connection</w:t>
            </w: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r w:rsidRPr="00CC73F3">
              <w:rPr>
                <w:rFonts w:eastAsia="Calibri"/>
              </w:rPr>
              <w:t>.000</w:t>
            </w:r>
          </w:p>
        </w:tc>
      </w:tr>
      <w:tr w:rsidR="00070FC5" w:rsidRPr="00CC73F3" w:rsidTr="00D639F5">
        <w:trPr>
          <w:jc w:val="center"/>
        </w:trPr>
        <w:tc>
          <w:tcPr>
            <w:tcW w:w="4392" w:type="dxa"/>
            <w:shd w:val="clear" w:color="auto" w:fill="auto"/>
          </w:tcPr>
          <w:p w:rsidR="00070FC5" w:rsidRPr="00CC73F3" w:rsidRDefault="00070FC5" w:rsidP="00D639F5">
            <w:pPr>
              <w:rPr>
                <w:rFonts w:eastAsia="Calibri"/>
              </w:rPr>
            </w:pPr>
          </w:p>
        </w:tc>
        <w:tc>
          <w:tcPr>
            <w:tcW w:w="1386" w:type="dxa"/>
            <w:shd w:val="clear" w:color="auto" w:fill="auto"/>
          </w:tcPr>
          <w:p w:rsidR="00070FC5" w:rsidRPr="00CC73F3" w:rsidRDefault="00070FC5" w:rsidP="00D639F5">
            <w:pPr>
              <w:jc w:val="center"/>
              <w:rPr>
                <w:rFonts w:eastAsia="Calibri"/>
              </w:rPr>
            </w:pPr>
          </w:p>
        </w:tc>
        <w:tc>
          <w:tcPr>
            <w:tcW w:w="1507" w:type="dxa"/>
            <w:shd w:val="clear" w:color="auto" w:fill="auto"/>
          </w:tcPr>
          <w:p w:rsidR="00070FC5" w:rsidRPr="00CC73F3" w:rsidRDefault="00070FC5" w:rsidP="00D639F5">
            <w:pPr>
              <w:jc w:val="center"/>
              <w:rPr>
                <w:rFonts w:eastAsia="Calibri"/>
              </w:rPr>
            </w:pP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-2 Log likelihood</w:t>
            </w:r>
          </w:p>
        </w:tc>
        <w:tc>
          <w:tcPr>
            <w:tcW w:w="1507" w:type="dxa"/>
            <w:shd w:val="clear" w:color="auto" w:fill="auto"/>
          </w:tcPr>
          <w:p w:rsidR="00070FC5" w:rsidRPr="00CC73F3" w:rsidRDefault="00070FC5" w:rsidP="00D639F5">
            <w:pPr>
              <w:jc w:val="center"/>
              <w:rPr>
                <w:rFonts w:eastAsia="Calibri"/>
              </w:rPr>
            </w:pPr>
            <w:r w:rsidRPr="00CC73F3">
              <w:rPr>
                <w:rFonts w:eastAsia="Calibri"/>
              </w:rPr>
              <w:t>219.034</w:t>
            </w: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Hosmer and Lemeshow Goodness-of-Fit (d.f. = 8)</w:t>
            </w:r>
          </w:p>
        </w:tc>
        <w:tc>
          <w:tcPr>
            <w:tcW w:w="1507" w:type="dxa"/>
            <w:shd w:val="clear" w:color="auto" w:fill="auto"/>
          </w:tcPr>
          <w:p w:rsidR="00070FC5" w:rsidRPr="00CC73F3" w:rsidRDefault="00070FC5" w:rsidP="00D639F5">
            <w:pPr>
              <w:jc w:val="center"/>
              <w:rPr>
                <w:rFonts w:eastAsia="Calibri"/>
              </w:rPr>
            </w:pPr>
            <w:r w:rsidRPr="00CC73F3">
              <w:rPr>
                <w:rFonts w:eastAsia="Calibri"/>
              </w:rPr>
              <w:t>10.706</w:t>
            </w:r>
          </w:p>
        </w:tc>
      </w:tr>
      <w:tr w:rsidR="00070FC5" w:rsidRPr="00CC73F3" w:rsidTr="00D639F5">
        <w:trPr>
          <w:jc w:val="center"/>
        </w:trPr>
        <w:tc>
          <w:tcPr>
            <w:tcW w:w="5778" w:type="dxa"/>
            <w:gridSpan w:val="2"/>
            <w:shd w:val="clear" w:color="auto" w:fill="auto"/>
          </w:tcPr>
          <w:p w:rsidR="00070FC5" w:rsidRPr="00CC73F3" w:rsidRDefault="00070FC5" w:rsidP="00D639F5">
            <w:pPr>
              <w:jc w:val="right"/>
              <w:rPr>
                <w:rFonts w:eastAsia="Calibri"/>
              </w:rPr>
            </w:pPr>
            <w:r w:rsidRPr="00CC73F3">
              <w:rPr>
                <w:rFonts w:eastAsia="Calibri"/>
                <w:b/>
              </w:rPr>
              <w:t>Nagelkerke R</w:t>
            </w:r>
            <w:r w:rsidRPr="00CC73F3">
              <w:rPr>
                <w:rFonts w:eastAsia="Calibri"/>
                <w:b/>
                <w:vertAlign w:val="superscript"/>
              </w:rPr>
              <w:t>2</w:t>
            </w:r>
          </w:p>
        </w:tc>
        <w:tc>
          <w:tcPr>
            <w:tcW w:w="1507" w:type="dxa"/>
            <w:shd w:val="clear" w:color="auto" w:fill="auto"/>
          </w:tcPr>
          <w:p w:rsidR="00070FC5" w:rsidRPr="00CC73F3" w:rsidRDefault="00070FC5" w:rsidP="00D639F5">
            <w:pPr>
              <w:jc w:val="center"/>
              <w:rPr>
                <w:rFonts w:eastAsia="Calibri"/>
              </w:rPr>
            </w:pPr>
            <w:r w:rsidRPr="00CC73F3">
              <w:rPr>
                <w:rFonts w:eastAsia="Calibri"/>
              </w:rPr>
              <w:t>.025</w:t>
            </w:r>
          </w:p>
        </w:tc>
      </w:tr>
      <w:tr w:rsidR="00070FC5" w:rsidRPr="00CC73F3" w:rsidTr="00D639F5">
        <w:trPr>
          <w:jc w:val="center"/>
        </w:trPr>
        <w:tc>
          <w:tcPr>
            <w:tcW w:w="5778" w:type="dxa"/>
            <w:gridSpan w:val="2"/>
            <w:tcBorders>
              <w:bottom w:val="single" w:sz="18" w:space="0" w:color="auto"/>
            </w:tcBorders>
            <w:shd w:val="clear" w:color="auto" w:fill="auto"/>
          </w:tcPr>
          <w:p w:rsidR="00070FC5" w:rsidRPr="00CC73F3" w:rsidRDefault="00070FC5" w:rsidP="00D639F5">
            <w:pPr>
              <w:jc w:val="right"/>
              <w:rPr>
                <w:rFonts w:eastAsia="Calibri"/>
              </w:rPr>
            </w:pPr>
            <w:r w:rsidRPr="00CC73F3">
              <w:rPr>
                <w:rFonts w:eastAsia="Calibri"/>
                <w:b/>
              </w:rPr>
              <w:t>Classification Percentage</w:t>
            </w:r>
          </w:p>
        </w:tc>
        <w:tc>
          <w:tcPr>
            <w:tcW w:w="1507" w:type="dxa"/>
            <w:tcBorders>
              <w:bottom w:val="single" w:sz="18" w:space="0" w:color="auto"/>
            </w:tcBorders>
            <w:shd w:val="clear" w:color="auto" w:fill="auto"/>
          </w:tcPr>
          <w:p w:rsidR="00070FC5" w:rsidRPr="00CC73F3" w:rsidRDefault="00070FC5" w:rsidP="00D639F5">
            <w:pPr>
              <w:jc w:val="center"/>
              <w:rPr>
                <w:rFonts w:eastAsia="Calibri"/>
              </w:rPr>
            </w:pPr>
            <w:r w:rsidRPr="00CC73F3">
              <w:rPr>
                <w:rFonts w:eastAsia="Calibri"/>
              </w:rPr>
              <w:t>71.5%</w:t>
            </w:r>
          </w:p>
        </w:tc>
      </w:tr>
      <w:tr w:rsidR="00070FC5" w:rsidRPr="00CC73F3" w:rsidTr="00D639F5">
        <w:trPr>
          <w:jc w:val="center"/>
        </w:trPr>
        <w:tc>
          <w:tcPr>
            <w:tcW w:w="7285" w:type="dxa"/>
            <w:gridSpan w:val="3"/>
            <w:tcBorders>
              <w:top w:val="single" w:sz="18" w:space="0" w:color="auto"/>
            </w:tcBorders>
            <w:shd w:val="clear" w:color="auto" w:fill="auto"/>
          </w:tcPr>
          <w:p w:rsidR="00070FC5" w:rsidRPr="00CC73F3" w:rsidRDefault="00070FC5" w:rsidP="00D639F5">
            <w:pPr>
              <w:contextualSpacing/>
              <w:rPr>
                <w:rFonts w:eastAsia="Calibri"/>
              </w:rPr>
            </w:pPr>
            <w:r w:rsidRPr="00CC73F3">
              <w:rPr>
                <w:rFonts w:eastAsia="Calibri"/>
                <w:vertAlign w:val="superscript"/>
              </w:rPr>
              <w:t>†</w:t>
            </w:r>
            <w:r w:rsidRPr="00CC73F3">
              <w:rPr>
                <w:rFonts w:eastAsia="Calibri"/>
              </w:rPr>
              <w:t>p&lt;.10</w:t>
            </w:r>
          </w:p>
        </w:tc>
      </w:tr>
    </w:tbl>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i/>
          <w:szCs w:val="22"/>
        </w:rPr>
        <w:tab/>
        <w:t>Hypothesis 7b</w:t>
      </w:r>
      <w:r w:rsidRPr="00CC73F3">
        <w:rPr>
          <w:rFonts w:eastAsia="Calibri"/>
          <w:szCs w:val="22"/>
        </w:rPr>
        <w:t xml:space="preserve"> and </w:t>
      </w:r>
      <w:r w:rsidRPr="00CC73F3">
        <w:rPr>
          <w:rFonts w:eastAsia="Calibri"/>
          <w:i/>
          <w:szCs w:val="22"/>
        </w:rPr>
        <w:t>Hypothesis 8b</w:t>
      </w:r>
      <w:r w:rsidRPr="00CC73F3">
        <w:rPr>
          <w:rFonts w:eastAsia="Calibri"/>
          <w:szCs w:val="22"/>
        </w:rPr>
        <w:t xml:space="preserve">, respectively, test the interaction between regulatory focus and product inventor expertise, as well as reflexivity and inventor expertise. In this model, </w:t>
      </w:r>
      <w:proofErr w:type="gramStart"/>
      <w:r w:rsidRPr="00CC73F3">
        <w:rPr>
          <w:rFonts w:eastAsia="Calibri"/>
          <w:szCs w:val="22"/>
        </w:rPr>
        <w:t>negative hits is</w:t>
      </w:r>
      <w:proofErr w:type="gramEnd"/>
      <w:r w:rsidRPr="00CC73F3">
        <w:rPr>
          <w:rFonts w:eastAsia="Calibri"/>
          <w:szCs w:val="22"/>
        </w:rPr>
        <w:t xml:space="preserve"> the dependent variable.  As with the previous tests a training and holdout sample was used, and the holdout sample (57.1% classification accuracy) showed a deviation from the training sample (74.8%) of greater than 10%, indicating that the model was likely overfit to the training sample. Using the entire sample showed a correct classification rate of 71.5%. The Hosmer and Lemeshow Goodness-of-Fit test was not significant, indicating the model had acceptable fit. The model used to test H7b and H8b is shown in Table 36.</w:t>
      </w:r>
    </w:p>
    <w:p w:rsidR="00070FC5" w:rsidRPr="00CC73F3" w:rsidRDefault="00070FC5" w:rsidP="00D639F5">
      <w:pPr>
        <w:spacing w:line="480" w:lineRule="auto"/>
        <w:rPr>
          <w:rFonts w:eastAsia="Calibri"/>
          <w:szCs w:val="22"/>
        </w:rPr>
      </w:pPr>
      <w:r w:rsidRPr="00CC73F3">
        <w:rPr>
          <w:rFonts w:eastAsia="Calibri"/>
          <w:szCs w:val="22"/>
        </w:rPr>
        <w:tab/>
      </w:r>
      <w:r w:rsidRPr="00CC73F3">
        <w:rPr>
          <w:rFonts w:eastAsia="Calibri"/>
          <w:i/>
          <w:szCs w:val="22"/>
        </w:rPr>
        <w:t>H7b</w:t>
      </w:r>
      <w:r w:rsidRPr="00CC73F3">
        <w:rPr>
          <w:rFonts w:eastAsia="Calibri"/>
          <w:szCs w:val="22"/>
        </w:rPr>
        <w:t xml:space="preserve"> which predicts a positive interaction between a prevention focus and inventor expertise on negative hits was not supported (B = .00, </w:t>
      </w:r>
      <w:r w:rsidRPr="00CC73F3">
        <w:rPr>
          <w:rFonts w:eastAsia="Calibri"/>
          <w:i/>
          <w:szCs w:val="22"/>
        </w:rPr>
        <w:t>p</w:t>
      </w:r>
      <w:r w:rsidRPr="00CC73F3">
        <w:rPr>
          <w:rFonts w:eastAsia="Calibri"/>
          <w:szCs w:val="22"/>
        </w:rPr>
        <w:t xml:space="preserve"> = .97). </w:t>
      </w:r>
      <w:r w:rsidRPr="00CC73F3">
        <w:rPr>
          <w:rFonts w:eastAsia="Calibri"/>
          <w:i/>
          <w:szCs w:val="22"/>
        </w:rPr>
        <w:t>H8b</w:t>
      </w:r>
      <w:r w:rsidRPr="00CC73F3">
        <w:rPr>
          <w:rFonts w:eastAsia="Calibri"/>
          <w:szCs w:val="22"/>
        </w:rPr>
        <w:t xml:space="preserve"> which predicts a positive interaction between reflexivity and inventor expertise was also not supported (B = .00, </w:t>
      </w:r>
      <w:r w:rsidRPr="00CC73F3">
        <w:rPr>
          <w:rFonts w:eastAsia="Calibri"/>
          <w:i/>
          <w:szCs w:val="22"/>
        </w:rPr>
        <w:t>p</w:t>
      </w:r>
      <w:r w:rsidRPr="00CC73F3">
        <w:rPr>
          <w:rFonts w:eastAsia="Calibri"/>
          <w:szCs w:val="22"/>
        </w:rPr>
        <w:t xml:space="preserve"> = .86).</w:t>
      </w:r>
    </w:p>
    <w:p w:rsidR="00070FC5" w:rsidRPr="00CC73F3" w:rsidRDefault="00070FC5" w:rsidP="00D639F5">
      <w:pPr>
        <w:jc w:val="center"/>
        <w:rPr>
          <w:rFonts w:eastAsia="Calibri"/>
          <w:b/>
          <w:i/>
          <w:szCs w:val="22"/>
        </w:rPr>
      </w:pPr>
    </w:p>
    <w:p w:rsidR="00070FC5" w:rsidRPr="00CC73F3" w:rsidRDefault="00070FC5" w:rsidP="00D639F5">
      <w:pPr>
        <w:pStyle w:val="Caption"/>
        <w:rPr>
          <w:rFonts w:eastAsia="Calibri"/>
        </w:rPr>
      </w:pPr>
      <w:bookmarkStart w:id="139" w:name="_Toc420570962"/>
      <w:proofErr w:type="gramStart"/>
      <w:r w:rsidRPr="00CC73F3">
        <w:t xml:space="preserve">Table </w:t>
      </w:r>
      <w:fldSimple w:instr=" SEQ Table \* ARABIC ">
        <w:r w:rsidRPr="00CC73F3">
          <w:rPr>
            <w:noProof/>
          </w:rPr>
          <w:t>37</w:t>
        </w:r>
      </w:fldSimple>
      <w:r w:rsidRPr="00CC73F3">
        <w:rPr>
          <w:rFonts w:eastAsia="Calibri"/>
        </w:rPr>
        <w:t>.</w:t>
      </w:r>
      <w:proofErr w:type="gramEnd"/>
      <w:r w:rsidRPr="00CC73F3">
        <w:rPr>
          <w:rFonts w:eastAsia="Calibri"/>
        </w:rPr>
        <w:t xml:space="preserve"> Summary of Study 3 Hypothesis Tests</w:t>
      </w:r>
      <w:bookmarkEnd w:id="139"/>
    </w:p>
    <w:p w:rsidR="00070FC5" w:rsidRPr="00CC73F3" w:rsidRDefault="00070FC5" w:rsidP="00D639F5">
      <w:pPr>
        <w:rPr>
          <w:rFonts w:eastAsia="Calibri"/>
          <w:szCs w:val="22"/>
        </w:rPr>
      </w:pPr>
    </w:p>
    <w:tbl>
      <w:tblPr>
        <w:tblW w:w="4735" w:type="pct"/>
        <w:jc w:val="center"/>
        <w:tblInd w:w="525" w:type="dxa"/>
        <w:tblLook w:val="04A0" w:firstRow="1" w:lastRow="0" w:firstColumn="1" w:lastColumn="0" w:noHBand="0" w:noVBand="1"/>
      </w:tblPr>
      <w:tblGrid>
        <w:gridCol w:w="6772"/>
        <w:gridCol w:w="2296"/>
      </w:tblGrid>
      <w:tr w:rsidR="00070FC5" w:rsidRPr="00CC73F3" w:rsidTr="00D639F5">
        <w:trPr>
          <w:trHeight w:val="432"/>
          <w:jc w:val="center"/>
        </w:trPr>
        <w:tc>
          <w:tcPr>
            <w:tcW w:w="3734" w:type="pct"/>
            <w:tcBorders>
              <w:top w:val="single" w:sz="12" w:space="0" w:color="auto"/>
              <w:bottom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Hypothesis</w:t>
            </w:r>
          </w:p>
        </w:tc>
        <w:tc>
          <w:tcPr>
            <w:tcW w:w="1266" w:type="pct"/>
            <w:tcBorders>
              <w:top w:val="single" w:sz="12" w:space="0" w:color="auto"/>
              <w:bottom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Results</w:t>
            </w:r>
          </w:p>
        </w:tc>
      </w:tr>
      <w:tr w:rsidR="00070FC5" w:rsidRPr="00CC73F3" w:rsidTr="00D639F5">
        <w:trPr>
          <w:trHeight w:val="432"/>
          <w:jc w:val="center"/>
        </w:trPr>
        <w:tc>
          <w:tcPr>
            <w:tcW w:w="3734" w:type="pct"/>
            <w:tcBorders>
              <w:top w:val="single" w:sz="12" w:space="0" w:color="auto"/>
            </w:tcBorders>
            <w:shd w:val="clear" w:color="auto" w:fill="auto"/>
            <w:vAlign w:val="center"/>
          </w:tcPr>
          <w:p w:rsidR="00070FC5" w:rsidRPr="00CC73F3" w:rsidRDefault="00070FC5" w:rsidP="00D639F5">
            <w:pPr>
              <w:rPr>
                <w:rFonts w:eastAsia="Calibri"/>
              </w:rPr>
            </w:pPr>
            <w:r w:rsidRPr="00CC73F3">
              <w:rPr>
                <w:rFonts w:eastAsia="Calibri"/>
              </w:rPr>
              <w:t>H4a: Prevention</w:t>
            </w:r>
            <w:r w:rsidRPr="00CC73F3">
              <w:rPr>
                <w:rFonts w:eastAsia="Calibri"/>
              </w:rPr>
              <w:sym w:font="Wingdings" w:char="F0E0"/>
            </w:r>
            <w:r w:rsidRPr="00CC73F3">
              <w:rPr>
                <w:rFonts w:eastAsia="Calibri"/>
              </w:rPr>
              <w:t xml:space="preserve"> Positive Hits</w:t>
            </w:r>
          </w:p>
        </w:tc>
        <w:tc>
          <w:tcPr>
            <w:tcW w:w="1266" w:type="pct"/>
            <w:tcBorders>
              <w:top w:val="single" w:sz="12"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opposite direction</w:t>
            </w:r>
          </w:p>
        </w:tc>
      </w:tr>
      <w:tr w:rsidR="00070FC5" w:rsidRPr="00CC73F3" w:rsidTr="00D639F5">
        <w:trPr>
          <w:trHeight w:val="432"/>
          <w:jc w:val="center"/>
        </w:trPr>
        <w:tc>
          <w:tcPr>
            <w:tcW w:w="3734" w:type="pct"/>
            <w:shd w:val="clear" w:color="auto" w:fill="auto"/>
            <w:vAlign w:val="center"/>
          </w:tcPr>
          <w:p w:rsidR="00070FC5" w:rsidRPr="00CC73F3" w:rsidRDefault="00070FC5" w:rsidP="00D639F5">
            <w:pPr>
              <w:rPr>
                <w:rFonts w:eastAsia="Calibri"/>
              </w:rPr>
            </w:pPr>
            <w:r w:rsidRPr="00CC73F3">
              <w:rPr>
                <w:rFonts w:eastAsia="Calibri"/>
              </w:rPr>
              <w:t xml:space="preserve">H4b: Prevention </w:t>
            </w:r>
            <w:r w:rsidRPr="00CC73F3">
              <w:rPr>
                <w:rFonts w:eastAsia="Calibri"/>
              </w:rPr>
              <w:sym w:font="Wingdings" w:char="F0E0"/>
            </w:r>
            <w:r w:rsidRPr="00CC73F3">
              <w:rPr>
                <w:rFonts w:eastAsia="Calibri"/>
              </w:rPr>
              <w:t xml:space="preserve"> Negative Hits</w:t>
            </w:r>
          </w:p>
        </w:tc>
        <w:tc>
          <w:tcPr>
            <w:tcW w:w="1266" w:type="pct"/>
            <w:shd w:val="clear" w:color="auto" w:fill="auto"/>
            <w:vAlign w:val="center"/>
          </w:tcPr>
          <w:p w:rsidR="00070FC5" w:rsidRPr="00CC73F3" w:rsidRDefault="00070FC5" w:rsidP="00D639F5">
            <w:pPr>
              <w:jc w:val="center"/>
              <w:rPr>
                <w:rFonts w:eastAsia="Calibri"/>
                <w:i/>
              </w:rPr>
            </w:pPr>
            <w:r w:rsidRPr="00CC73F3">
              <w:rPr>
                <w:rFonts w:eastAsia="Calibri"/>
                <w:i/>
              </w:rPr>
              <w:t>not supported</w:t>
            </w:r>
          </w:p>
        </w:tc>
      </w:tr>
      <w:tr w:rsidR="00070FC5" w:rsidRPr="00CC73F3" w:rsidTr="00D639F5">
        <w:trPr>
          <w:trHeight w:val="432"/>
          <w:jc w:val="center"/>
        </w:trPr>
        <w:tc>
          <w:tcPr>
            <w:tcW w:w="3734" w:type="pct"/>
            <w:shd w:val="clear" w:color="auto" w:fill="auto"/>
            <w:vAlign w:val="center"/>
          </w:tcPr>
          <w:p w:rsidR="00070FC5" w:rsidRPr="00CC73F3" w:rsidRDefault="00070FC5" w:rsidP="00D639F5">
            <w:pPr>
              <w:rPr>
                <w:rFonts w:eastAsia="Calibri"/>
              </w:rPr>
            </w:pPr>
            <w:r w:rsidRPr="00CC73F3">
              <w:rPr>
                <w:rFonts w:eastAsia="Calibri"/>
              </w:rPr>
              <w:t xml:space="preserve">H5a: Reflexivity </w:t>
            </w:r>
            <w:r w:rsidRPr="00CC73F3">
              <w:rPr>
                <w:rFonts w:eastAsia="Calibri"/>
              </w:rPr>
              <w:sym w:font="Wingdings" w:char="F0E0"/>
            </w:r>
            <w:r w:rsidRPr="00CC73F3">
              <w:rPr>
                <w:rFonts w:eastAsia="Calibri"/>
              </w:rPr>
              <w:t xml:space="preserve"> Positive Hits</w:t>
            </w:r>
          </w:p>
        </w:tc>
        <w:tc>
          <w:tcPr>
            <w:tcW w:w="1266" w:type="pct"/>
            <w:shd w:val="clear" w:color="auto" w:fill="auto"/>
            <w:vAlign w:val="center"/>
          </w:tcPr>
          <w:p w:rsidR="00070FC5" w:rsidRPr="00CC73F3" w:rsidRDefault="00070FC5" w:rsidP="00D639F5">
            <w:pPr>
              <w:jc w:val="center"/>
              <w:rPr>
                <w:rFonts w:eastAsia="Calibri"/>
                <w:b/>
              </w:rPr>
            </w:pPr>
            <w:r w:rsidRPr="00CC73F3">
              <w:rPr>
                <w:rFonts w:eastAsia="Calibri"/>
                <w:b/>
              </w:rPr>
              <w:t>supported</w:t>
            </w:r>
          </w:p>
        </w:tc>
      </w:tr>
      <w:tr w:rsidR="00070FC5" w:rsidRPr="00CC73F3" w:rsidTr="00D639F5">
        <w:trPr>
          <w:trHeight w:val="432"/>
          <w:jc w:val="center"/>
        </w:trPr>
        <w:tc>
          <w:tcPr>
            <w:tcW w:w="3734" w:type="pct"/>
            <w:shd w:val="clear" w:color="auto" w:fill="auto"/>
            <w:vAlign w:val="center"/>
          </w:tcPr>
          <w:p w:rsidR="00070FC5" w:rsidRPr="00CC73F3" w:rsidRDefault="00070FC5" w:rsidP="00D639F5">
            <w:pPr>
              <w:rPr>
                <w:rFonts w:eastAsia="Calibri"/>
              </w:rPr>
            </w:pPr>
            <w:r w:rsidRPr="00CC73F3">
              <w:rPr>
                <w:rFonts w:eastAsia="Calibri"/>
              </w:rPr>
              <w:t xml:space="preserve">H5b: Reflexivity </w:t>
            </w:r>
            <w:r w:rsidRPr="00CC73F3">
              <w:rPr>
                <w:rFonts w:eastAsia="Calibri"/>
              </w:rPr>
              <w:sym w:font="Wingdings" w:char="F0E0"/>
            </w:r>
            <w:r w:rsidRPr="00CC73F3">
              <w:rPr>
                <w:rFonts w:eastAsia="Calibri"/>
              </w:rPr>
              <w:t xml:space="preserve"> Negative Hits</w:t>
            </w:r>
          </w:p>
        </w:tc>
        <w:tc>
          <w:tcPr>
            <w:tcW w:w="1266" w:type="pct"/>
            <w:shd w:val="clear" w:color="auto" w:fill="auto"/>
            <w:vAlign w:val="center"/>
          </w:tcPr>
          <w:p w:rsidR="00070FC5" w:rsidRPr="00CC73F3" w:rsidRDefault="00070FC5" w:rsidP="00D639F5">
            <w:pPr>
              <w:jc w:val="center"/>
              <w:rPr>
                <w:rFonts w:eastAsia="Calibri"/>
                <w:i/>
              </w:rPr>
            </w:pPr>
            <w:r w:rsidRPr="00CC73F3">
              <w:rPr>
                <w:rFonts w:eastAsia="Calibri"/>
                <w:i/>
              </w:rPr>
              <w:t>not supported</w:t>
            </w:r>
          </w:p>
        </w:tc>
      </w:tr>
      <w:tr w:rsidR="00070FC5" w:rsidRPr="00CC73F3" w:rsidTr="00D639F5">
        <w:trPr>
          <w:trHeight w:val="432"/>
          <w:jc w:val="center"/>
        </w:trPr>
        <w:tc>
          <w:tcPr>
            <w:tcW w:w="3734" w:type="pct"/>
            <w:shd w:val="clear" w:color="auto" w:fill="auto"/>
            <w:vAlign w:val="center"/>
          </w:tcPr>
          <w:p w:rsidR="00070FC5" w:rsidRPr="00CC73F3" w:rsidRDefault="00070FC5" w:rsidP="00D639F5">
            <w:pPr>
              <w:rPr>
                <w:rFonts w:eastAsia="Calibri"/>
              </w:rPr>
            </w:pPr>
            <w:r w:rsidRPr="00CC73F3">
              <w:rPr>
                <w:rFonts w:eastAsia="Calibri"/>
              </w:rPr>
              <w:t xml:space="preserve">H6a: Prevention x Reflexivity </w:t>
            </w:r>
            <w:r w:rsidRPr="00CC73F3">
              <w:rPr>
                <w:rFonts w:eastAsia="Calibri"/>
              </w:rPr>
              <w:sym w:font="Wingdings" w:char="F0E0"/>
            </w:r>
            <w:r w:rsidRPr="00CC73F3">
              <w:rPr>
                <w:rFonts w:eastAsia="Calibri"/>
              </w:rPr>
              <w:t xml:space="preserve"> Positive Hits</w:t>
            </w:r>
          </w:p>
        </w:tc>
        <w:tc>
          <w:tcPr>
            <w:tcW w:w="1266" w:type="pct"/>
            <w:shd w:val="clear" w:color="auto" w:fill="auto"/>
            <w:vAlign w:val="center"/>
          </w:tcPr>
          <w:p w:rsidR="00070FC5" w:rsidRPr="00CC73F3" w:rsidRDefault="00070FC5" w:rsidP="00D639F5">
            <w:pPr>
              <w:jc w:val="center"/>
              <w:rPr>
                <w:rFonts w:eastAsia="Calibri"/>
                <w:b/>
              </w:rPr>
            </w:pPr>
            <w:r w:rsidRPr="00CC73F3">
              <w:rPr>
                <w:rFonts w:eastAsia="Calibri"/>
                <w:b/>
              </w:rPr>
              <w:t>supported</w:t>
            </w:r>
          </w:p>
        </w:tc>
      </w:tr>
      <w:tr w:rsidR="00070FC5" w:rsidRPr="00CC73F3" w:rsidTr="00D639F5">
        <w:trPr>
          <w:trHeight w:val="432"/>
          <w:jc w:val="center"/>
        </w:trPr>
        <w:tc>
          <w:tcPr>
            <w:tcW w:w="3734" w:type="pct"/>
            <w:shd w:val="clear" w:color="auto" w:fill="auto"/>
            <w:vAlign w:val="center"/>
          </w:tcPr>
          <w:p w:rsidR="00070FC5" w:rsidRPr="00CC73F3" w:rsidRDefault="00070FC5" w:rsidP="00D639F5">
            <w:pPr>
              <w:rPr>
                <w:rFonts w:eastAsia="Calibri"/>
              </w:rPr>
            </w:pPr>
            <w:r w:rsidRPr="00CC73F3">
              <w:rPr>
                <w:rFonts w:eastAsia="Calibri"/>
              </w:rPr>
              <w:t xml:space="preserve">H6b: Prevention x Reflexivity </w:t>
            </w:r>
            <w:r w:rsidRPr="00CC73F3">
              <w:rPr>
                <w:rFonts w:eastAsia="Calibri"/>
              </w:rPr>
              <w:sym w:font="Wingdings" w:char="F0E0"/>
            </w:r>
            <w:r w:rsidRPr="00CC73F3">
              <w:rPr>
                <w:rFonts w:eastAsia="Calibri"/>
              </w:rPr>
              <w:t xml:space="preserve"> Negative Hits</w:t>
            </w:r>
          </w:p>
        </w:tc>
        <w:tc>
          <w:tcPr>
            <w:tcW w:w="1266" w:type="pct"/>
            <w:shd w:val="clear" w:color="auto" w:fill="auto"/>
            <w:vAlign w:val="center"/>
          </w:tcPr>
          <w:p w:rsidR="00070FC5" w:rsidRPr="00CC73F3" w:rsidRDefault="00070FC5" w:rsidP="00D639F5">
            <w:pPr>
              <w:jc w:val="center"/>
              <w:rPr>
                <w:rFonts w:eastAsia="Calibri"/>
                <w:i/>
              </w:rPr>
            </w:pPr>
            <w:r w:rsidRPr="00CC73F3">
              <w:rPr>
                <w:rFonts w:eastAsia="Calibri"/>
                <w:i/>
              </w:rPr>
              <w:t>not supported</w:t>
            </w:r>
          </w:p>
        </w:tc>
      </w:tr>
      <w:tr w:rsidR="00070FC5" w:rsidRPr="00CC73F3" w:rsidTr="00D639F5">
        <w:trPr>
          <w:trHeight w:val="432"/>
          <w:jc w:val="center"/>
        </w:trPr>
        <w:tc>
          <w:tcPr>
            <w:tcW w:w="3734" w:type="pct"/>
            <w:shd w:val="clear" w:color="auto" w:fill="auto"/>
            <w:vAlign w:val="center"/>
          </w:tcPr>
          <w:p w:rsidR="00070FC5" w:rsidRPr="00CC73F3" w:rsidRDefault="00070FC5" w:rsidP="00D639F5">
            <w:pPr>
              <w:rPr>
                <w:rFonts w:eastAsia="Calibri"/>
              </w:rPr>
            </w:pPr>
            <w:r w:rsidRPr="00CC73F3">
              <w:rPr>
                <w:rFonts w:eastAsia="Calibri"/>
              </w:rPr>
              <w:t xml:space="preserve">H7a: Regulatory Focus x Inventor Expertise </w:t>
            </w:r>
            <w:r w:rsidRPr="00CC73F3">
              <w:rPr>
                <w:rFonts w:eastAsia="Calibri"/>
              </w:rPr>
              <w:sym w:font="Wingdings" w:char="F0E0"/>
            </w:r>
            <w:r w:rsidRPr="00CC73F3">
              <w:rPr>
                <w:rFonts w:eastAsia="Calibri"/>
              </w:rPr>
              <w:t xml:space="preserve"> Positive Hits</w:t>
            </w:r>
          </w:p>
        </w:tc>
        <w:tc>
          <w:tcPr>
            <w:tcW w:w="1266" w:type="pct"/>
            <w:shd w:val="clear" w:color="auto" w:fill="auto"/>
            <w:vAlign w:val="center"/>
          </w:tcPr>
          <w:p w:rsidR="00070FC5" w:rsidRPr="00CC73F3" w:rsidRDefault="00070FC5" w:rsidP="00D639F5">
            <w:pPr>
              <w:jc w:val="center"/>
              <w:rPr>
                <w:rFonts w:eastAsia="Calibri"/>
                <w:b/>
              </w:rPr>
            </w:pPr>
            <w:r w:rsidRPr="00CC73F3">
              <w:rPr>
                <w:rFonts w:eastAsia="Calibri"/>
                <w:b/>
              </w:rPr>
              <w:t>supported</w:t>
            </w:r>
          </w:p>
        </w:tc>
      </w:tr>
      <w:tr w:rsidR="00070FC5" w:rsidRPr="00CC73F3" w:rsidTr="00D639F5">
        <w:trPr>
          <w:trHeight w:val="432"/>
          <w:jc w:val="center"/>
        </w:trPr>
        <w:tc>
          <w:tcPr>
            <w:tcW w:w="3734" w:type="pct"/>
            <w:shd w:val="clear" w:color="auto" w:fill="auto"/>
            <w:vAlign w:val="center"/>
          </w:tcPr>
          <w:p w:rsidR="00070FC5" w:rsidRPr="00CC73F3" w:rsidRDefault="00070FC5" w:rsidP="00D639F5">
            <w:pPr>
              <w:rPr>
                <w:rFonts w:eastAsia="Calibri"/>
              </w:rPr>
            </w:pPr>
            <w:r w:rsidRPr="00CC73F3">
              <w:rPr>
                <w:rFonts w:eastAsia="Calibri"/>
              </w:rPr>
              <w:t xml:space="preserve">H7b: Regulatory Focus x Inventor Expertise </w:t>
            </w:r>
            <w:r w:rsidRPr="00CC73F3">
              <w:rPr>
                <w:rFonts w:eastAsia="Calibri"/>
              </w:rPr>
              <w:sym w:font="Wingdings" w:char="F0E0"/>
            </w:r>
            <w:r w:rsidRPr="00CC73F3">
              <w:rPr>
                <w:rFonts w:eastAsia="Calibri"/>
              </w:rPr>
              <w:t xml:space="preserve"> Negative Hits</w:t>
            </w:r>
          </w:p>
        </w:tc>
        <w:tc>
          <w:tcPr>
            <w:tcW w:w="1266" w:type="pct"/>
            <w:shd w:val="clear" w:color="auto" w:fill="auto"/>
            <w:vAlign w:val="center"/>
          </w:tcPr>
          <w:p w:rsidR="00070FC5" w:rsidRPr="00CC73F3" w:rsidRDefault="00070FC5" w:rsidP="00D639F5">
            <w:pPr>
              <w:jc w:val="center"/>
              <w:rPr>
                <w:rFonts w:eastAsia="Calibri"/>
                <w:i/>
              </w:rPr>
            </w:pPr>
            <w:r w:rsidRPr="00CC73F3">
              <w:rPr>
                <w:rFonts w:eastAsia="Calibri"/>
                <w:i/>
              </w:rPr>
              <w:t>not supported</w:t>
            </w:r>
          </w:p>
        </w:tc>
      </w:tr>
      <w:tr w:rsidR="00070FC5" w:rsidRPr="00CC73F3" w:rsidTr="00D639F5">
        <w:trPr>
          <w:trHeight w:val="432"/>
          <w:jc w:val="center"/>
        </w:trPr>
        <w:tc>
          <w:tcPr>
            <w:tcW w:w="3734" w:type="pct"/>
            <w:shd w:val="clear" w:color="auto" w:fill="auto"/>
            <w:vAlign w:val="center"/>
          </w:tcPr>
          <w:p w:rsidR="00070FC5" w:rsidRPr="00CC73F3" w:rsidRDefault="00070FC5" w:rsidP="00D639F5">
            <w:pPr>
              <w:rPr>
                <w:rFonts w:eastAsia="Calibri"/>
              </w:rPr>
            </w:pPr>
            <w:r w:rsidRPr="00CC73F3">
              <w:rPr>
                <w:rFonts w:eastAsia="Calibri"/>
              </w:rPr>
              <w:t xml:space="preserve">H8a: Reflexivity x Inventor Expertise </w:t>
            </w:r>
            <w:r w:rsidRPr="00CC73F3">
              <w:rPr>
                <w:rFonts w:eastAsia="Calibri"/>
              </w:rPr>
              <w:sym w:font="Wingdings" w:char="F0E0"/>
            </w:r>
            <w:r w:rsidRPr="00CC73F3">
              <w:rPr>
                <w:rFonts w:eastAsia="Calibri"/>
              </w:rPr>
              <w:t xml:space="preserve"> Positive Hits</w:t>
            </w:r>
          </w:p>
        </w:tc>
        <w:tc>
          <w:tcPr>
            <w:tcW w:w="1266" w:type="pct"/>
            <w:shd w:val="clear" w:color="auto" w:fill="auto"/>
            <w:vAlign w:val="center"/>
          </w:tcPr>
          <w:p w:rsidR="00070FC5" w:rsidRPr="00CC73F3" w:rsidRDefault="00070FC5" w:rsidP="00D639F5">
            <w:pPr>
              <w:jc w:val="center"/>
              <w:rPr>
                <w:rFonts w:eastAsia="Calibri"/>
                <w:i/>
              </w:rPr>
            </w:pPr>
            <w:r w:rsidRPr="00CC73F3">
              <w:rPr>
                <w:rFonts w:eastAsia="Calibri"/>
                <w:i/>
              </w:rPr>
              <w:t>not supported</w:t>
            </w:r>
          </w:p>
        </w:tc>
      </w:tr>
      <w:tr w:rsidR="00070FC5" w:rsidRPr="00CC73F3" w:rsidTr="00D639F5">
        <w:trPr>
          <w:trHeight w:val="432"/>
          <w:jc w:val="center"/>
        </w:trPr>
        <w:tc>
          <w:tcPr>
            <w:tcW w:w="3734" w:type="pct"/>
            <w:tcBorders>
              <w:bottom w:val="single" w:sz="12" w:space="0" w:color="auto"/>
            </w:tcBorders>
            <w:shd w:val="clear" w:color="auto" w:fill="auto"/>
            <w:vAlign w:val="center"/>
          </w:tcPr>
          <w:p w:rsidR="00070FC5" w:rsidRPr="00CC73F3" w:rsidRDefault="00070FC5" w:rsidP="00D639F5">
            <w:pPr>
              <w:rPr>
                <w:rFonts w:eastAsia="Calibri"/>
              </w:rPr>
            </w:pPr>
            <w:r w:rsidRPr="00CC73F3">
              <w:rPr>
                <w:rFonts w:eastAsia="Calibri"/>
              </w:rPr>
              <w:t xml:space="preserve">H8b: Reflexivity x Inventor Expertise </w:t>
            </w:r>
            <w:r w:rsidRPr="00CC73F3">
              <w:rPr>
                <w:rFonts w:eastAsia="Calibri"/>
              </w:rPr>
              <w:sym w:font="Wingdings" w:char="F0E0"/>
            </w:r>
            <w:r w:rsidRPr="00CC73F3">
              <w:rPr>
                <w:rFonts w:eastAsia="Calibri"/>
              </w:rPr>
              <w:t xml:space="preserve"> Negative Hits</w:t>
            </w:r>
          </w:p>
        </w:tc>
        <w:tc>
          <w:tcPr>
            <w:tcW w:w="1266" w:type="pct"/>
            <w:tcBorders>
              <w:bottom w:val="single" w:sz="12"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not supported</w:t>
            </w:r>
          </w:p>
        </w:tc>
      </w:tr>
    </w:tbl>
    <w:p w:rsidR="00070FC5" w:rsidRPr="00CC73F3" w:rsidRDefault="00070FC5" w:rsidP="00D639F5">
      <w:pPr>
        <w:rPr>
          <w:rFonts w:eastAsia="Calibri"/>
          <w:szCs w:val="22"/>
        </w:rPr>
      </w:pPr>
    </w:p>
    <w:p w:rsidR="00070FC5" w:rsidRPr="00CC73F3" w:rsidRDefault="00070FC5" w:rsidP="00D639F5">
      <w:pPr>
        <w:pStyle w:val="Heading2"/>
      </w:pPr>
      <w:bookmarkStart w:id="140" w:name="_Toc420572632"/>
      <w:r w:rsidRPr="00CC73F3">
        <w:t>Study 3 Summary</w:t>
      </w:r>
      <w:bookmarkEnd w:id="140"/>
    </w:p>
    <w:p w:rsidR="00070FC5" w:rsidRPr="00CC73F3" w:rsidRDefault="00070FC5" w:rsidP="00D639F5">
      <w:pPr>
        <w:spacing w:line="480" w:lineRule="auto"/>
        <w:rPr>
          <w:rFonts w:eastAsia="Calibri"/>
          <w:szCs w:val="22"/>
        </w:rPr>
      </w:pPr>
      <w:r w:rsidRPr="00CC73F3">
        <w:rPr>
          <w:rFonts w:eastAsia="Calibri"/>
          <w:szCs w:val="22"/>
        </w:rPr>
        <w:tab/>
        <w:t>In Study 3, both the direct and interaction effects of group regulatory focus were tested, as well as the interaction effects between regulatory focus and inventor expertise and reflexivity and inventor expertise. Three of the 10 hypothesis (</w:t>
      </w:r>
      <w:r w:rsidRPr="00CC73F3">
        <w:rPr>
          <w:rFonts w:eastAsia="Calibri"/>
          <w:i/>
          <w:szCs w:val="22"/>
        </w:rPr>
        <w:t>H5a</w:t>
      </w:r>
      <w:r w:rsidRPr="00CC73F3">
        <w:rPr>
          <w:rFonts w:eastAsia="Calibri"/>
          <w:szCs w:val="22"/>
        </w:rPr>
        <w:t xml:space="preserve">, </w:t>
      </w:r>
      <w:r w:rsidRPr="00CC73F3">
        <w:rPr>
          <w:rFonts w:eastAsia="Calibri"/>
          <w:i/>
          <w:szCs w:val="22"/>
        </w:rPr>
        <w:t>H6a</w:t>
      </w:r>
      <w:r w:rsidRPr="00CC73F3">
        <w:rPr>
          <w:rFonts w:eastAsia="Calibri"/>
          <w:szCs w:val="22"/>
        </w:rPr>
        <w:t xml:space="preserve">, and </w:t>
      </w:r>
      <w:r w:rsidRPr="00CC73F3">
        <w:rPr>
          <w:rFonts w:eastAsia="Calibri"/>
          <w:i/>
          <w:szCs w:val="22"/>
        </w:rPr>
        <w:t>H7a</w:t>
      </w:r>
      <w:r w:rsidRPr="00CC73F3">
        <w:rPr>
          <w:rFonts w:eastAsia="Calibri"/>
          <w:szCs w:val="22"/>
        </w:rPr>
        <w:t>) were supported. One hypothesis test (</w:t>
      </w:r>
      <w:r w:rsidRPr="00CC73F3">
        <w:rPr>
          <w:rFonts w:eastAsia="Calibri"/>
          <w:i/>
          <w:szCs w:val="22"/>
        </w:rPr>
        <w:t>H4a</w:t>
      </w:r>
      <w:r w:rsidRPr="00CC73F3">
        <w:rPr>
          <w:rFonts w:eastAsia="Calibri"/>
          <w:szCs w:val="22"/>
        </w:rPr>
        <w:t>) was not supported, but was significant in the opposite direction. A summary of the hypothesis tests and results is shown in Table 37.</w:t>
      </w:r>
    </w:p>
    <w:p w:rsidR="00070FC5" w:rsidRPr="00CC73F3" w:rsidRDefault="00070FC5" w:rsidP="00D639F5">
      <w:pPr>
        <w:rPr>
          <w:rFonts w:eastAsia="Calibri"/>
          <w:b/>
          <w:szCs w:val="22"/>
        </w:rPr>
      </w:pPr>
    </w:p>
    <w:p w:rsidR="00070FC5" w:rsidRPr="00CC73F3" w:rsidRDefault="00070FC5" w:rsidP="00D639F5">
      <w:pPr>
        <w:pStyle w:val="Heading2"/>
      </w:pPr>
      <w:bookmarkStart w:id="141" w:name="_Toc420572633"/>
      <w:r w:rsidRPr="00CC73F3">
        <w:t xml:space="preserve">Summary of Results </w:t>
      </w:r>
      <w:proofErr w:type="gramStart"/>
      <w:r w:rsidRPr="00CC73F3">
        <w:t>Across</w:t>
      </w:r>
      <w:proofErr w:type="gramEnd"/>
      <w:r w:rsidRPr="00CC73F3">
        <w:t xml:space="preserve"> Study 1, Study 2, and Study 3</w:t>
      </w:r>
      <w:bookmarkEnd w:id="141"/>
    </w:p>
    <w:p w:rsidR="00070FC5" w:rsidRPr="00CC73F3" w:rsidRDefault="00070FC5" w:rsidP="00D639F5">
      <w:pPr>
        <w:spacing w:line="480" w:lineRule="auto"/>
        <w:rPr>
          <w:rFonts w:eastAsia="Calibri"/>
          <w:szCs w:val="22"/>
        </w:rPr>
      </w:pPr>
      <w:r w:rsidRPr="00CC73F3">
        <w:rPr>
          <w:rFonts w:eastAsia="Calibri"/>
          <w:szCs w:val="22"/>
        </w:rPr>
        <w:tab/>
        <w:t xml:space="preserve">In Study 1, the results showed that a group prevention focus was positively associated with how accurate teams were in assessing both the feasibility and meaningfulness of a cocreated new product concept. The study also showed a significant interaction between group regulatory focus and group reflexivity that for cocreated new product concept meaningfulness. </w:t>
      </w:r>
    </w:p>
    <w:p w:rsidR="00070FC5" w:rsidRPr="00CC73F3" w:rsidRDefault="00070FC5" w:rsidP="00D639F5">
      <w:pPr>
        <w:spacing w:line="480" w:lineRule="auto"/>
        <w:rPr>
          <w:rFonts w:eastAsia="Calibri"/>
          <w:szCs w:val="22"/>
        </w:rPr>
      </w:pPr>
      <w:r w:rsidRPr="00CC73F3">
        <w:rPr>
          <w:rFonts w:eastAsia="Calibri"/>
          <w:szCs w:val="22"/>
        </w:rPr>
        <w:tab/>
        <w:t>In Study 2, there were no significant results for the model using positive hits as a dependent variable or negative hits as a dependent variable. Several reasons as to why Study 2 failed to yield significant results are addressed in the discussion in the next chapter. When reflexivity was high, prevention-focused groups were more accurate in their assessment of meaningfulness. Conversely, when group reflexivity was low, promotion-focused groups were more accurate in their assessment of meaningfulness.</w:t>
      </w:r>
    </w:p>
    <w:p w:rsidR="00070FC5" w:rsidRPr="00CC73F3" w:rsidRDefault="00070FC5" w:rsidP="00D639F5">
      <w:pPr>
        <w:spacing w:line="480" w:lineRule="auto"/>
        <w:rPr>
          <w:rFonts w:eastAsia="Calibri"/>
          <w:szCs w:val="22"/>
        </w:rPr>
      </w:pPr>
      <w:r w:rsidRPr="00CC73F3">
        <w:rPr>
          <w:rFonts w:eastAsia="Calibri"/>
          <w:szCs w:val="22"/>
        </w:rPr>
        <w:tab/>
        <w:t>In Study 3, the results showed that a promotion focus and high reflexivity were positively related to the probability of positive hits, or correctly accepting products which were highly rated by consumers on a willingness to purchase measure. The results also showed a significant interaction between regulatory focus and reflexivity. When reflexivity was high, a prevention-oriented focus was associated with a higher probability of positive hits. When reflexivity was low, a promotion focus was associated with a higher probability of positive hits.</w:t>
      </w:r>
    </w:p>
    <w:p w:rsidR="00070FC5" w:rsidRPr="00CC73F3" w:rsidRDefault="00070FC5" w:rsidP="00D639F5">
      <w:pPr>
        <w:spacing w:line="480" w:lineRule="auto"/>
        <w:rPr>
          <w:rFonts w:eastAsia="Calibri"/>
          <w:szCs w:val="22"/>
        </w:rPr>
      </w:pPr>
    </w:p>
    <w:p w:rsidR="00070FC5" w:rsidRPr="00CC73F3" w:rsidRDefault="00070FC5" w:rsidP="00D639F5">
      <w:pPr>
        <w:pStyle w:val="Caption"/>
        <w:rPr>
          <w:rFonts w:eastAsia="Calibri"/>
        </w:rPr>
      </w:pPr>
      <w:bookmarkStart w:id="142" w:name="_Toc420570963"/>
      <w:proofErr w:type="gramStart"/>
      <w:r w:rsidRPr="00CC73F3">
        <w:t xml:space="preserve">Table </w:t>
      </w:r>
      <w:fldSimple w:instr=" SEQ Table \* ARABIC ">
        <w:r w:rsidRPr="00CC73F3">
          <w:rPr>
            <w:noProof/>
          </w:rPr>
          <w:t>38</w:t>
        </w:r>
      </w:fldSimple>
      <w:r w:rsidRPr="00CC73F3">
        <w:rPr>
          <w:rFonts w:eastAsia="Calibri"/>
        </w:rPr>
        <w:t>.</w:t>
      </w:r>
      <w:proofErr w:type="gramEnd"/>
      <w:r w:rsidRPr="00CC73F3">
        <w:rPr>
          <w:rFonts w:eastAsia="Calibri"/>
        </w:rPr>
        <w:t xml:space="preserve"> Summary of Hypothesis Tests </w:t>
      </w:r>
      <w:proofErr w:type="gramStart"/>
      <w:r w:rsidRPr="00CC73F3">
        <w:rPr>
          <w:rFonts w:eastAsia="Calibri"/>
        </w:rPr>
        <w:t>Across</w:t>
      </w:r>
      <w:proofErr w:type="gramEnd"/>
      <w:r w:rsidRPr="00CC73F3">
        <w:rPr>
          <w:rFonts w:eastAsia="Calibri"/>
        </w:rPr>
        <w:t xml:space="preserve"> Studies 1, 2, and 3</w:t>
      </w:r>
      <w:bookmarkEnd w:id="142"/>
    </w:p>
    <w:p w:rsidR="00070FC5" w:rsidRPr="00CC73F3" w:rsidRDefault="00070FC5" w:rsidP="00D639F5">
      <w:pPr>
        <w:jc w:val="center"/>
        <w:rPr>
          <w:rFonts w:eastAsia="Calibri"/>
          <w:szCs w:val="22"/>
        </w:rPr>
      </w:pPr>
    </w:p>
    <w:tbl>
      <w:tblPr>
        <w:tblW w:w="4963" w:type="pct"/>
        <w:jc w:val="center"/>
        <w:tblLayout w:type="fixed"/>
        <w:tblLook w:val="04A0" w:firstRow="1" w:lastRow="0" w:firstColumn="1" w:lastColumn="0" w:noHBand="0" w:noVBand="1"/>
      </w:tblPr>
      <w:tblGrid>
        <w:gridCol w:w="5635"/>
        <w:gridCol w:w="1260"/>
        <w:gridCol w:w="1260"/>
        <w:gridCol w:w="1350"/>
      </w:tblGrid>
      <w:tr w:rsidR="00070FC5" w:rsidRPr="00CC73F3" w:rsidTr="00D639F5">
        <w:trPr>
          <w:trHeight w:val="432"/>
          <w:jc w:val="center"/>
        </w:trPr>
        <w:tc>
          <w:tcPr>
            <w:tcW w:w="2964" w:type="pct"/>
            <w:tcBorders>
              <w:top w:val="single" w:sz="12" w:space="0" w:color="auto"/>
              <w:bottom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Hypothesis</w:t>
            </w:r>
          </w:p>
        </w:tc>
        <w:tc>
          <w:tcPr>
            <w:tcW w:w="663" w:type="pct"/>
            <w:tcBorders>
              <w:top w:val="single" w:sz="12" w:space="0" w:color="auto"/>
              <w:bottom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Study 1</w:t>
            </w:r>
          </w:p>
        </w:tc>
        <w:tc>
          <w:tcPr>
            <w:tcW w:w="663" w:type="pct"/>
            <w:tcBorders>
              <w:top w:val="single" w:sz="12" w:space="0" w:color="auto"/>
              <w:bottom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Study 2</w:t>
            </w:r>
          </w:p>
        </w:tc>
        <w:tc>
          <w:tcPr>
            <w:tcW w:w="710" w:type="pct"/>
            <w:tcBorders>
              <w:top w:val="single" w:sz="12" w:space="0" w:color="auto"/>
              <w:bottom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Study 3</w:t>
            </w:r>
          </w:p>
        </w:tc>
      </w:tr>
      <w:tr w:rsidR="00070FC5" w:rsidRPr="00CC73F3" w:rsidTr="00D639F5">
        <w:trPr>
          <w:trHeight w:val="432"/>
          <w:jc w:val="center"/>
        </w:trPr>
        <w:tc>
          <w:tcPr>
            <w:tcW w:w="2964" w:type="pct"/>
            <w:tcBorders>
              <w:top w:val="single" w:sz="12" w:space="0" w:color="auto"/>
            </w:tcBorders>
            <w:shd w:val="clear" w:color="auto" w:fill="auto"/>
            <w:vAlign w:val="center"/>
          </w:tcPr>
          <w:p w:rsidR="00070FC5" w:rsidRPr="00CC73F3" w:rsidRDefault="00070FC5" w:rsidP="00D639F5">
            <w:pPr>
              <w:tabs>
                <w:tab w:val="left" w:pos="722"/>
              </w:tabs>
              <w:rPr>
                <w:rFonts w:eastAsia="Calibri"/>
              </w:rPr>
            </w:pPr>
            <w:r w:rsidRPr="00CC73F3">
              <w:rPr>
                <w:rFonts w:eastAsia="Calibri"/>
              </w:rPr>
              <w:t xml:space="preserve">H1a: Promotion </w:t>
            </w:r>
            <w:r w:rsidRPr="00CC73F3">
              <w:rPr>
                <w:rFonts w:eastAsia="Calibri"/>
              </w:rPr>
              <w:sym w:font="Wingdings" w:char="F0E0"/>
            </w:r>
            <w:r w:rsidRPr="00CC73F3">
              <w:rPr>
                <w:rFonts w:eastAsia="Calibri"/>
              </w:rPr>
              <w:t xml:space="preserve"> Novelty</w:t>
            </w:r>
          </w:p>
        </w:tc>
        <w:tc>
          <w:tcPr>
            <w:tcW w:w="663" w:type="pct"/>
            <w:tcBorders>
              <w:top w:val="single" w:sz="12"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663" w:type="pct"/>
            <w:tcBorders>
              <w:top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tcBorders>
              <w:top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H1b: Prevention </w:t>
            </w:r>
            <w:r w:rsidRPr="00CC73F3">
              <w:rPr>
                <w:rFonts w:eastAsia="Calibri"/>
              </w:rPr>
              <w:sym w:font="Wingdings" w:char="F0E0"/>
            </w:r>
            <w:r w:rsidRPr="00CC73F3">
              <w:rPr>
                <w:rFonts w:eastAsia="Calibri"/>
              </w:rPr>
              <w:t xml:space="preserve"> Meaningfulness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marginal  support</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H1c: Prevention </w:t>
            </w:r>
            <w:r w:rsidRPr="00CC73F3">
              <w:rPr>
                <w:rFonts w:eastAsia="Calibri"/>
              </w:rPr>
              <w:sym w:font="Wingdings" w:char="F0E0"/>
            </w:r>
            <w:r w:rsidRPr="00CC73F3">
              <w:rPr>
                <w:rFonts w:eastAsia="Calibri"/>
              </w:rPr>
              <w:t xml:space="preserve"> Feasibility</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supported</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H2a: High Reflexivity </w:t>
            </w:r>
            <w:r w:rsidRPr="00CC73F3">
              <w:rPr>
                <w:rFonts w:eastAsia="Calibri"/>
              </w:rPr>
              <w:sym w:font="Wingdings" w:char="F0E0"/>
            </w:r>
            <w:r w:rsidRPr="00CC73F3">
              <w:rPr>
                <w:rFonts w:eastAsia="Calibri"/>
              </w:rPr>
              <w:t xml:space="preserve"> Novelty</w:t>
            </w:r>
          </w:p>
        </w:tc>
        <w:tc>
          <w:tcPr>
            <w:tcW w:w="663"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H2b: High Reflexivity </w:t>
            </w:r>
            <w:r w:rsidRPr="00CC73F3">
              <w:rPr>
                <w:rFonts w:eastAsia="Calibri"/>
              </w:rPr>
              <w:sym w:font="Wingdings" w:char="F0E0"/>
            </w:r>
            <w:r w:rsidRPr="00CC73F3">
              <w:rPr>
                <w:rFonts w:eastAsia="Calibri"/>
              </w:rPr>
              <w:t xml:space="preserve"> Meaningfulness</w:t>
            </w:r>
          </w:p>
        </w:tc>
        <w:tc>
          <w:tcPr>
            <w:tcW w:w="663"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H2c: High Reflexivity </w:t>
            </w:r>
            <w:r w:rsidRPr="00CC73F3">
              <w:rPr>
                <w:rFonts w:eastAsia="Calibri"/>
              </w:rPr>
              <w:sym w:font="Wingdings" w:char="F0E0"/>
            </w:r>
            <w:r w:rsidRPr="00CC73F3">
              <w:rPr>
                <w:rFonts w:eastAsia="Calibri"/>
              </w:rPr>
              <w:t xml:space="preserve"> Feasibility</w:t>
            </w:r>
          </w:p>
        </w:tc>
        <w:tc>
          <w:tcPr>
            <w:tcW w:w="663"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H3a: Prevention x High Reflexivity </w:t>
            </w:r>
            <w:r w:rsidRPr="00CC73F3">
              <w:rPr>
                <w:rFonts w:eastAsia="Calibri"/>
              </w:rPr>
              <w:sym w:font="Wingdings" w:char="F0E0"/>
            </w:r>
            <w:r w:rsidRPr="00CC73F3">
              <w:rPr>
                <w:rFonts w:eastAsia="Calibri"/>
              </w:rPr>
              <w:t xml:space="preserve"> Novelty</w:t>
            </w:r>
          </w:p>
        </w:tc>
        <w:tc>
          <w:tcPr>
            <w:tcW w:w="663"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H3b: Prevention x High Reflexivity  </w:t>
            </w:r>
            <w:r w:rsidRPr="00CC73F3">
              <w:rPr>
                <w:rFonts w:eastAsia="Calibri"/>
              </w:rPr>
              <w:sym w:font="Wingdings" w:char="F0E0"/>
            </w:r>
            <w:r w:rsidRPr="00CC73F3">
              <w:rPr>
                <w:rFonts w:eastAsia="Calibri"/>
              </w:rPr>
              <w:t xml:space="preserve"> Meaningfulness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supported</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H3c: Prevention x High Reflexivity  </w:t>
            </w:r>
            <w:r w:rsidRPr="00CC73F3">
              <w:rPr>
                <w:rFonts w:eastAsia="Calibri"/>
              </w:rPr>
              <w:sym w:font="Wingdings" w:char="F0E0"/>
            </w:r>
            <w:r w:rsidRPr="00CC73F3">
              <w:rPr>
                <w:rFonts w:eastAsia="Calibri"/>
              </w:rPr>
              <w:t xml:space="preserve"> Feasibility</w:t>
            </w:r>
          </w:p>
        </w:tc>
        <w:tc>
          <w:tcPr>
            <w:tcW w:w="663"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H4a: Prevention</w:t>
            </w:r>
            <w:r w:rsidRPr="00CC73F3">
              <w:rPr>
                <w:rFonts w:eastAsia="Calibri"/>
              </w:rPr>
              <w:sym w:font="Wingdings" w:char="F0E0"/>
            </w:r>
            <w:r w:rsidRPr="00CC73F3">
              <w:rPr>
                <w:rFonts w:eastAsia="Calibri"/>
              </w:rPr>
              <w:t xml:space="preserve"> Positive Hits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663"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710" w:type="pct"/>
            <w:shd w:val="clear" w:color="auto" w:fill="auto"/>
            <w:vAlign w:val="center"/>
          </w:tcPr>
          <w:p w:rsidR="00070FC5" w:rsidRPr="00CC73F3" w:rsidRDefault="00070FC5" w:rsidP="00D639F5">
            <w:pPr>
              <w:jc w:val="center"/>
              <w:rPr>
                <w:rFonts w:eastAsia="Calibri"/>
                <w:i/>
              </w:rPr>
            </w:pPr>
            <w:proofErr w:type="spellStart"/>
            <w:r w:rsidRPr="00CC73F3">
              <w:rPr>
                <w:rFonts w:eastAsia="Calibri"/>
                <w:i/>
              </w:rPr>
              <w:t>opp.dir</w:t>
            </w:r>
            <w:proofErr w:type="spellEnd"/>
            <w:r w:rsidRPr="00CC73F3">
              <w:rPr>
                <w:rFonts w:eastAsia="Calibri"/>
                <w:i/>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H4b: Prevention </w:t>
            </w:r>
            <w:r w:rsidRPr="00CC73F3">
              <w:rPr>
                <w:rFonts w:eastAsia="Calibri"/>
              </w:rPr>
              <w:sym w:font="Wingdings" w:char="F0E0"/>
            </w:r>
            <w:r w:rsidRPr="00CC73F3">
              <w:rPr>
                <w:rFonts w:eastAsia="Calibri"/>
              </w:rPr>
              <w:t xml:space="preserve"> Negative Hits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663"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710"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H5a: Reflexivity </w:t>
            </w:r>
            <w:r w:rsidRPr="00CC73F3">
              <w:rPr>
                <w:rFonts w:eastAsia="Calibri"/>
              </w:rPr>
              <w:sym w:font="Wingdings" w:char="F0E0"/>
            </w:r>
            <w:r w:rsidRPr="00CC73F3">
              <w:rPr>
                <w:rFonts w:eastAsia="Calibri"/>
              </w:rPr>
              <w:t xml:space="preserve"> Positive Hits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663"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supported</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H5b: Reflexivity </w:t>
            </w:r>
            <w:r w:rsidRPr="00CC73F3">
              <w:rPr>
                <w:rFonts w:eastAsia="Calibri"/>
              </w:rPr>
              <w:sym w:font="Wingdings" w:char="F0E0"/>
            </w:r>
            <w:r w:rsidRPr="00CC73F3">
              <w:rPr>
                <w:rFonts w:eastAsia="Calibri"/>
              </w:rPr>
              <w:t xml:space="preserve"> Negative Hits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663"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710"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H6a: Prevention x Reflexivity </w:t>
            </w:r>
            <w:r w:rsidRPr="00CC73F3">
              <w:rPr>
                <w:rFonts w:eastAsia="Calibri"/>
              </w:rPr>
              <w:sym w:font="Wingdings" w:char="F0E0"/>
            </w:r>
            <w:r w:rsidRPr="00CC73F3">
              <w:rPr>
                <w:rFonts w:eastAsia="Calibri"/>
              </w:rPr>
              <w:t xml:space="preserve"> Positive Hits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663"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supported</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H6b: Prevention x Reflexivity </w:t>
            </w:r>
            <w:r w:rsidRPr="00CC73F3">
              <w:rPr>
                <w:rFonts w:eastAsia="Calibri"/>
              </w:rPr>
              <w:sym w:font="Wingdings" w:char="F0E0"/>
            </w:r>
            <w:r w:rsidRPr="00CC73F3">
              <w:rPr>
                <w:rFonts w:eastAsia="Calibri"/>
              </w:rPr>
              <w:t xml:space="preserve"> Negative Hits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supported</w:t>
            </w:r>
          </w:p>
        </w:tc>
        <w:tc>
          <w:tcPr>
            <w:tcW w:w="710" w:type="pct"/>
            <w:shd w:val="clear" w:color="auto" w:fill="auto"/>
            <w:vAlign w:val="center"/>
          </w:tcPr>
          <w:p w:rsidR="00070FC5" w:rsidRPr="00CC73F3" w:rsidRDefault="00070FC5" w:rsidP="00D639F5">
            <w:pPr>
              <w:jc w:val="center"/>
              <w:rPr>
                <w:rFonts w:eastAsia="Calibri"/>
                <w:i/>
              </w:rPr>
            </w:pPr>
            <w:proofErr w:type="spellStart"/>
            <w:r w:rsidRPr="00CC73F3">
              <w:rPr>
                <w:rFonts w:eastAsia="Calibri"/>
                <w:i/>
              </w:rPr>
              <w:t>opp.dir</w:t>
            </w:r>
            <w:proofErr w:type="spellEnd"/>
            <w:r w:rsidRPr="00CC73F3">
              <w:rPr>
                <w:rFonts w:eastAsia="Calibri"/>
                <w:i/>
              </w:rPr>
              <w:t>.</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H7a: Prevention x Inventor Expertise </w:t>
            </w:r>
            <w:r w:rsidRPr="00CC73F3">
              <w:rPr>
                <w:rFonts w:eastAsia="Calibri"/>
              </w:rPr>
              <w:sym w:font="Wingdings" w:char="F0E0"/>
            </w:r>
            <w:r w:rsidRPr="00CC73F3">
              <w:rPr>
                <w:rFonts w:eastAsia="Calibri"/>
              </w:rPr>
              <w:t xml:space="preserve"> Positive Hits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b/>
              </w:rPr>
            </w:pPr>
            <w:r w:rsidRPr="00CC73F3">
              <w:rPr>
                <w:rFonts w:eastAsia="Calibri"/>
                <w:b/>
              </w:rPr>
              <w:t>supported</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H7b: Prevention x Inventor Expertise </w:t>
            </w:r>
            <w:r w:rsidRPr="00CC73F3">
              <w:rPr>
                <w:rFonts w:eastAsia="Calibri"/>
              </w:rPr>
              <w:sym w:font="Wingdings" w:char="F0E0"/>
            </w:r>
            <w:r w:rsidRPr="00CC73F3">
              <w:rPr>
                <w:rFonts w:eastAsia="Calibri"/>
              </w:rPr>
              <w:t xml:space="preserve"> Negative Hits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r>
      <w:tr w:rsidR="00070FC5" w:rsidRPr="00CC73F3" w:rsidTr="00D639F5">
        <w:trPr>
          <w:trHeight w:val="432"/>
          <w:jc w:val="center"/>
        </w:trPr>
        <w:tc>
          <w:tcPr>
            <w:tcW w:w="2964" w:type="pct"/>
            <w:shd w:val="clear" w:color="auto" w:fill="auto"/>
            <w:vAlign w:val="center"/>
          </w:tcPr>
          <w:p w:rsidR="00070FC5" w:rsidRPr="00CC73F3" w:rsidRDefault="00070FC5" w:rsidP="00D639F5">
            <w:pPr>
              <w:rPr>
                <w:rFonts w:eastAsia="Calibri"/>
              </w:rPr>
            </w:pPr>
            <w:r w:rsidRPr="00CC73F3">
              <w:rPr>
                <w:rFonts w:eastAsia="Calibri"/>
              </w:rPr>
              <w:t xml:space="preserve">H8a: Reflexivity x Inventor Expertise </w:t>
            </w:r>
            <w:r w:rsidRPr="00CC73F3">
              <w:rPr>
                <w:rFonts w:eastAsia="Calibri"/>
              </w:rPr>
              <w:sym w:font="Wingdings" w:char="F0E0"/>
            </w:r>
            <w:r w:rsidRPr="00CC73F3">
              <w:rPr>
                <w:rFonts w:eastAsia="Calibri"/>
              </w:rPr>
              <w:t xml:space="preserve"> Positive Hits</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663" w:type="pct"/>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shd w:val="clear" w:color="auto" w:fill="auto"/>
            <w:vAlign w:val="center"/>
          </w:tcPr>
          <w:p w:rsidR="00070FC5" w:rsidRPr="00CC73F3" w:rsidRDefault="00070FC5" w:rsidP="00D639F5">
            <w:pPr>
              <w:jc w:val="center"/>
              <w:rPr>
                <w:rFonts w:eastAsia="Calibri"/>
                <w:i/>
              </w:rPr>
            </w:pPr>
            <w:r w:rsidRPr="00CC73F3">
              <w:rPr>
                <w:rFonts w:eastAsia="Calibri"/>
                <w:i/>
              </w:rPr>
              <w:t>not sig.</w:t>
            </w:r>
          </w:p>
        </w:tc>
      </w:tr>
      <w:tr w:rsidR="00070FC5" w:rsidRPr="00CC73F3" w:rsidTr="00D639F5">
        <w:trPr>
          <w:trHeight w:val="432"/>
          <w:jc w:val="center"/>
        </w:trPr>
        <w:tc>
          <w:tcPr>
            <w:tcW w:w="2964" w:type="pct"/>
            <w:tcBorders>
              <w:bottom w:val="single" w:sz="12" w:space="0" w:color="auto"/>
            </w:tcBorders>
            <w:shd w:val="clear" w:color="auto" w:fill="auto"/>
            <w:vAlign w:val="center"/>
          </w:tcPr>
          <w:p w:rsidR="00070FC5" w:rsidRPr="00CC73F3" w:rsidRDefault="00070FC5" w:rsidP="00D639F5">
            <w:pPr>
              <w:rPr>
                <w:rFonts w:eastAsia="Calibri"/>
              </w:rPr>
            </w:pPr>
            <w:r w:rsidRPr="00CC73F3">
              <w:rPr>
                <w:rFonts w:eastAsia="Calibri"/>
              </w:rPr>
              <w:t xml:space="preserve">H8b: Reflexivity x Inventor Expertise </w:t>
            </w:r>
            <w:r w:rsidRPr="00CC73F3">
              <w:rPr>
                <w:rFonts w:eastAsia="Calibri"/>
              </w:rPr>
              <w:sym w:font="Wingdings" w:char="F0E0"/>
            </w:r>
            <w:r w:rsidRPr="00CC73F3">
              <w:rPr>
                <w:rFonts w:eastAsia="Calibri"/>
              </w:rPr>
              <w:t xml:space="preserve"> Negative Hits</w:t>
            </w:r>
          </w:p>
        </w:tc>
        <w:tc>
          <w:tcPr>
            <w:tcW w:w="663" w:type="pct"/>
            <w:tcBorders>
              <w:bottom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663" w:type="pct"/>
            <w:tcBorders>
              <w:bottom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w:t>
            </w:r>
          </w:p>
        </w:tc>
        <w:tc>
          <w:tcPr>
            <w:tcW w:w="710" w:type="pct"/>
            <w:tcBorders>
              <w:bottom w:val="single" w:sz="12" w:space="0" w:color="auto"/>
            </w:tcBorders>
            <w:shd w:val="clear" w:color="auto" w:fill="auto"/>
            <w:vAlign w:val="center"/>
          </w:tcPr>
          <w:p w:rsidR="00070FC5" w:rsidRPr="00CC73F3" w:rsidRDefault="00070FC5" w:rsidP="00D639F5">
            <w:pPr>
              <w:jc w:val="center"/>
              <w:rPr>
                <w:rFonts w:eastAsia="Calibri"/>
                <w:i/>
              </w:rPr>
            </w:pPr>
            <w:r w:rsidRPr="00CC73F3">
              <w:rPr>
                <w:rFonts w:eastAsia="Calibri"/>
                <w:i/>
              </w:rPr>
              <w:t>not sig.</w:t>
            </w:r>
          </w:p>
        </w:tc>
      </w:tr>
    </w:tbl>
    <w:p w:rsidR="00070FC5" w:rsidRPr="00CC73F3" w:rsidRDefault="00070FC5" w:rsidP="00D639F5">
      <w:pPr>
        <w:spacing w:line="480" w:lineRule="auto"/>
        <w:rPr>
          <w:rFonts w:eastAsia="Calibri"/>
          <w:szCs w:val="22"/>
        </w:rPr>
      </w:pPr>
    </w:p>
    <w:p w:rsidR="00070FC5" w:rsidRPr="00CC73F3" w:rsidRDefault="00070FC5" w:rsidP="00D639F5">
      <w:pPr>
        <w:spacing w:line="480" w:lineRule="auto"/>
        <w:rPr>
          <w:rFonts w:eastAsia="Calibri"/>
          <w:szCs w:val="22"/>
        </w:rPr>
      </w:pPr>
      <w:r w:rsidRPr="00CC73F3">
        <w:rPr>
          <w:rFonts w:eastAsia="Calibri"/>
          <w:szCs w:val="22"/>
        </w:rPr>
        <w:tab/>
        <w:t>Past research has shown, out of the three dimensions of innovativeness examined in Study 1, meaningfulness has the highest correlation with new product success (Szymanski, Kroff, and Troy, 2007). Although the results across the three studies were largely non-significant, the primary point of convergence is in the significant interaction between regulatory focus and reflexivity and its influence on assessment of products with the most potential, meaningfulness in Study 1 and positive hits in Study 3. The supported hypotheses for each of the three studies are shown above in Table 38.</w:t>
      </w:r>
      <w:r w:rsidRPr="00CC73F3">
        <w:rPr>
          <w:rFonts w:eastAsia="Calibri"/>
          <w:szCs w:val="22"/>
        </w:rPr>
        <w:tab/>
      </w:r>
    </w:p>
    <w:p w:rsidR="00070FC5" w:rsidRPr="00CC73F3" w:rsidRDefault="00070FC5" w:rsidP="00D639F5">
      <w:pPr>
        <w:pStyle w:val="Heading2"/>
        <w:spacing w:before="480"/>
      </w:pPr>
      <w:bookmarkStart w:id="143" w:name="_Toc420572634"/>
      <w:r w:rsidRPr="00CC73F3">
        <w:t>Chapter 4 Conclusion</w:t>
      </w:r>
      <w:bookmarkEnd w:id="143"/>
    </w:p>
    <w:p w:rsidR="00070FC5" w:rsidRPr="00CC73F3" w:rsidRDefault="00070FC5" w:rsidP="00D639F5">
      <w:pPr>
        <w:spacing w:line="480" w:lineRule="auto"/>
        <w:rPr>
          <w:rFonts w:eastAsia="Calibri"/>
          <w:szCs w:val="22"/>
        </w:rPr>
      </w:pPr>
      <w:r w:rsidRPr="00CC73F3">
        <w:rPr>
          <w:rFonts w:eastAsia="Calibri"/>
          <w:szCs w:val="22"/>
        </w:rPr>
        <w:tab/>
        <w:t xml:space="preserve">In this chapter, the methodology, applicable pretests, and main results were presented for Study 1, Study 2, and Study 3. Studies 1 and 2 were experiments, while Study 3 was a video ethnography in which content from a firm’s evaluation and selection meetings were analyzed. The details of each study were described, as well as a summary of findings across the three studies. In the next chapter these findings are discussed in depth, including implications for </w:t>
      </w:r>
      <w:proofErr w:type="gramStart"/>
      <w:r w:rsidRPr="00CC73F3">
        <w:rPr>
          <w:rFonts w:eastAsia="Calibri"/>
          <w:szCs w:val="22"/>
        </w:rPr>
        <w:t>both theory</w:t>
      </w:r>
      <w:proofErr w:type="gramEnd"/>
      <w:r w:rsidRPr="00CC73F3">
        <w:rPr>
          <w:rFonts w:eastAsia="Calibri"/>
          <w:szCs w:val="22"/>
        </w:rPr>
        <w:t xml:space="preserve"> and practice, as well as limitations and future research directions.</w:t>
      </w:r>
    </w:p>
    <w:p w:rsidR="00070FC5" w:rsidRPr="00CC73F3" w:rsidRDefault="00070FC5" w:rsidP="00D639F5">
      <w:pPr>
        <w:pStyle w:val="Heading1"/>
      </w:pPr>
      <w:r w:rsidRPr="00CC73F3">
        <w:br w:type="page"/>
      </w:r>
      <w:bookmarkStart w:id="144" w:name="_Toc420572635"/>
      <w:r w:rsidRPr="00CC73F3">
        <w:t xml:space="preserve">Chapter 5 </w:t>
      </w:r>
      <w:r w:rsidRPr="00CC73F3">
        <w:br/>
        <w:t>Discussion</w:t>
      </w:r>
      <w:bookmarkEnd w:id="144"/>
    </w:p>
    <w:p w:rsidR="00070FC5" w:rsidRPr="00CC73F3" w:rsidRDefault="00070FC5" w:rsidP="00D639F5">
      <w:pPr>
        <w:spacing w:line="480" w:lineRule="auto"/>
        <w:jc w:val="center"/>
        <w:rPr>
          <w:rFonts w:eastAsia="Calibri"/>
          <w:b/>
          <w:szCs w:val="22"/>
        </w:rPr>
      </w:pPr>
    </w:p>
    <w:p w:rsidR="00070FC5" w:rsidRPr="00CC73F3" w:rsidRDefault="00070FC5" w:rsidP="00D639F5">
      <w:pPr>
        <w:spacing w:line="480" w:lineRule="auto"/>
        <w:rPr>
          <w:rFonts w:eastAsia="Calibri"/>
          <w:szCs w:val="22"/>
        </w:rPr>
      </w:pPr>
      <w:r w:rsidRPr="00CC73F3">
        <w:rPr>
          <w:rFonts w:eastAsia="Calibri"/>
          <w:szCs w:val="22"/>
        </w:rPr>
        <w:tab/>
        <w:t>This dissertation began by presenting for consideration research questions which asked how group regulatory focus and group reflexivity operate, individually and in interaction with each other, to influence the quality of cocreated new product evaluation and selection decisions. These research questions were addressed over the course of three studies, for which the conceptual model is shown in Figure 10. Study 1 was a lab experiment that investigated the influence of regulatory focus and reflexivity on group assessments of the novelty, meaningfulness, and feasibility of cocreated new product ideas. Study 2 was a second experiment conducted in the lab that looked at how regulatory focus and reflexivity influence teams’ ability to accurately identify the market potential of cocreated product ideas. Study 3 investigated these same constructs in a field setting to determine how regulatory focus and reflexivity influenced professional product development teams’ judgements of cocreated new product concepts. In this chapter, the findings from these three studies are discussed, including insights from each study, implications for theory, implications for managers, limitations, and future research directions,.</w:t>
      </w:r>
    </w:p>
    <w:p w:rsidR="00070FC5" w:rsidRPr="00CC73F3" w:rsidRDefault="00070FC5" w:rsidP="00D639F5">
      <w:pPr>
        <w:spacing w:line="480" w:lineRule="auto"/>
        <w:rPr>
          <w:rFonts w:eastAsia="Calibri"/>
          <w:szCs w:val="22"/>
        </w:rPr>
      </w:pPr>
    </w:p>
    <w:p w:rsidR="00070FC5" w:rsidRPr="00CC73F3" w:rsidRDefault="00070FC5" w:rsidP="00D639F5">
      <w:pPr>
        <w:pStyle w:val="Heading2"/>
      </w:pPr>
      <w:bookmarkStart w:id="145" w:name="_Toc420572636"/>
      <w:r w:rsidRPr="00CC73F3">
        <w:t>Regulatory Focus and Reflexivity in Evaluating Cocreated New Product Concepts</w:t>
      </w:r>
      <w:bookmarkEnd w:id="145"/>
    </w:p>
    <w:p w:rsidR="00070FC5" w:rsidRPr="00CC73F3" w:rsidRDefault="00070FC5" w:rsidP="00D639F5">
      <w:pPr>
        <w:spacing w:line="480" w:lineRule="auto"/>
        <w:rPr>
          <w:rFonts w:eastAsia="Calibri"/>
          <w:szCs w:val="22"/>
        </w:rPr>
      </w:pPr>
      <w:r w:rsidRPr="00CC73F3">
        <w:rPr>
          <w:rFonts w:eastAsia="Calibri"/>
          <w:b/>
          <w:szCs w:val="22"/>
        </w:rPr>
        <w:tab/>
      </w:r>
      <w:r w:rsidRPr="00CC73F3">
        <w:rPr>
          <w:rFonts w:eastAsia="Calibri"/>
          <w:szCs w:val="22"/>
        </w:rPr>
        <w:t xml:space="preserve">The main effects investigated in these three studies were group regulatory focus (prevention/promotion) and reflexivity (high/low). Group regulatory focus </w:t>
      </w:r>
      <w:r w:rsidRPr="00CC73F3">
        <w:rPr>
          <w:rFonts w:eastAsia="Calibri"/>
          <w:noProof/>
          <w:szCs w:val="22"/>
        </w:rPr>
        <w:t>(Baron, 2004; Brockner et al., 2004; Florack &amp; Hartmann, 2007)</w:t>
      </w:r>
      <w:r w:rsidRPr="00CC73F3">
        <w:rPr>
          <w:rFonts w:eastAsia="Calibri"/>
          <w:szCs w:val="22"/>
        </w:rPr>
        <w:t xml:space="preserve"> describes how teams are motivated in their decision-making – either by avoiding punishment and negative consequences (prevention focus) or pursuing achievement and success (promotion focus). Reflexivity describes the degree to which teams reflect on their shared knowledge and the decision-making process they use to identify market opportunities (West, 1996). </w:t>
      </w:r>
    </w:p>
    <w:p w:rsidR="00070FC5" w:rsidRPr="00CC73F3" w:rsidRDefault="00070FC5" w:rsidP="00D639F5">
      <w:pPr>
        <w:spacing w:line="480" w:lineRule="auto"/>
        <w:rPr>
          <w:rFonts w:eastAsia="Calibri"/>
          <w:szCs w:val="22"/>
        </w:rPr>
      </w:pPr>
    </w:p>
    <w:p w:rsidR="00070FC5" w:rsidRPr="00CC73F3" w:rsidRDefault="007E2E0A" w:rsidP="00D639F5">
      <w:pPr>
        <w:spacing w:line="480" w:lineRule="auto"/>
        <w:rPr>
          <w:rFonts w:eastAsia="Calibri"/>
          <w:szCs w:val="22"/>
        </w:rPr>
      </w:pPr>
      <w:r>
        <w:pict>
          <v:shape id="_x0000_i1037" type="#_x0000_t75" style="width:468pt;height:267pt;visibility:visible">
            <v:imagedata r:id="rId10" o:title=""/>
          </v:shape>
        </w:pict>
      </w:r>
    </w:p>
    <w:p w:rsidR="00070FC5" w:rsidRPr="00CC73F3" w:rsidRDefault="00070FC5" w:rsidP="00D639F5">
      <w:pPr>
        <w:pStyle w:val="Caption"/>
        <w:rPr>
          <w:rFonts w:eastAsia="Calibri"/>
        </w:rPr>
      </w:pPr>
      <w:bookmarkStart w:id="146" w:name="_Toc420524240"/>
      <w:proofErr w:type="gramStart"/>
      <w:r w:rsidRPr="00CC73F3">
        <w:t xml:space="preserve">Figure </w:t>
      </w:r>
      <w:fldSimple w:instr=" SEQ Figure \* ARABIC ">
        <w:r w:rsidRPr="00CC73F3">
          <w:rPr>
            <w:noProof/>
          </w:rPr>
          <w:t>10</w:t>
        </w:r>
      </w:fldSimple>
      <w:r w:rsidRPr="00CC73F3">
        <w:rPr>
          <w:rFonts w:eastAsia="Calibri"/>
        </w:rPr>
        <w:t>.</w:t>
      </w:r>
      <w:proofErr w:type="gramEnd"/>
      <w:r w:rsidRPr="00CC73F3">
        <w:rPr>
          <w:rFonts w:eastAsia="Calibri"/>
        </w:rPr>
        <w:t xml:space="preserve"> Conceptual Model for Studies 1, 2, and 3</w:t>
      </w:r>
      <w:bookmarkEnd w:id="146"/>
    </w:p>
    <w:p w:rsidR="00070FC5" w:rsidRPr="00CC73F3" w:rsidRDefault="00070FC5" w:rsidP="00D639F5">
      <w:pPr>
        <w:rPr>
          <w:rFonts w:eastAsia="Calibri"/>
        </w:rPr>
      </w:pPr>
    </w:p>
    <w:p w:rsidR="00070FC5" w:rsidRPr="00CC73F3" w:rsidRDefault="00070FC5" w:rsidP="00D639F5">
      <w:pPr>
        <w:spacing w:line="480" w:lineRule="auto"/>
        <w:rPr>
          <w:rFonts w:eastAsia="Calibri"/>
          <w:i/>
          <w:szCs w:val="22"/>
        </w:rPr>
      </w:pPr>
    </w:p>
    <w:p w:rsidR="00070FC5" w:rsidRPr="00CC73F3" w:rsidRDefault="00070FC5" w:rsidP="00D639F5">
      <w:pPr>
        <w:pStyle w:val="Heading2"/>
      </w:pPr>
      <w:bookmarkStart w:id="147" w:name="_Toc420572637"/>
      <w:r w:rsidRPr="00CC73F3">
        <w:t>Main Effects of Regulatory Focus: Overview and Insights</w:t>
      </w:r>
      <w:bookmarkEnd w:id="147"/>
    </w:p>
    <w:p w:rsidR="00070FC5" w:rsidRPr="00CC73F3" w:rsidRDefault="00070FC5" w:rsidP="00D639F5">
      <w:pPr>
        <w:spacing w:line="480" w:lineRule="auto"/>
        <w:rPr>
          <w:rFonts w:eastAsia="Calibri"/>
          <w:szCs w:val="22"/>
        </w:rPr>
      </w:pPr>
      <w:r w:rsidRPr="00CC73F3">
        <w:rPr>
          <w:rFonts w:eastAsia="Calibri"/>
          <w:szCs w:val="22"/>
        </w:rPr>
        <w:tab/>
        <w:t xml:space="preserve">All three studies examined the main effects of regulatory focus on decision making in a cocreation of innovation context. The decision context in Study 1 involved rating a series of product concepts in the lab, such that all of the cocreated product concepts were rated independently of one another. All of the teams were primed for either and prevention focus or a promotion focus. In Study 2, the context was lab-based, and involved rating the perceived best-seller and the perceived worst-seller from several sets of three product ideas. As in Study 1, all of the teams were primed for either </w:t>
      </w:r>
      <w:proofErr w:type="gramStart"/>
      <w:r w:rsidRPr="00CC73F3">
        <w:rPr>
          <w:rFonts w:eastAsia="Calibri"/>
          <w:szCs w:val="22"/>
        </w:rPr>
        <w:t>a prevention</w:t>
      </w:r>
      <w:proofErr w:type="gramEnd"/>
      <w:r w:rsidRPr="00CC73F3">
        <w:rPr>
          <w:rFonts w:eastAsia="Calibri"/>
          <w:szCs w:val="22"/>
        </w:rPr>
        <w:t xml:space="preserve"> or a promotion focus. Study 3 was conducted in the context of real cocreation decisions by working professionals, and discussants evaluated and voted on each product idea independently of the other ideas they saw. They could have potentially chosen to adopt all or none of the 186 products rather than rating them in comparison to one another as in Study 2. Since regulatory focus could not be manipulated in this context it was measured as a continuous variable, as described in the previous chapters.</w:t>
      </w:r>
    </w:p>
    <w:p w:rsidR="00070FC5" w:rsidRPr="00CC73F3" w:rsidRDefault="00070FC5" w:rsidP="00D639F5">
      <w:pPr>
        <w:spacing w:line="480" w:lineRule="auto"/>
        <w:rPr>
          <w:rFonts w:eastAsia="Calibri"/>
          <w:i/>
          <w:szCs w:val="22"/>
        </w:rPr>
      </w:pPr>
      <w:r w:rsidRPr="00CC73F3">
        <w:rPr>
          <w:rFonts w:eastAsia="Calibri"/>
          <w:szCs w:val="22"/>
        </w:rPr>
        <w:t xml:space="preserve"> </w:t>
      </w:r>
      <w:r w:rsidRPr="00CC73F3">
        <w:rPr>
          <w:rFonts w:eastAsia="Calibri"/>
          <w:szCs w:val="22"/>
        </w:rPr>
        <w:tab/>
      </w:r>
    </w:p>
    <w:p w:rsidR="00070FC5" w:rsidRPr="00CC73F3" w:rsidRDefault="00070FC5" w:rsidP="00D639F5">
      <w:pPr>
        <w:pStyle w:val="Heading3"/>
      </w:pPr>
      <w:bookmarkStart w:id="148" w:name="_Toc420572638"/>
      <w:r w:rsidRPr="00CC73F3">
        <w:t>Study 1</w:t>
      </w:r>
      <w:bookmarkEnd w:id="148"/>
    </w:p>
    <w:p w:rsidR="00070FC5" w:rsidRPr="00CC73F3" w:rsidRDefault="00070FC5" w:rsidP="00D639F5">
      <w:pPr>
        <w:spacing w:line="480" w:lineRule="auto"/>
        <w:rPr>
          <w:rFonts w:eastAsia="Calibri"/>
          <w:color w:val="000000"/>
          <w:szCs w:val="22"/>
        </w:rPr>
      </w:pPr>
      <w:r w:rsidRPr="00CC73F3">
        <w:rPr>
          <w:rFonts w:eastAsia="Calibri"/>
          <w:szCs w:val="22"/>
        </w:rPr>
        <w:tab/>
      </w:r>
      <w:r w:rsidRPr="00CC73F3">
        <w:rPr>
          <w:rFonts w:eastAsia="Calibri"/>
          <w:color w:val="000000"/>
          <w:szCs w:val="22"/>
        </w:rPr>
        <w:t xml:space="preserve">In Study 1, the results showed a significant main effect of regulatory focus on the meaningfulness and the feasibility of cocreated new product concepts. Specifically, groups in the </w:t>
      </w:r>
      <w:r w:rsidRPr="00CC73F3">
        <w:rPr>
          <w:rFonts w:eastAsia="Calibri"/>
          <w:i/>
          <w:color w:val="000000"/>
          <w:szCs w:val="22"/>
        </w:rPr>
        <w:t>prevention</w:t>
      </w:r>
      <w:r w:rsidRPr="00CC73F3">
        <w:rPr>
          <w:rFonts w:eastAsia="Calibri"/>
          <w:color w:val="000000"/>
          <w:szCs w:val="22"/>
        </w:rPr>
        <w:t xml:space="preserve"> condition were more accurate in their assessments of both of these dimensions of new product innovativeness. The study did not show, however, any significant effect of regulatory focus on cocreated new product novelty.  </w:t>
      </w:r>
    </w:p>
    <w:p w:rsidR="00070FC5" w:rsidRPr="00CC73F3" w:rsidRDefault="00070FC5" w:rsidP="00D639F5">
      <w:pPr>
        <w:spacing w:line="480" w:lineRule="auto"/>
        <w:rPr>
          <w:rFonts w:eastAsia="Calibri"/>
          <w:color w:val="000000"/>
          <w:szCs w:val="22"/>
        </w:rPr>
      </w:pPr>
      <w:r w:rsidRPr="00CC73F3">
        <w:rPr>
          <w:rFonts w:eastAsia="Calibri"/>
          <w:color w:val="000000"/>
          <w:szCs w:val="22"/>
        </w:rPr>
        <w:tab/>
        <w:t>Several insights emerge from Study 1. First, the lack of relationship between regulatory focus and accurate assessment of novelty may be due to the fact that that accurately evaluating novelty is simply a function of product category expertise. The more knowledge a team has about a particular product category, the more the team may be able to make accurate judgements about how novel products in that category are. There is empirical evidence for this assertion in the findings for Study 1, as product category knowledge was a significant covariate, (</w:t>
      </w:r>
      <w:proofErr w:type="gramStart"/>
      <w:r w:rsidRPr="00CC73F3">
        <w:rPr>
          <w:rFonts w:eastAsia="Calibri"/>
          <w:color w:val="000000"/>
          <w:szCs w:val="22"/>
        </w:rPr>
        <w:t>F(</w:t>
      </w:r>
      <w:proofErr w:type="gramEnd"/>
      <w:r w:rsidRPr="00CC73F3">
        <w:rPr>
          <w:rFonts w:eastAsia="Calibri"/>
          <w:color w:val="000000"/>
          <w:szCs w:val="22"/>
        </w:rPr>
        <w:t xml:space="preserve">1,151) = .38, p = .01, </w:t>
      </w:r>
      <w:r w:rsidRPr="00CC73F3">
        <w:rPr>
          <w:rFonts w:eastAsia="Calibri"/>
          <w:i/>
          <w:color w:val="000000"/>
          <w:szCs w:val="22"/>
        </w:rPr>
        <w:t>η</w:t>
      </w:r>
      <w:r w:rsidRPr="00CC73F3">
        <w:rPr>
          <w:rFonts w:eastAsia="Calibri"/>
          <w:color w:val="000000"/>
          <w:szCs w:val="22"/>
          <w:vertAlign w:val="superscript"/>
        </w:rPr>
        <w:t>2</w:t>
      </w:r>
      <w:r w:rsidRPr="00CC73F3">
        <w:rPr>
          <w:rFonts w:eastAsia="Calibri"/>
          <w:color w:val="000000"/>
          <w:szCs w:val="22"/>
        </w:rPr>
        <w:t xml:space="preserve"> = .05), in the model predicting the teams’ accuracy of cocreated new product novelty. Novelty, in effect, is always relative to other products, and without at least a moderate understanding of a product category novelty, is a difficult dimension to judge accurately.</w:t>
      </w:r>
    </w:p>
    <w:p w:rsidR="00070FC5" w:rsidRPr="00CC73F3" w:rsidRDefault="00070FC5" w:rsidP="00D639F5">
      <w:pPr>
        <w:spacing w:line="480" w:lineRule="auto"/>
        <w:rPr>
          <w:rFonts w:eastAsia="Calibri"/>
          <w:szCs w:val="22"/>
        </w:rPr>
      </w:pPr>
      <w:r w:rsidRPr="00CC73F3">
        <w:rPr>
          <w:rFonts w:eastAsia="Calibri"/>
          <w:color w:val="000000"/>
          <w:szCs w:val="22"/>
        </w:rPr>
        <w:tab/>
        <w:t xml:space="preserve">Following the hypothesized directions, a prevention focus was also associated with greater accuracy in assessing cocreated new product meaningfulness and cocreated new product feasibility. </w:t>
      </w:r>
      <w:r w:rsidRPr="00CC73F3">
        <w:rPr>
          <w:rFonts w:eastAsia="Calibri"/>
          <w:szCs w:val="22"/>
        </w:rPr>
        <w:t xml:space="preserve">In assessing these dimensions, a promotion orientation may operate on a more abstract level of construal </w:t>
      </w:r>
      <w:r w:rsidRPr="00CC73F3">
        <w:rPr>
          <w:rFonts w:eastAsia="Calibri"/>
          <w:noProof/>
          <w:szCs w:val="22"/>
        </w:rPr>
        <w:t>(White, MacDonnell, &amp; Dahl, 2011; Ziamou &amp; Veryzer, 2005)</w:t>
      </w:r>
      <w:r w:rsidRPr="00CC73F3">
        <w:rPr>
          <w:rFonts w:eastAsia="Calibri"/>
          <w:szCs w:val="22"/>
        </w:rPr>
        <w:t xml:space="preserve">, which can be a double-edged sword. On one hand, it would allow evaluators in a promotion-focused team to visualize the technical feasibility and customer need fulfillment potential of a new product idea, even when the idea is not clearly-articulated. On the other hand, it may cause teams to underestimate the risks involved in a given product idea by being less attentive to the specific details of how a product would need to be designed, and how well it would fulfill customer needs. This finding fits with how a promotion focus has been conceptualized at the group level in regulatory focus theory; promotion-focused groups tend to underestimate the actual amount of risk involved in any given decision, while prevention-focused groups are more aware of inherent risks (Brockner </w:t>
      </w:r>
      <w:proofErr w:type="gramStart"/>
      <w:r w:rsidRPr="00CC73F3">
        <w:rPr>
          <w:rFonts w:eastAsia="Calibri"/>
          <w:szCs w:val="22"/>
        </w:rPr>
        <w:t>et</w:t>
      </w:r>
      <w:proofErr w:type="gramEnd"/>
      <w:r w:rsidRPr="00CC73F3">
        <w:rPr>
          <w:rFonts w:eastAsia="Calibri"/>
          <w:szCs w:val="22"/>
        </w:rPr>
        <w:t xml:space="preserve"> a., 2004).</w:t>
      </w:r>
    </w:p>
    <w:p w:rsidR="00070FC5" w:rsidRPr="00CC73F3" w:rsidRDefault="00070FC5" w:rsidP="00D639F5">
      <w:pPr>
        <w:pStyle w:val="Heading2"/>
      </w:pPr>
    </w:p>
    <w:p w:rsidR="00070FC5" w:rsidRPr="00CC73F3" w:rsidRDefault="00070FC5" w:rsidP="00D639F5">
      <w:pPr>
        <w:pStyle w:val="Heading3"/>
      </w:pPr>
      <w:bookmarkStart w:id="149" w:name="_Toc420572639"/>
      <w:r w:rsidRPr="00CC73F3">
        <w:t>Study 2</w:t>
      </w:r>
      <w:bookmarkEnd w:id="149"/>
      <w:r w:rsidRPr="00CC73F3">
        <w:t xml:space="preserve"> </w:t>
      </w:r>
    </w:p>
    <w:p w:rsidR="00070FC5" w:rsidRPr="00CC73F3" w:rsidRDefault="00070FC5" w:rsidP="00D639F5">
      <w:pPr>
        <w:spacing w:line="480" w:lineRule="auto"/>
        <w:rPr>
          <w:rFonts w:eastAsia="Calibri"/>
          <w:szCs w:val="22"/>
        </w:rPr>
      </w:pPr>
      <w:r w:rsidRPr="00CC73F3">
        <w:rPr>
          <w:rFonts w:eastAsia="Calibri"/>
          <w:szCs w:val="22"/>
        </w:rPr>
        <w:tab/>
        <w:t xml:space="preserve">In Study 2, the main effects of both reflexivity and regulatory focus were not significant. Although there were several main effects found in Studies 1 and 3, Study 2, seemed to yield little in the way of insight due to non-significant results (only one significant interaction was found). These non-findings could be due to several possible reasons. First, the product set categories used in Study 2 may simply not have been products with which the sample of undergraduate student teams was highly familiar. For example, looking at the product category knowledge scores shows </w:t>
      </w:r>
      <w:r w:rsidRPr="00CC73F3">
        <w:rPr>
          <w:rFonts w:eastAsia="Calibri"/>
          <w:i/>
          <w:szCs w:val="22"/>
        </w:rPr>
        <w:t>phone accessories</w:t>
      </w:r>
      <w:r w:rsidRPr="00CC73F3">
        <w:rPr>
          <w:rFonts w:eastAsia="Calibri"/>
          <w:szCs w:val="22"/>
        </w:rPr>
        <w:t xml:space="preserve"> had the highest mean level of self-reported product category knowledge (M</w:t>
      </w:r>
      <w:r w:rsidRPr="00CC73F3">
        <w:rPr>
          <w:rFonts w:eastAsia="Calibri"/>
          <w:szCs w:val="22"/>
          <w:vertAlign w:val="subscript"/>
        </w:rPr>
        <w:t>phone</w:t>
      </w:r>
      <w:r w:rsidRPr="00CC73F3">
        <w:rPr>
          <w:rFonts w:eastAsia="Calibri"/>
          <w:szCs w:val="22"/>
        </w:rPr>
        <w:t xml:space="preserve"> = 4.11 vs. M</w:t>
      </w:r>
      <w:r w:rsidRPr="00CC73F3">
        <w:rPr>
          <w:rFonts w:eastAsia="Calibri"/>
          <w:szCs w:val="22"/>
          <w:vertAlign w:val="subscript"/>
        </w:rPr>
        <w:t>kitchen</w:t>
      </w:r>
      <w:r w:rsidRPr="00CC73F3">
        <w:rPr>
          <w:rFonts w:eastAsia="Calibri"/>
          <w:szCs w:val="22"/>
        </w:rPr>
        <w:t xml:space="preserve"> = 3.81 vs. M</w:t>
      </w:r>
      <w:r w:rsidRPr="00CC73F3">
        <w:rPr>
          <w:rFonts w:eastAsia="Calibri"/>
          <w:szCs w:val="22"/>
          <w:vertAlign w:val="subscript"/>
        </w:rPr>
        <w:t>cord</w:t>
      </w:r>
      <w:r w:rsidRPr="00CC73F3">
        <w:rPr>
          <w:rFonts w:eastAsia="Calibri"/>
          <w:szCs w:val="22"/>
        </w:rPr>
        <w:t xml:space="preserve"> = 2.93). In looking at positive and negative hits for the only phone accessories category, which had the highest level of category knowledge, prevention was approaching significance as a predictor of  positive hits (</w:t>
      </w:r>
      <w:r w:rsidRPr="00CC73F3">
        <w:rPr>
          <w:rFonts w:eastAsia="Calibri"/>
          <w:i/>
          <w:szCs w:val="22"/>
        </w:rPr>
        <w:t>F</w:t>
      </w:r>
      <w:r w:rsidRPr="00CC73F3">
        <w:rPr>
          <w:rFonts w:eastAsia="Calibri"/>
          <w:szCs w:val="22"/>
        </w:rPr>
        <w:t xml:space="preserve">(1,124) = 2.518, </w:t>
      </w:r>
      <w:r w:rsidRPr="00CC73F3">
        <w:rPr>
          <w:rFonts w:eastAsia="Calibri"/>
          <w:i/>
          <w:szCs w:val="22"/>
        </w:rPr>
        <w:t xml:space="preserve">p </w:t>
      </w:r>
      <w:r w:rsidRPr="00CC73F3">
        <w:rPr>
          <w:rFonts w:eastAsia="Calibri"/>
          <w:szCs w:val="22"/>
        </w:rPr>
        <w:t xml:space="preserve">= .115, </w:t>
      </w:r>
      <w:r w:rsidRPr="00CC73F3">
        <w:rPr>
          <w:rFonts w:ascii="Calibri" w:eastAsia="Calibri" w:hAnsi="Calibri"/>
          <w:i/>
          <w:szCs w:val="22"/>
        </w:rPr>
        <w:t>η</w:t>
      </w:r>
      <w:r w:rsidRPr="00CC73F3">
        <w:rPr>
          <w:rFonts w:eastAsia="Calibri"/>
          <w:i/>
          <w:szCs w:val="22"/>
          <w:vertAlign w:val="superscript"/>
        </w:rPr>
        <w:t>2</w:t>
      </w:r>
      <w:r w:rsidRPr="00CC73F3">
        <w:rPr>
          <w:rFonts w:eastAsia="Calibri"/>
          <w:szCs w:val="22"/>
        </w:rPr>
        <w:t xml:space="preserve"> = .02) and a prevention focus was very significantly related to negative hits (</w:t>
      </w:r>
      <w:r w:rsidRPr="00CC73F3">
        <w:rPr>
          <w:rFonts w:eastAsia="Calibri"/>
          <w:i/>
          <w:szCs w:val="22"/>
        </w:rPr>
        <w:t>F</w:t>
      </w:r>
      <w:r w:rsidRPr="00CC73F3">
        <w:rPr>
          <w:rFonts w:eastAsia="Calibri"/>
          <w:szCs w:val="22"/>
        </w:rPr>
        <w:t xml:space="preserve">(1,124) = 12.148, </w:t>
      </w:r>
      <w:r w:rsidRPr="00CC73F3">
        <w:rPr>
          <w:rFonts w:eastAsia="Calibri"/>
          <w:i/>
          <w:szCs w:val="22"/>
        </w:rPr>
        <w:t>p</w:t>
      </w:r>
      <w:r w:rsidRPr="00CC73F3">
        <w:rPr>
          <w:rFonts w:eastAsia="Calibri"/>
          <w:szCs w:val="22"/>
        </w:rPr>
        <w:t xml:space="preserve"> &lt; .001, </w:t>
      </w:r>
      <w:r w:rsidRPr="00CC73F3">
        <w:rPr>
          <w:rFonts w:ascii="Calibri" w:eastAsia="Calibri" w:hAnsi="Calibri"/>
          <w:i/>
          <w:szCs w:val="22"/>
        </w:rPr>
        <w:t>η</w:t>
      </w:r>
      <w:r w:rsidRPr="00CC73F3">
        <w:rPr>
          <w:rFonts w:eastAsia="Calibri"/>
          <w:i/>
          <w:szCs w:val="22"/>
          <w:vertAlign w:val="superscript"/>
        </w:rPr>
        <w:t>2</w:t>
      </w:r>
      <w:r w:rsidRPr="00CC73F3">
        <w:rPr>
          <w:rFonts w:eastAsia="Calibri"/>
          <w:szCs w:val="22"/>
        </w:rPr>
        <w:t xml:space="preserve"> = .09). This finding suggests that differences in prevention and promotion orientations in predicting evaluation and selection quality for cocreated product ideas may only be manifest when the raters’ product category knowledge is relatively high.</w:t>
      </w:r>
    </w:p>
    <w:p w:rsidR="00070FC5" w:rsidRPr="00CC73F3" w:rsidRDefault="00070FC5" w:rsidP="00D639F5">
      <w:pPr>
        <w:spacing w:line="480" w:lineRule="auto"/>
        <w:rPr>
          <w:rFonts w:eastAsia="Calibri"/>
          <w:szCs w:val="22"/>
        </w:rPr>
      </w:pPr>
      <w:r w:rsidRPr="00CC73F3">
        <w:rPr>
          <w:rFonts w:eastAsia="Calibri"/>
          <w:szCs w:val="22"/>
        </w:rPr>
        <w:tab/>
        <w:t xml:space="preserve">A second issue which may have been a factor in the non-significant findings of study 2 was the relative inexperience of the sample used (i.e., undergraduate students) in the area of new product development. This could have presented itself in two ways. First, the teams may have used inappropriate heuristics in assessing each of the products in each product set. </w:t>
      </w:r>
      <w:r w:rsidRPr="00CC73F3">
        <w:rPr>
          <w:rFonts w:eastAsia="Calibri"/>
          <w:noProof/>
          <w:szCs w:val="22"/>
        </w:rPr>
        <w:t>Spence and Brucks (1997)</w:t>
      </w:r>
      <w:r w:rsidRPr="00CC73F3">
        <w:rPr>
          <w:rFonts w:eastAsia="Calibri"/>
          <w:szCs w:val="22"/>
        </w:rPr>
        <w:t xml:space="preserve"> found that when tasks were highly structured or when tasks were highly ambiguous, experts were only slightly superior to novices in the quality of their decision-making. In highly structured tasks the decision heuristic is often obvious, and in tasks with no structure, there may be no optimal decision criteria. In both of these extreme cases novices and experts were found to perform similarly. Significant differences emerged, however, when a task had only a moderate level of structure. In this case, they found that experts significantly outperformed novices because novices tended to use heuristics that were not-well-suited to the decision task, whereas experts applied existing schemas to adequately structure the problem and arrive at a solution. </w:t>
      </w:r>
    </w:p>
    <w:p w:rsidR="00070FC5" w:rsidRPr="00CC73F3" w:rsidRDefault="00070FC5" w:rsidP="00D639F5">
      <w:pPr>
        <w:spacing w:line="480" w:lineRule="auto"/>
        <w:rPr>
          <w:rFonts w:eastAsia="Calibri"/>
          <w:szCs w:val="22"/>
        </w:rPr>
      </w:pPr>
      <w:r w:rsidRPr="00CC73F3">
        <w:rPr>
          <w:rFonts w:eastAsia="Calibri"/>
          <w:szCs w:val="22"/>
        </w:rPr>
        <w:tab/>
        <w:t xml:space="preserve">In the case of the product sets used in Study 2, novices were being asked to evaluate product ideas and predict sales. This could be categorized as a moderately structured task, since the task itself was relatively straightforward and structured (rank a limited choice set of products from best-seller to worst-seller), but the knowledge and insight needed to determine what might make one product a best-seller compared to others created a moderate degree of ambiguity. What may have been lacking for the majority of the teams involved in the experiment was a lack of understanding of the implementation, environmental, and cultural issues involved in taking a good idea to market. Several scholars have noted that all of these factors have significant correlations with ultimate new product performance over and above the influence of the quality of the idea </w:t>
      </w:r>
      <w:r w:rsidRPr="00CC73F3">
        <w:rPr>
          <w:rFonts w:eastAsia="Calibri"/>
          <w:noProof/>
          <w:szCs w:val="22"/>
        </w:rPr>
        <w:t>(Cooper, 1999; Henard &amp; Szymanski, 2001; Szymanski et al., 2007)</w:t>
      </w:r>
      <w:r w:rsidRPr="00CC73F3">
        <w:rPr>
          <w:rFonts w:eastAsia="Calibri"/>
          <w:szCs w:val="22"/>
        </w:rPr>
        <w:t xml:space="preserve">.  Cooper (1999) emphasizes the difference between “doing the right projects” (i.e., selecting products that have inherent potential) and “doing projects right” (i.e., focusing on the optimal actions of the firm in the process of developing new products). In his conceptualization, firms not only have to start with good ideas, but they also must implement them efficiently in order to be profitable. This implementation factor knowledge may not have played a role in the decision-making heuristics of novices. The professionals in Study 3, on the other hand, frequently discussed technical feasibility, supply chain issues, and production costs. Novices seem capable of accurately assessing idea </w:t>
      </w:r>
      <w:r w:rsidRPr="00CC73F3">
        <w:rPr>
          <w:rFonts w:eastAsia="Calibri"/>
          <w:i/>
          <w:szCs w:val="22"/>
        </w:rPr>
        <w:t>potential</w:t>
      </w:r>
      <w:r w:rsidRPr="00CC73F3">
        <w:rPr>
          <w:rFonts w:eastAsia="Calibri"/>
          <w:szCs w:val="22"/>
        </w:rPr>
        <w:t xml:space="preserve"> (as in Study 1), but not necessarily idea </w:t>
      </w:r>
      <w:r w:rsidRPr="00CC73F3">
        <w:rPr>
          <w:rFonts w:eastAsia="Calibri"/>
          <w:i/>
          <w:szCs w:val="22"/>
        </w:rPr>
        <w:t>performance</w:t>
      </w:r>
      <w:r w:rsidRPr="00CC73F3">
        <w:rPr>
          <w:rFonts w:eastAsia="Calibri"/>
          <w:szCs w:val="22"/>
        </w:rPr>
        <w:t xml:space="preserve"> (as in Study 2) given the complexities of the implementation process. </w:t>
      </w:r>
    </w:p>
    <w:p w:rsidR="00070FC5" w:rsidRPr="00CC73F3" w:rsidRDefault="00070FC5" w:rsidP="00D639F5">
      <w:pPr>
        <w:pStyle w:val="Heading3"/>
      </w:pPr>
    </w:p>
    <w:p w:rsidR="00070FC5" w:rsidRPr="00CC73F3" w:rsidRDefault="00070FC5" w:rsidP="00D639F5">
      <w:pPr>
        <w:pStyle w:val="Heading3"/>
      </w:pPr>
      <w:bookmarkStart w:id="150" w:name="_Toc420572640"/>
      <w:r w:rsidRPr="00CC73F3">
        <w:t xml:space="preserve">Study 3 and Integration of Insights </w:t>
      </w:r>
      <w:proofErr w:type="gramStart"/>
      <w:r w:rsidRPr="00CC73F3">
        <w:t>Across</w:t>
      </w:r>
      <w:proofErr w:type="gramEnd"/>
      <w:r w:rsidRPr="00CC73F3">
        <w:t xml:space="preserve"> Studies</w:t>
      </w:r>
      <w:bookmarkEnd w:id="150"/>
    </w:p>
    <w:p w:rsidR="00070FC5" w:rsidRPr="00CC73F3" w:rsidRDefault="00070FC5" w:rsidP="00D639F5">
      <w:pPr>
        <w:spacing w:line="480" w:lineRule="auto"/>
        <w:rPr>
          <w:rFonts w:eastAsia="Calibri"/>
          <w:szCs w:val="22"/>
        </w:rPr>
      </w:pPr>
      <w:r w:rsidRPr="00CC73F3">
        <w:rPr>
          <w:rFonts w:eastAsia="Calibri"/>
          <w:szCs w:val="22"/>
        </w:rPr>
        <w:tab/>
        <w:t>In Study 3, the main effect of regulatory focus was significant. Specifically a promotion-focused discussion was positively associated with positive hits (i.e., accepting products rated in the 51</w:t>
      </w:r>
      <w:r w:rsidRPr="00CC73F3">
        <w:rPr>
          <w:rFonts w:eastAsia="Calibri"/>
          <w:szCs w:val="22"/>
          <w:vertAlign w:val="superscript"/>
        </w:rPr>
        <w:t>st</w:t>
      </w:r>
      <w:r w:rsidRPr="00CC73F3">
        <w:rPr>
          <w:rFonts w:eastAsia="Calibri"/>
          <w:szCs w:val="22"/>
        </w:rPr>
        <w:t xml:space="preserve"> percentile or higher by the panel of consumers). For negative hits (i.e., rejecting products rated in the 49</w:t>
      </w:r>
      <w:r w:rsidRPr="00CC73F3">
        <w:rPr>
          <w:rFonts w:eastAsia="Calibri"/>
          <w:szCs w:val="22"/>
          <w:vertAlign w:val="superscript"/>
        </w:rPr>
        <w:t>th</w:t>
      </w:r>
      <w:r w:rsidRPr="00CC73F3">
        <w:rPr>
          <w:rFonts w:eastAsia="Calibri"/>
          <w:szCs w:val="22"/>
        </w:rPr>
        <w:t xml:space="preserve"> percentile or lower), a prevention-focused discussion was a significant predictor. </w:t>
      </w:r>
    </w:p>
    <w:p w:rsidR="00070FC5" w:rsidRPr="00CC73F3" w:rsidRDefault="00070FC5" w:rsidP="00D639F5">
      <w:pPr>
        <w:spacing w:line="480" w:lineRule="auto"/>
        <w:rPr>
          <w:rFonts w:eastAsia="Calibri"/>
          <w:szCs w:val="22"/>
        </w:rPr>
      </w:pPr>
      <w:r w:rsidRPr="00CC73F3">
        <w:rPr>
          <w:rFonts w:eastAsia="Calibri"/>
          <w:szCs w:val="22"/>
        </w:rPr>
        <w:tab/>
        <w:t xml:space="preserve">In study 1, a prevention focus was significantly and positively related to accurate assessments of meaningfulness and feasibility. In Study 3, a promotion focus was significantly and positively related to the probability of positive hits, while a prevention focus was a significant predictor of negative hits. Although the dependent variables used in Study 1 and Study 3 were different, the results of the main effect of regulatory focus seem somewhat conflicting, particularly given past research which has shown a significant correlation between meaningfulness and NPD performance </w:t>
      </w:r>
      <w:r w:rsidRPr="00CC73F3">
        <w:rPr>
          <w:rFonts w:eastAsia="Calibri"/>
          <w:noProof/>
          <w:szCs w:val="22"/>
        </w:rPr>
        <w:t>(Szymanski et al., 2007)</w:t>
      </w:r>
      <w:r w:rsidRPr="00CC73F3">
        <w:rPr>
          <w:rFonts w:eastAsia="Calibri"/>
          <w:szCs w:val="22"/>
        </w:rPr>
        <w:t>.</w:t>
      </w:r>
    </w:p>
    <w:p w:rsidR="00070FC5" w:rsidRPr="00CC73F3" w:rsidRDefault="00070FC5" w:rsidP="00D639F5">
      <w:pPr>
        <w:spacing w:line="480" w:lineRule="auto"/>
        <w:rPr>
          <w:rFonts w:eastAsia="Calibri"/>
          <w:szCs w:val="22"/>
        </w:rPr>
      </w:pPr>
      <w:r w:rsidRPr="00CC73F3">
        <w:rPr>
          <w:rFonts w:eastAsia="Calibri"/>
          <w:szCs w:val="22"/>
        </w:rPr>
        <w:tab/>
        <w:t xml:space="preserve">Aside from the sample type and context differences in Study 1 and Study 3, there was a significant difference that might explain the opposite findings. In Study 1, the task teams were asked to perform was a pure evaluation decision; teams simply reviewed the product concepts and rated them on a numerical scale. In Study 3, however, the discussants did not merely review the products and choose them or reject them based on their concrete attributes. Instead, many of the product discussions revolved around determining what features and technologies could be applied to make the product better, what alternative uses might be ideal for the product over and above the inventor’s original intent, and to which new markets the products might be attractive. In this sense, the evaluation of the products in Study 3 was not merely a problem of selection, but a substantial amount of creativity and problem solving across a broad variety of conceptual domains (e.g., engineering, customer insights, design, etc.) was required.  This fits with the observation of one scholar that, “Ideas from the crowd often show a low degree of elaboration and thus can sometimes be vague and immature” (Bayus, 2013, p. 227). Essentially, when ideas are under-elaborated, they may require a degree of creativity on the part of firm managers to determine if they are viable development options.  Given that promotion-focused teams are considered to be superior in these types of activities </w:t>
      </w:r>
      <w:r w:rsidRPr="00CC73F3">
        <w:rPr>
          <w:rFonts w:eastAsia="Calibri"/>
          <w:noProof/>
          <w:szCs w:val="22"/>
        </w:rPr>
        <w:t>(Baron, 2004; Brockner et al., 2004)</w:t>
      </w:r>
      <w:r w:rsidRPr="00CC73F3">
        <w:rPr>
          <w:rFonts w:eastAsia="Calibri"/>
          <w:szCs w:val="22"/>
        </w:rPr>
        <w:t>, it fits with the logic of regulatory focus theory that a promotion focus should be superior in the evaluation and selection process when creative, additive thinking is necessary. The managerial challenges in inherent in cocreating innovation with customers are, at their root, evaluation and selection problems (i.e., firms make concrete decisions to pursue some ideas and not others), but a good deal of creativity goes into evaluation and selection as teams often think abstractly about the potential of a consumer-invented new product concept (e.g. improvements, design, form and function). It would seem obvious that this type of creative evaluation would occur in cocreation. However, given that many firms are overwhelmed by the sheer volume of new product ideas submitted by their customers (Gloor &amp; Cooper, 2012), this may not always be the case.</w:t>
      </w:r>
    </w:p>
    <w:p w:rsidR="00070FC5" w:rsidRPr="00CC73F3" w:rsidRDefault="00070FC5" w:rsidP="00D639F5">
      <w:pPr>
        <w:pStyle w:val="ListParagraph"/>
        <w:ind w:left="0"/>
      </w:pPr>
      <w:r w:rsidRPr="00CC73F3">
        <w:tab/>
        <w:t>In support of this assertion, an examination of the coded product discussions from Study 3 shows</w:t>
      </w:r>
      <w:r w:rsidRPr="00CC73F3">
        <w:rPr>
          <w:rStyle w:val="FootnoteReference"/>
        </w:rPr>
        <w:footnoteReference w:id="1"/>
      </w:r>
      <w:r w:rsidRPr="00CC73F3">
        <w:t xml:space="preserve"> that almost 10% of the coded comments involved some form of abstract, creative, or future-looking evaluation over and above a straightforward assessment of the products exactly as they were presented by the inventor. Further, comments that involved creative a creative contribution to the product under review (e.g., ideas for enhancement and product improvisation) were present in nearly half the 186 product discussions, indicating a good deal of creative problem-solving was involved.</w:t>
      </w:r>
    </w:p>
    <w:p w:rsidR="00070FC5" w:rsidRPr="00CC73F3" w:rsidRDefault="00070FC5" w:rsidP="00D639F5">
      <w:pPr>
        <w:pStyle w:val="Heading2"/>
      </w:pPr>
    </w:p>
    <w:p w:rsidR="00070FC5" w:rsidRPr="00CC73F3" w:rsidRDefault="00070FC5" w:rsidP="00D639F5">
      <w:pPr>
        <w:pStyle w:val="Heading2"/>
      </w:pPr>
      <w:bookmarkStart w:id="151" w:name="_Toc420572641"/>
      <w:r w:rsidRPr="00CC73F3">
        <w:t>Main Effects of Reflexivity: Overview and Insights</w:t>
      </w:r>
      <w:bookmarkEnd w:id="151"/>
    </w:p>
    <w:p w:rsidR="00070FC5" w:rsidRPr="00CC73F3" w:rsidRDefault="00070FC5" w:rsidP="00D639F5">
      <w:pPr>
        <w:spacing w:line="480" w:lineRule="auto"/>
        <w:rPr>
          <w:rFonts w:eastAsia="Calibri"/>
          <w:szCs w:val="22"/>
        </w:rPr>
      </w:pPr>
      <w:r w:rsidRPr="00CC73F3">
        <w:rPr>
          <w:rFonts w:eastAsia="Calibri"/>
          <w:szCs w:val="22"/>
        </w:rPr>
        <w:tab/>
        <w:t>Reflexivity, as conceptualized here in in the literature, refers to the degree to which teams reflect on their shared knowledge and decision process, and deeply process the information available to them in order to arrive at a decision (West, 1996).  Each of the three studies also examined the direct influence of reflexivity on the accuracy and quality of team decisions about cocreated new product ideas. In Study 1 and Study 2, reflexivity was operationalized by instructing participants to either have extensive discussions about the innovativeness and market potential of the products they saw (high-reflexivity), or to make decisions with little discussion or deliberation (low reflexivity). Since Study 3 involved field data from real cocreated new product evaluation and selection decisions, reflexivity wasn’t manipulated, but measured based on the number of unique topics discussed in each product evaluation discussion, and how deeply those topics were discussed.</w:t>
      </w:r>
    </w:p>
    <w:p w:rsidR="00070FC5" w:rsidRPr="00CC73F3" w:rsidRDefault="00070FC5" w:rsidP="00D639F5">
      <w:pPr>
        <w:spacing w:line="480" w:lineRule="auto"/>
        <w:rPr>
          <w:rFonts w:eastAsia="Calibri"/>
          <w:szCs w:val="22"/>
        </w:rPr>
      </w:pPr>
      <w:r w:rsidRPr="00CC73F3">
        <w:rPr>
          <w:rFonts w:eastAsia="Calibri"/>
          <w:i/>
          <w:szCs w:val="22"/>
        </w:rPr>
        <w:tab/>
      </w:r>
      <w:r w:rsidRPr="00CC73F3">
        <w:rPr>
          <w:rFonts w:eastAsia="Calibri"/>
          <w:szCs w:val="22"/>
        </w:rPr>
        <w:t xml:space="preserve">In Study 1 and Study 2, the main effect of reflexivity was not significant, but there was a significant and positive effect of reflexivity in Study 3. The setting in which reflexivity was tested may help explain why the same effect was not found in the experiments. In coding for reflexivity, 40 unique topics were identified across all of the Quirky product evaluations.  The average product discussion included 23.9 total comments and discussion of 11.2 unique topics. According to how reflexivity has been conceptualized in the literature, knowing what information to process and what information to ignore is a critical part of the relationship between reflexivity and the quality of team decision-making </w:t>
      </w:r>
      <w:r w:rsidRPr="00CC73F3">
        <w:rPr>
          <w:rFonts w:eastAsia="Calibri"/>
          <w:noProof/>
          <w:szCs w:val="22"/>
        </w:rPr>
        <w:t>(DeDreu, 2002; Müller et al., 2009)</w:t>
      </w:r>
      <w:r w:rsidRPr="00CC73F3">
        <w:rPr>
          <w:rFonts w:eastAsia="Calibri"/>
          <w:szCs w:val="22"/>
        </w:rPr>
        <w:t>. While the exact content of the team discussions in the two experiments was not captured as a part of this research, it seems unlikely that undergraduate teams reflected as deeply or broadly on relevant information as the participants in the sample of working product development professionals.</w:t>
      </w:r>
    </w:p>
    <w:p w:rsidR="00070FC5" w:rsidRPr="00CC73F3" w:rsidRDefault="00070FC5" w:rsidP="00D639F5">
      <w:pPr>
        <w:spacing w:line="480" w:lineRule="auto"/>
        <w:rPr>
          <w:rFonts w:eastAsia="Calibri"/>
          <w:szCs w:val="22"/>
        </w:rPr>
      </w:pPr>
      <w:r w:rsidRPr="00CC73F3">
        <w:rPr>
          <w:rFonts w:eastAsia="Calibri"/>
          <w:i/>
          <w:szCs w:val="22"/>
        </w:rPr>
        <w:tab/>
      </w:r>
      <w:r w:rsidRPr="00CC73F3">
        <w:rPr>
          <w:rFonts w:eastAsia="Calibri"/>
          <w:szCs w:val="22"/>
        </w:rPr>
        <w:t>Reflexivity may also be more significant when teams have a larger shared base of knowledge and experiences on which to reflect. In the first two studies, team members were familiar with one another, but likely had or no experience making product decisions together. In contrast, the teams in Study 3 worked in the same firm were accustomed to the evaluation and subsequent development process. The implication of this is that reflexivity may be a practice that pays dividends over longer periods of time, as teams develop heuristics for processing information based on shared understandings or mental models, which was likely not present in the lab-based teams. It may also be that teams need to include individuals who have a minimum threshold of relevant domain knowledge (e.g., engineering, marketing, supply chain management, design, etc.), which may not have been present in teams who self-selected and were brought together for a relatively brief lab experiment (as opposed to working in the same firm over a weeks, months, or years). For example, while engineers were not called upon comment on every product evaluated in the Quirky-based study, they were frequently deferred to when a particularly challenging technical question arose. This diversity of the information and knowledge each individual holds may make reflexivity more effective in a professional environment.</w:t>
      </w:r>
    </w:p>
    <w:p w:rsidR="00070FC5" w:rsidRPr="00CC73F3" w:rsidRDefault="00070FC5" w:rsidP="00D639F5">
      <w:pPr>
        <w:spacing w:line="480" w:lineRule="auto"/>
        <w:rPr>
          <w:rFonts w:eastAsia="Calibri"/>
          <w:b/>
          <w:szCs w:val="22"/>
        </w:rPr>
      </w:pPr>
    </w:p>
    <w:p w:rsidR="00070FC5" w:rsidRPr="00CC73F3" w:rsidRDefault="00070FC5" w:rsidP="00D639F5">
      <w:pPr>
        <w:pStyle w:val="Heading2"/>
      </w:pPr>
      <w:bookmarkStart w:id="152" w:name="_Toc420572642"/>
      <w:r w:rsidRPr="00CC73F3">
        <w:t>Interaction between Regulatory Focus and Reflexivity: Overview and Insights</w:t>
      </w:r>
      <w:bookmarkEnd w:id="152"/>
    </w:p>
    <w:p w:rsidR="00070FC5" w:rsidRPr="00CC73F3" w:rsidRDefault="00070FC5" w:rsidP="00D639F5">
      <w:pPr>
        <w:spacing w:line="480" w:lineRule="auto"/>
        <w:rPr>
          <w:rFonts w:eastAsia="Calibri"/>
          <w:szCs w:val="22"/>
        </w:rPr>
      </w:pPr>
      <w:r w:rsidRPr="00CC73F3">
        <w:rPr>
          <w:rFonts w:eastAsia="Calibri"/>
          <w:szCs w:val="22"/>
        </w:rPr>
        <w:tab/>
        <w:t xml:space="preserve">All three studies also examined the interaction between regulatory focus and reflexivity. </w:t>
      </w:r>
    </w:p>
    <w:p w:rsidR="00070FC5" w:rsidRPr="00CC73F3" w:rsidRDefault="00070FC5" w:rsidP="00D639F5">
      <w:pPr>
        <w:spacing w:line="480" w:lineRule="auto"/>
        <w:rPr>
          <w:rFonts w:eastAsia="Calibri"/>
          <w:szCs w:val="22"/>
        </w:rPr>
      </w:pPr>
      <w:r w:rsidRPr="00CC73F3">
        <w:rPr>
          <w:rFonts w:eastAsia="Calibri"/>
          <w:szCs w:val="22"/>
        </w:rPr>
        <w:t>In Study 1, there was a significant interaction between regulatory focus and reflexivity on teams’ assessment accuracy of cocreated new product meaningfulness, but not for feasibility or novelty. Prevention-focused teams were most accurate on the meaningfulness dimension when reflexivity was high; promotion-focused teams were most accurate when reflexivity was low.</w:t>
      </w:r>
    </w:p>
    <w:p w:rsidR="00070FC5" w:rsidRPr="00CC73F3" w:rsidRDefault="00070FC5" w:rsidP="00D639F5">
      <w:pPr>
        <w:spacing w:line="480" w:lineRule="auto"/>
        <w:rPr>
          <w:rFonts w:eastAsia="Calibri"/>
          <w:szCs w:val="22"/>
        </w:rPr>
      </w:pPr>
      <w:r w:rsidRPr="00CC73F3">
        <w:rPr>
          <w:rFonts w:eastAsia="Calibri"/>
          <w:szCs w:val="22"/>
        </w:rPr>
        <w:tab/>
        <w:t>The analysis of Study 2 showed no significant effects of the regulatory focus by reflexivity interaction for positive hits, but it did show a significant effect for negative hits. Specifically, when reflexivity was low, a promotion focus was positively associated with a negative hit (i.e., correctly choosing the worst-selling product in the sets). When reflexivity was high, a prevention focus was positively associated with negative hits.</w:t>
      </w:r>
    </w:p>
    <w:p w:rsidR="00070FC5" w:rsidRPr="00CC73F3" w:rsidRDefault="00070FC5" w:rsidP="00D639F5">
      <w:pPr>
        <w:spacing w:line="480" w:lineRule="auto"/>
        <w:rPr>
          <w:rFonts w:eastAsia="Calibri"/>
          <w:szCs w:val="22"/>
        </w:rPr>
      </w:pPr>
      <w:r w:rsidRPr="00CC73F3">
        <w:rPr>
          <w:rFonts w:eastAsia="Calibri"/>
          <w:szCs w:val="22"/>
        </w:rPr>
        <w:tab/>
        <w:t>In Study 3, there was a significant interaction effect between reflexivity and regulatory focus for positive hits, but not for negative hits. For positive hits, prevention focused teams had a higher probability of making a positive hit when reflexivity was high, while promotion-focused discussions had a higher probability of positive hits when reflexivity was low.</w:t>
      </w:r>
    </w:p>
    <w:p w:rsidR="00070FC5" w:rsidRPr="00CC73F3" w:rsidRDefault="00070FC5" w:rsidP="00D639F5">
      <w:pPr>
        <w:spacing w:line="480" w:lineRule="auto"/>
        <w:contextualSpacing/>
        <w:rPr>
          <w:rFonts w:eastAsia="Calibri"/>
          <w:szCs w:val="22"/>
        </w:rPr>
      </w:pPr>
      <w:r w:rsidRPr="00CC73F3">
        <w:rPr>
          <w:rFonts w:eastAsia="Calibri"/>
          <w:szCs w:val="22"/>
        </w:rPr>
        <w:tab/>
        <w:t>Although the dependent variables which were predicted by the regulatory focus by reflexivity interaction were slightly different from study-to-study (meaningfulness in Study 1, negative hits in Study 2, and positive hits in Study 3), all three studies showed results that suggest promotion-focused teams make more accurate decisions when reflexivity is low and prevention-focused teams make more accurate decisions when reflexivity is high. One possible explanation for this paradox could be that being highly reflexive may move promotion-focused teams too far away from concrete thinking, which ultimately must be applied in some measure to accurately assess the pros and the cons of a given product idea. When reflexivity is high and teams are able to process information more broadly and more deeply, those same tendencies toward creative problem-solving and abstract thinking may be counterproductive. Reflexivity may move promotion-focused teams so far away from economic constraints, technical realities, and consumer preferences for a given cocreated product idea that abstract thinking becomes a hindrance to decision-making. They may simply suffer from information overload as they seek to process an ever widening field of knowledge, or they may get fixated on thinking creatively about issues that have little bearing on product performance.</w:t>
      </w:r>
    </w:p>
    <w:p w:rsidR="00070FC5" w:rsidRPr="00CC73F3" w:rsidRDefault="00070FC5" w:rsidP="00D639F5">
      <w:pPr>
        <w:spacing w:line="480" w:lineRule="auto"/>
        <w:contextualSpacing/>
        <w:rPr>
          <w:rFonts w:eastAsia="Calibri"/>
          <w:szCs w:val="22"/>
        </w:rPr>
      </w:pPr>
    </w:p>
    <w:p w:rsidR="00070FC5" w:rsidRPr="00CC73F3" w:rsidRDefault="00070FC5" w:rsidP="00D639F5">
      <w:pPr>
        <w:pStyle w:val="Heading2"/>
      </w:pPr>
      <w:bookmarkStart w:id="153" w:name="_Toc420572643"/>
      <w:r w:rsidRPr="00CC73F3">
        <w:t>Moderating Effects of Inventor Expertise</w:t>
      </w:r>
      <w:bookmarkEnd w:id="153"/>
    </w:p>
    <w:p w:rsidR="00070FC5" w:rsidRPr="00CC73F3" w:rsidRDefault="00070FC5" w:rsidP="00D639F5">
      <w:pPr>
        <w:spacing w:line="480" w:lineRule="auto"/>
        <w:rPr>
          <w:rFonts w:eastAsia="Calibri"/>
          <w:szCs w:val="22"/>
        </w:rPr>
      </w:pPr>
      <w:r w:rsidRPr="00CC73F3">
        <w:rPr>
          <w:rFonts w:eastAsia="Calibri"/>
          <w:szCs w:val="22"/>
        </w:rPr>
        <w:tab/>
        <w:t>Study 3 also tested for the interaction effects of inventor expertise with both reflexivity and regulatory focus. Neither the reflexivity/expertise interaction, nor the regulatory focus/expertise interaction significantly influenced the negative hit probability. While there was no significant interaction between reflexivity and inventor expertise on positive hits, there was a significant effect of the interaction between regulatory focus and expertise on positive hits. Specifically, prevention-focused discussions had a higher probability of resulting in a positive hit when inventor expertise was high, but promotion-focused discussions had a higher probability of resulting in a positive hit when inventor expertise was low.</w:t>
      </w:r>
    </w:p>
    <w:p w:rsidR="00070FC5" w:rsidRPr="00CC73F3" w:rsidRDefault="00070FC5" w:rsidP="00D639F5">
      <w:pPr>
        <w:spacing w:line="480" w:lineRule="auto"/>
        <w:rPr>
          <w:rFonts w:eastAsia="Calibri"/>
          <w:szCs w:val="22"/>
        </w:rPr>
      </w:pPr>
      <w:r w:rsidRPr="00CC73F3">
        <w:rPr>
          <w:rFonts w:eastAsia="Calibri"/>
          <w:szCs w:val="22"/>
        </w:rPr>
        <w:tab/>
        <w:t xml:space="preserve">These results make sense given the previous discussion about the role of creativity and problem-solving in the evaluation and selection of cocreated product ideas. When inventor expertise is high, ideas are likely to be better-articulated and well-developed, whereas inventors with little expertise are likely to submit more vague, immature product concepts (Bayus, 2013). Product ideas developed by expert inventors may simply need less creative evaluation and are better-suited for a more straightforward assessment of the pros and cons involved in developing the product idea, for which prevention-focused groups should be better-suited </w:t>
      </w:r>
      <w:r w:rsidRPr="00CC73F3">
        <w:rPr>
          <w:rFonts w:eastAsia="Calibri"/>
          <w:noProof/>
          <w:szCs w:val="22"/>
        </w:rPr>
        <w:t>(Baron, 2004; Brockner et al., 2004)</w:t>
      </w:r>
      <w:r w:rsidRPr="00CC73F3">
        <w:rPr>
          <w:rFonts w:eastAsia="Calibri"/>
          <w:szCs w:val="22"/>
        </w:rPr>
        <w:t>.</w:t>
      </w:r>
    </w:p>
    <w:p w:rsidR="00070FC5" w:rsidRPr="00CC73F3" w:rsidRDefault="00070FC5" w:rsidP="00D639F5">
      <w:pPr>
        <w:spacing w:line="480" w:lineRule="auto"/>
        <w:rPr>
          <w:rFonts w:eastAsia="Calibri"/>
          <w:szCs w:val="22"/>
        </w:rPr>
      </w:pPr>
    </w:p>
    <w:p w:rsidR="00070FC5" w:rsidRPr="00CC73F3" w:rsidRDefault="00070FC5" w:rsidP="00D639F5">
      <w:pPr>
        <w:pStyle w:val="Heading2"/>
      </w:pPr>
      <w:bookmarkStart w:id="154" w:name="_Toc420572644"/>
      <w:r w:rsidRPr="00CC73F3">
        <w:t>Contributions to Theory</w:t>
      </w:r>
      <w:bookmarkEnd w:id="154"/>
    </w:p>
    <w:p w:rsidR="00070FC5" w:rsidRPr="00CC73F3" w:rsidRDefault="00070FC5" w:rsidP="00D639F5">
      <w:pPr>
        <w:spacing w:line="480" w:lineRule="auto"/>
        <w:rPr>
          <w:rFonts w:eastAsia="Calibri"/>
          <w:szCs w:val="22"/>
        </w:rPr>
      </w:pPr>
      <w:r w:rsidRPr="00CC73F3">
        <w:rPr>
          <w:rFonts w:eastAsia="Calibri"/>
          <w:szCs w:val="22"/>
        </w:rPr>
        <w:tab/>
        <w:t xml:space="preserve">The results of these studies have several important implications for theory. First, past research has looked at cocreation primarily from a consumer perspective (e.g., Nambisan &amp; Baron, 2009; Tynan et al., 2010; Schreier et al., 2012), and from high-level strategy perspective (e.g., Antorini et al., 2012; Nishikawa et al., 2013; Verhoef et al., 2013). This research is among the first to examine the complex decision-making process involved when managers evaluate and select customers’ cocreated new product ideas, and shed light on the black box of decision making in this increasingly common innovation practice. Addressing the decision-making process itself can help explain </w:t>
      </w:r>
      <w:proofErr w:type="gramStart"/>
      <w:r w:rsidRPr="00CC73F3">
        <w:rPr>
          <w:rFonts w:eastAsia="Calibri"/>
          <w:szCs w:val="22"/>
        </w:rPr>
        <w:t>the disconnect</w:t>
      </w:r>
      <w:proofErr w:type="gramEnd"/>
      <w:r w:rsidRPr="00CC73F3">
        <w:rPr>
          <w:rFonts w:eastAsia="Calibri"/>
          <w:szCs w:val="22"/>
        </w:rPr>
        <w:t xml:space="preserve"> between competing research findings about the effectiveness of the practice of cocreation. On the one hand, researchers have found that cocreation initiatives fail 50% of the time </w:t>
      </w:r>
      <w:r w:rsidRPr="00CC73F3">
        <w:rPr>
          <w:rFonts w:eastAsia="Calibri"/>
          <w:noProof/>
          <w:szCs w:val="22"/>
        </w:rPr>
        <w:t>(Verhoef et al., 2013)</w:t>
      </w:r>
      <w:r w:rsidRPr="00CC73F3">
        <w:rPr>
          <w:rFonts w:eastAsia="Calibri"/>
          <w:szCs w:val="22"/>
        </w:rPr>
        <w:t xml:space="preserve">, while on the other hand, researchers have also found that cocreated new products that do survive are several times more profitable than internally-developed new products </w:t>
      </w:r>
      <w:r w:rsidRPr="00CC73F3">
        <w:rPr>
          <w:rFonts w:eastAsia="Calibri"/>
          <w:noProof/>
          <w:szCs w:val="22"/>
        </w:rPr>
        <w:t>(Nishikawa et al., 2013)</w:t>
      </w:r>
      <w:r w:rsidRPr="00CC73F3">
        <w:rPr>
          <w:rFonts w:eastAsia="Calibri"/>
          <w:szCs w:val="22"/>
        </w:rPr>
        <w:t>.</w:t>
      </w:r>
    </w:p>
    <w:p w:rsidR="00070FC5" w:rsidRPr="00CC73F3" w:rsidRDefault="00070FC5" w:rsidP="00D639F5">
      <w:pPr>
        <w:spacing w:line="480" w:lineRule="auto"/>
        <w:rPr>
          <w:rFonts w:eastAsia="Calibri"/>
          <w:szCs w:val="22"/>
        </w:rPr>
      </w:pPr>
      <w:r w:rsidRPr="00CC73F3">
        <w:rPr>
          <w:rFonts w:eastAsia="Calibri"/>
          <w:szCs w:val="22"/>
        </w:rPr>
        <w:tab/>
        <w:t>Second, past research has explored regulatory focus in the context of new product idea generation, but not in the context of evaluating and selecting customers’ new product ideas. In these studies, the data show that regulatory focus operates somewhat differently across these development contexts. When a decision task involves pure selection of ideas, prevention focused groups appear to be more accurate in their assessments. However, when a cocreation decision task involves not just selection, but requires participants to also be creative in envisioning how a customer’s product idea might need to be changed, altered, or positioned differently, a promotion focus appears to be a more accurate regulatory orientation.</w:t>
      </w:r>
    </w:p>
    <w:p w:rsidR="00070FC5" w:rsidRPr="00CC73F3" w:rsidRDefault="00070FC5" w:rsidP="00D639F5">
      <w:pPr>
        <w:spacing w:line="480" w:lineRule="auto"/>
        <w:rPr>
          <w:rFonts w:eastAsia="Calibri"/>
          <w:szCs w:val="22"/>
        </w:rPr>
      </w:pPr>
      <w:r w:rsidRPr="00CC73F3">
        <w:rPr>
          <w:rFonts w:eastAsia="Calibri"/>
          <w:szCs w:val="22"/>
        </w:rPr>
        <w:tab/>
        <w:t>Third, the interaction between group regulatory focus and group reflexivity has not previously been explored in the academic literature. The data, specifically from Study 1 and Study 3 support the idea that prevention-focused teams work best when they are able to engage in careful deliberation and deep information processing. In contrast, promotion-focused teams appear to work best when they engage in less group processing and deliberation before making a decision.</w:t>
      </w:r>
    </w:p>
    <w:p w:rsidR="00070FC5" w:rsidRPr="00CC73F3" w:rsidRDefault="00070FC5" w:rsidP="00D639F5">
      <w:pPr>
        <w:spacing w:line="480" w:lineRule="auto"/>
      </w:pPr>
      <w:r w:rsidRPr="00CC73F3">
        <w:rPr>
          <w:rFonts w:eastAsia="Calibri"/>
          <w:szCs w:val="22"/>
        </w:rPr>
        <w:tab/>
        <w:t xml:space="preserve">Fourth, social cognition researchers who study innovation have suggested that a team promotion focus may be better-suited for idea generation and a team prevention focus better suited for idea selection </w:t>
      </w:r>
      <w:r w:rsidRPr="00CC73F3">
        <w:rPr>
          <w:rFonts w:eastAsia="Calibri"/>
          <w:noProof/>
          <w:szCs w:val="22"/>
        </w:rPr>
        <w:t>(Baron, 2004; Brockner et al., 2004)</w:t>
      </w:r>
      <w:r w:rsidRPr="00CC73F3">
        <w:rPr>
          <w:rFonts w:eastAsia="Calibri"/>
          <w:szCs w:val="22"/>
        </w:rPr>
        <w:t xml:space="preserve">. In these studies, we empirically test that assertion. The answer, it seems, is not as straightforward as has been conceptualized in existing literature. Whether prevention or promotion orientation is better-suited for choosing cocreated new products depends on several factors. First, the degree to which team deeply process information and shared knowledge (i.e., reflexivity) influences whether a prevention or promotion focus is more beneficial to the quality of team selection decisions. Second, the results of these studies suggest that the degree of creativity and abstract thinking involved in the evaluation process of cocreated new product ideas influences how regulatory focus is related to decision-making. </w:t>
      </w:r>
      <w:r w:rsidRPr="00CC73F3">
        <w:t xml:space="preserve"> In Study 1, where the task did not require teams to make any creative contributions to the products under evaluation, prevention-focused teams were more accurate. When teams made a creative contribution as part of the evaluation process, as in Study 3, a promotion-orientation was superior in choosing the best cocreated products.</w:t>
      </w:r>
    </w:p>
    <w:p w:rsidR="00070FC5" w:rsidRPr="00CC73F3" w:rsidRDefault="00070FC5" w:rsidP="00D639F5">
      <w:pPr>
        <w:spacing w:line="480" w:lineRule="auto"/>
        <w:rPr>
          <w:rFonts w:eastAsia="Calibri"/>
          <w:szCs w:val="22"/>
        </w:rPr>
      </w:pPr>
    </w:p>
    <w:p w:rsidR="00070FC5" w:rsidRPr="00CC73F3" w:rsidRDefault="00070FC5" w:rsidP="00D639F5">
      <w:pPr>
        <w:pStyle w:val="Heading2"/>
      </w:pPr>
      <w:bookmarkStart w:id="155" w:name="_Toc420572645"/>
      <w:r w:rsidRPr="00CC73F3">
        <w:t>Implications for Practice</w:t>
      </w:r>
      <w:bookmarkEnd w:id="155"/>
    </w:p>
    <w:p w:rsidR="00070FC5" w:rsidRPr="00CC73F3" w:rsidRDefault="00070FC5" w:rsidP="00D639F5">
      <w:pPr>
        <w:spacing w:line="480" w:lineRule="auto"/>
        <w:rPr>
          <w:rFonts w:eastAsia="Calibri"/>
          <w:szCs w:val="22"/>
        </w:rPr>
      </w:pPr>
      <w:r w:rsidRPr="00CC73F3">
        <w:rPr>
          <w:rFonts w:eastAsia="Calibri"/>
          <w:szCs w:val="22"/>
        </w:rPr>
        <w:tab/>
        <w:t>These studies also offer insights for mangers overseeing cocreation innovation efforts with consumers. Customer cocreation of innovation is a growing trend, and many firms that previously would not have considered opening the development process to their customers, may find themselves considering this strategy as a way to develop higher-quality and/or more profitable new market offerings.</w:t>
      </w:r>
    </w:p>
    <w:p w:rsidR="00070FC5" w:rsidRPr="00CC73F3" w:rsidRDefault="00070FC5" w:rsidP="00D639F5">
      <w:pPr>
        <w:spacing w:line="480" w:lineRule="auto"/>
        <w:rPr>
          <w:rFonts w:eastAsia="Calibri"/>
          <w:szCs w:val="22"/>
        </w:rPr>
      </w:pPr>
      <w:r w:rsidRPr="00CC73F3">
        <w:rPr>
          <w:rFonts w:eastAsia="Calibri"/>
          <w:szCs w:val="22"/>
        </w:rPr>
        <w:tab/>
        <w:t>First, managers should be aware of the regulatory focus motivating the decisions of their innovation teams when evaluating cocreated new product ideas.  For teams that show a more conservative, cautious approach to new product development (i.e., a prevention focus), deep discussion, knowledge sharing and extensive development team information processing may help them reach better decisions about which customer-generated new product ideas to pursue. On the other hand, for firms that are more proactive in the pursuit of innovation and new product success (i.e., a promotion focus), deep deliberation and information processing may be counterproductive.</w:t>
      </w:r>
    </w:p>
    <w:p w:rsidR="00070FC5" w:rsidRPr="00CC73F3" w:rsidRDefault="00070FC5" w:rsidP="00D639F5">
      <w:pPr>
        <w:spacing w:line="480" w:lineRule="auto"/>
        <w:rPr>
          <w:rFonts w:eastAsia="Calibri"/>
          <w:szCs w:val="22"/>
        </w:rPr>
      </w:pPr>
      <w:r w:rsidRPr="00CC73F3">
        <w:rPr>
          <w:rFonts w:eastAsia="Calibri"/>
          <w:szCs w:val="22"/>
        </w:rPr>
        <w:tab/>
        <w:t xml:space="preserve">Second, managers should be aware of how the management of idea flow may influence their ability to make quality evaluations of customers’ product ideas. In their study of team regulatory focus </w:t>
      </w:r>
      <w:r w:rsidRPr="00CC73F3">
        <w:rPr>
          <w:rFonts w:eastAsia="Calibri"/>
          <w:noProof/>
          <w:szCs w:val="22"/>
        </w:rPr>
        <w:t>Florack and Hartmann (2007)</w:t>
      </w:r>
      <w:r w:rsidRPr="00CC73F3">
        <w:rPr>
          <w:rFonts w:eastAsia="Calibri"/>
          <w:szCs w:val="22"/>
        </w:rPr>
        <w:t xml:space="preserve"> found that extreme time pressure causes promotion-focused groups to adopt the motivation and cognitive style of prevention-focused groups. Given that cocreation often involves a good deal of time pressure, as managers are overwhelmed with the volume of ideas that need to be evaluated in a given time period </w:t>
      </w:r>
      <w:r w:rsidRPr="00CC73F3">
        <w:rPr>
          <w:rFonts w:eastAsia="Calibri"/>
          <w:noProof/>
          <w:szCs w:val="22"/>
        </w:rPr>
        <w:t>(Gloor &amp; Cooper, 2012; Hoyer et al., 2010)</w:t>
      </w:r>
      <w:r w:rsidRPr="00CC73F3">
        <w:rPr>
          <w:rFonts w:eastAsia="Calibri"/>
          <w:szCs w:val="22"/>
        </w:rPr>
        <w:t>, development teams that would normally be considered promotion-focused may find themselves adopting a prevention focus. In these circumstances managers should consider ways to lengthen the amount of time development teams spend processing information. For example, Quirky, LEGO, and Dell all use customer cocreation to develop new innovation, but rely on the innovation community itself to prescreen ideas, resulting in fewer submissions that company managers evaluate. To do so, these firms all maintain an innovation platform online where end-consumers can both submit their ideas, but also vote on others’ ideas. At LEGO, only ideas that receive 10,000 votes go up for formal company evaluation, and Dell has created a sophisticated scoring system to identify only those ideas with the most potential.</w:t>
      </w:r>
    </w:p>
    <w:p w:rsidR="00070FC5" w:rsidRPr="00CC73F3" w:rsidRDefault="00070FC5" w:rsidP="00D639F5">
      <w:pPr>
        <w:spacing w:line="480" w:lineRule="auto"/>
        <w:rPr>
          <w:rFonts w:eastAsia="Calibri"/>
          <w:szCs w:val="22"/>
        </w:rPr>
      </w:pPr>
      <w:r w:rsidRPr="00CC73F3">
        <w:rPr>
          <w:rFonts w:eastAsia="Calibri"/>
          <w:szCs w:val="22"/>
        </w:rPr>
        <w:tab/>
        <w:t>Third, managers should also consider the nature of the selection task at hand, and adapt their team decision-making practices accordingly. When the task is selection-based only, without the expectation that ideas can be modified or change, these studies suggest a more hawkish, prevention-focused approach would be more appropriate. However, when managers are faced with under-elaborated ideas that require teams to creatively evaluate the potential of a product that isn’t well-articulated, a promotion focus may be more appropriate.</w:t>
      </w:r>
    </w:p>
    <w:p w:rsidR="00070FC5" w:rsidRPr="00CC73F3" w:rsidRDefault="00070FC5" w:rsidP="00D639F5">
      <w:pPr>
        <w:spacing w:line="480" w:lineRule="auto"/>
        <w:rPr>
          <w:rFonts w:eastAsia="Calibri"/>
          <w:szCs w:val="22"/>
        </w:rPr>
      </w:pPr>
      <w:r w:rsidRPr="00CC73F3">
        <w:rPr>
          <w:rFonts w:eastAsia="Calibri"/>
          <w:szCs w:val="22"/>
        </w:rPr>
        <w:tab/>
        <w:t>Fourth, managers should be cognizant of the expertise of the inventors who submit new product ideas. When customers have high degrees of expertise, development teams may find it advantageous to take a “pure selection,” prevention approach as these ideas are less likely to require substantial adaptation and/or elaboration to be viable market offerings. Likewise, development teams may find it advantageous to adopt a more collaborative, promotion evaluation style to determine whether or not novice inventors’ product ideas have the potential to be profitable new products.</w:t>
      </w:r>
    </w:p>
    <w:p w:rsidR="00070FC5" w:rsidRPr="00CC73F3" w:rsidRDefault="00070FC5" w:rsidP="00D639F5">
      <w:pPr>
        <w:spacing w:line="480" w:lineRule="auto"/>
        <w:contextualSpacing/>
        <w:rPr>
          <w:rFonts w:eastAsia="Calibri"/>
          <w:szCs w:val="22"/>
        </w:rPr>
      </w:pPr>
      <w:r w:rsidRPr="00CC73F3">
        <w:rPr>
          <w:rFonts w:eastAsia="Calibri"/>
          <w:szCs w:val="22"/>
        </w:rPr>
        <w:tab/>
        <w:t>Fifth, given the findings from study 1 related to assessing new product novelty, firms should be aware of their own limitations when evaluating products outside of their normal areas of expertise. Without a moderately high knowledge of a particular product category, development teams may not recognize how novel a customer’s new product idea really is or isn’t. In cases where firms receive ideas that fall outside their areas of expertise, managers may need to consider recruiting subject matter experts, or even customer inventors themselves to help assess the novelty aspect of how innovate a new product idea is.</w:t>
      </w:r>
    </w:p>
    <w:p w:rsidR="00070FC5" w:rsidRPr="00CC73F3" w:rsidRDefault="00070FC5" w:rsidP="00D639F5">
      <w:pPr>
        <w:spacing w:line="480" w:lineRule="auto"/>
        <w:contextualSpacing/>
        <w:rPr>
          <w:rFonts w:eastAsia="Calibri"/>
          <w:szCs w:val="22"/>
        </w:rPr>
      </w:pPr>
      <w:r w:rsidRPr="00CC73F3">
        <w:rPr>
          <w:rFonts w:eastAsia="Calibri"/>
          <w:szCs w:val="22"/>
        </w:rPr>
        <w:tab/>
        <w:t xml:space="preserve">Finally, there is a growing body of literature which has found group brainstorming to often be counterproductive, and instead prescribes that team members submit their evaluations individually without processing the information as a group (Diehl &amp; Strobe, 1987; </w:t>
      </w:r>
      <w:proofErr w:type="spellStart"/>
      <w:r w:rsidRPr="00CC73F3">
        <w:rPr>
          <w:rFonts w:eastAsia="Calibri"/>
          <w:szCs w:val="22"/>
        </w:rPr>
        <w:t>Larey</w:t>
      </w:r>
      <w:proofErr w:type="spellEnd"/>
      <w:r w:rsidRPr="00CC73F3">
        <w:rPr>
          <w:rFonts w:eastAsia="Calibri"/>
          <w:szCs w:val="22"/>
        </w:rPr>
        <w:t xml:space="preserve"> &amp; Paulus, 1999; West, 2002). In these studies it is argued that group information processing may serve to silence minority dissent, create a groupthink environment in which the opinions of dominant group members disproportionally drive decisions, or create a type of cognitive inertia that causes groups to fixate on particular solutions to the exclusion of others. In this study, that seems to be the case for promotion-focused teams, as their decisions typically were less accurate the more reflexive they were. Prevention-focused teams, on the other hand, seemed to benefit from this practice, thus, for prevention-focused innovation teams, warnings about the perils of group processing in decision-making may be overstated.</w:t>
      </w:r>
    </w:p>
    <w:p w:rsidR="00070FC5" w:rsidRPr="00CC73F3" w:rsidRDefault="00070FC5" w:rsidP="00D639F5">
      <w:pPr>
        <w:spacing w:line="480" w:lineRule="auto"/>
        <w:contextualSpacing/>
        <w:rPr>
          <w:rFonts w:eastAsia="Calibri"/>
          <w:szCs w:val="22"/>
        </w:rPr>
      </w:pPr>
    </w:p>
    <w:p w:rsidR="00070FC5" w:rsidRPr="00CC73F3" w:rsidRDefault="00070FC5" w:rsidP="00D639F5">
      <w:pPr>
        <w:pStyle w:val="Heading2"/>
      </w:pPr>
      <w:bookmarkStart w:id="156" w:name="_Toc420572646"/>
      <w:r w:rsidRPr="00CC73F3">
        <w:t>Limitations and Future Research Directions</w:t>
      </w:r>
      <w:bookmarkEnd w:id="156"/>
    </w:p>
    <w:p w:rsidR="00070FC5" w:rsidRPr="00CC73F3" w:rsidRDefault="00070FC5" w:rsidP="00D639F5">
      <w:pPr>
        <w:spacing w:line="480" w:lineRule="auto"/>
        <w:contextualSpacing/>
        <w:rPr>
          <w:rFonts w:eastAsia="Calibri"/>
          <w:szCs w:val="22"/>
        </w:rPr>
      </w:pPr>
      <w:r w:rsidRPr="00CC73F3">
        <w:rPr>
          <w:rFonts w:eastAsia="Calibri"/>
          <w:szCs w:val="22"/>
        </w:rPr>
        <w:tab/>
        <w:t xml:space="preserve">These studies have several limitations, which point toward opportunities for future research. First, Study 1 and Study 2 were conducted in the laboratory using undergraduate students. While this sample and study setting may help researchers understand the underlying psychological processes that occur when groups make decisions (Bono &amp; McNamara, 2011), they also may not represent the contextual dynamics that occur in the field, when professional product development teams are faced with the same choices. Future research should further investigate the choices of working professionals, in teams that represent a wider spectrum of reflexivity and regulatory focus </w:t>
      </w:r>
    </w:p>
    <w:p w:rsidR="00070FC5" w:rsidRPr="00CC73F3" w:rsidRDefault="00070FC5" w:rsidP="00D639F5">
      <w:pPr>
        <w:spacing w:line="480" w:lineRule="auto"/>
        <w:rPr>
          <w:rFonts w:eastAsia="Calibri"/>
          <w:szCs w:val="22"/>
        </w:rPr>
      </w:pPr>
      <w:r w:rsidRPr="00CC73F3">
        <w:rPr>
          <w:rFonts w:eastAsia="Calibri"/>
          <w:szCs w:val="22"/>
        </w:rPr>
        <w:tab/>
        <w:t>Although the measures used to evaluate the potential of new products in Study 1 and Study 3 were collected from independent third parties, they still relied on subjective assessments from a panel of experts in Study 1 and a panel of potential consumers in Study 3. Future research could take a more longitudinal approach, following products from inception to commercialization, using objective performance data as the independent variable.</w:t>
      </w:r>
    </w:p>
    <w:p w:rsidR="00070FC5" w:rsidRPr="00CC73F3" w:rsidRDefault="00070FC5" w:rsidP="00D639F5">
      <w:pPr>
        <w:spacing w:line="480" w:lineRule="auto"/>
        <w:rPr>
          <w:rFonts w:eastAsia="Calibri"/>
          <w:szCs w:val="22"/>
        </w:rPr>
      </w:pPr>
      <w:r w:rsidRPr="00CC73F3">
        <w:rPr>
          <w:rFonts w:eastAsia="Calibri"/>
          <w:szCs w:val="22"/>
        </w:rPr>
        <w:tab/>
        <w:t xml:space="preserve">For Study 3 data was collected from a single firm. Quirky makes products across several different product categories (e.g., simple kitchen gadgets and whole-home electronic monitoring systems), and the meeting participants varied, so the findings can be considered generalizable. However, firm-level variables, such as culture, leadership, and working norm were unlikely to vary greatly from product-to-product. Future research should investigate a wider cross-section of firms to develop even more generalizable insights about managing the cocreation of innovation. </w:t>
      </w:r>
    </w:p>
    <w:p w:rsidR="00070FC5" w:rsidRPr="00CC73F3" w:rsidRDefault="00070FC5" w:rsidP="00D639F5">
      <w:pPr>
        <w:spacing w:line="480" w:lineRule="auto"/>
        <w:rPr>
          <w:rFonts w:eastAsia="Calibri"/>
          <w:szCs w:val="22"/>
        </w:rPr>
      </w:pPr>
      <w:r w:rsidRPr="00CC73F3">
        <w:rPr>
          <w:rFonts w:eastAsia="Calibri"/>
          <w:szCs w:val="22"/>
        </w:rPr>
        <w:tab/>
        <w:t>Related to this, Quirky, the firm used in Study 3, would likely be categorized as innovation-oriented, and the empirical investigation of their meetings showed that they had a tendency toward both a promotion-focus and high reflexivity in their group discussions. Future research should investigate group regulatory focus and group reflexivity across firms that vary in the degree to which a promotion or prevention focus is embedded in their corporate culture, and the degree to which they deliberate about cocreated new product ideas.</w:t>
      </w:r>
    </w:p>
    <w:p w:rsidR="00070FC5" w:rsidRPr="00CC73F3" w:rsidRDefault="00070FC5" w:rsidP="00D639F5">
      <w:pPr>
        <w:spacing w:line="480" w:lineRule="auto"/>
        <w:rPr>
          <w:rFonts w:eastAsia="Calibri"/>
          <w:szCs w:val="22"/>
        </w:rPr>
      </w:pPr>
      <w:r w:rsidRPr="00CC73F3">
        <w:rPr>
          <w:rFonts w:eastAsia="Calibri"/>
          <w:szCs w:val="22"/>
        </w:rPr>
        <w:tab/>
        <w:t>There are also several logical extensions of this work that may prove to be fruitful directions for future studies. First, these studies focused on cocreation of new product ideas, but, as mentioned in the literature review of this dissertation, many companies are using cocreation for initiatives other than new product development. For example, for the past several years, Doritos has hosted an open contest for its customers to produce their own Doritos Super Bowl commercials, with the winning submission earning a substantial prize and being aired during the game. Compared to the cocreation of new product concepts, firms’ evaluation and selection of user-generated content may influence outcomes differently since end-users are typically echoing messages and value propositions that have already been established by the firm rather than creating completely new sources of value.</w:t>
      </w:r>
    </w:p>
    <w:p w:rsidR="00070FC5" w:rsidRPr="00CC73F3" w:rsidRDefault="00070FC5" w:rsidP="00D639F5">
      <w:pPr>
        <w:spacing w:line="480" w:lineRule="auto"/>
        <w:rPr>
          <w:rFonts w:eastAsia="Calibri"/>
          <w:szCs w:val="22"/>
        </w:rPr>
      </w:pPr>
      <w:r w:rsidRPr="00CC73F3">
        <w:rPr>
          <w:rFonts w:eastAsia="Calibri"/>
          <w:szCs w:val="22"/>
        </w:rPr>
        <w:tab/>
        <w:t>Second, future studies should look at a more longitudinal view of the process of developing cocreated product ideas, from ideation to commercialization. Doing so would allow researchers to potentially draw connections between evaluation and selection during the front end of innovation and the ultimate market potential of these types of products. Although Study 3 was collected over the course of several months, the ultimate market outcomes of the 186 products evaluated in the video footage is unknown at the time of this dissertation’s writing. Although many of the products that were evaluated will eventually make it to market, many of the products selected may be abandoned before the commercialization process is completed. Determining how team evaluations are related to eventual survival rates of cocreated new product concepts would be an important contribution to both new product development theory and new product development practice.</w:t>
      </w:r>
    </w:p>
    <w:p w:rsidR="00070FC5" w:rsidRPr="00CC73F3" w:rsidRDefault="00070FC5" w:rsidP="00D639F5">
      <w:pPr>
        <w:spacing w:line="480" w:lineRule="auto"/>
        <w:rPr>
          <w:rFonts w:eastAsia="Calibri"/>
          <w:szCs w:val="22"/>
        </w:rPr>
      </w:pPr>
      <w:r w:rsidRPr="00CC73F3">
        <w:rPr>
          <w:rFonts w:eastAsia="Calibri"/>
          <w:szCs w:val="22"/>
        </w:rPr>
        <w:tab/>
        <w:t xml:space="preserve">Third, this study looked exclusively at co-created new product ideas, but many firms have begun to transition to developing new services or goods-services hybrid offerings </w:t>
      </w:r>
      <w:r w:rsidRPr="00CC73F3">
        <w:rPr>
          <w:rFonts w:eastAsia="Calibri"/>
          <w:noProof/>
          <w:szCs w:val="22"/>
        </w:rPr>
        <w:t>(Fang, Palmatier, &amp; Steenkamp, 2008; Ulaga &amp; Reinartz, 2011)</w:t>
      </w:r>
      <w:r w:rsidRPr="00CC73F3">
        <w:rPr>
          <w:rFonts w:eastAsia="Calibri"/>
          <w:szCs w:val="22"/>
        </w:rPr>
        <w:t xml:space="preserve">. Promotion-focused teams may be better suited to evaluating services than prevention-focused teams, given that services typically are more abstract and ambiguous in how they are designed and delivered than goods </w:t>
      </w:r>
      <w:r w:rsidRPr="00CC73F3">
        <w:rPr>
          <w:rFonts w:eastAsia="Calibri"/>
          <w:noProof/>
          <w:szCs w:val="22"/>
        </w:rPr>
        <w:t>(Bitner, Ostrom, &amp; Morgan, 2008; Zeithaml, Parasuraman, &amp; Berry, 1985)</w:t>
      </w:r>
      <w:r w:rsidRPr="00CC73F3">
        <w:rPr>
          <w:rFonts w:eastAsia="Calibri"/>
          <w:szCs w:val="22"/>
        </w:rPr>
        <w:t xml:space="preserve">. Future research should empirically examine the cognitive differences which may lead to superior evaluation of customer cocreated service innovations. </w:t>
      </w:r>
    </w:p>
    <w:p w:rsidR="00070FC5" w:rsidRPr="00CC73F3" w:rsidRDefault="00070FC5" w:rsidP="00D639F5">
      <w:pPr>
        <w:spacing w:line="480" w:lineRule="auto"/>
        <w:rPr>
          <w:rFonts w:eastAsia="Calibri"/>
          <w:szCs w:val="22"/>
        </w:rPr>
      </w:pPr>
      <w:r w:rsidRPr="00CC73F3">
        <w:rPr>
          <w:rFonts w:eastAsia="Calibri"/>
          <w:szCs w:val="22"/>
        </w:rPr>
        <w:tab/>
        <w:t>Finally, other variables related to team cognize remain unexplored in the context of managing cocreation. Team leadership, team member intelligence, transactive memory systems, and other group characteristics in organizations may play a significant role in how accurate teams are in their evaluation and selection of cocreated product ideas.</w:t>
      </w:r>
    </w:p>
    <w:p w:rsidR="00070FC5" w:rsidRPr="00CC73F3" w:rsidRDefault="00070FC5" w:rsidP="00D639F5">
      <w:pPr>
        <w:spacing w:line="480" w:lineRule="auto"/>
        <w:rPr>
          <w:rFonts w:eastAsia="Calibri"/>
          <w:szCs w:val="22"/>
        </w:rPr>
      </w:pPr>
    </w:p>
    <w:p w:rsidR="00070FC5" w:rsidRPr="00CC73F3" w:rsidRDefault="00070FC5" w:rsidP="00D639F5">
      <w:pPr>
        <w:pStyle w:val="Heading2"/>
      </w:pPr>
      <w:bookmarkStart w:id="157" w:name="_Toc420572647"/>
      <w:r w:rsidRPr="00CC73F3">
        <w:t>Conclusion</w:t>
      </w:r>
      <w:bookmarkEnd w:id="157"/>
    </w:p>
    <w:p w:rsidR="00070FC5" w:rsidRPr="00CC73F3" w:rsidRDefault="00070FC5" w:rsidP="00D639F5">
      <w:pPr>
        <w:spacing w:line="480" w:lineRule="auto"/>
        <w:rPr>
          <w:rFonts w:eastAsia="Calibri"/>
          <w:szCs w:val="22"/>
        </w:rPr>
      </w:pPr>
      <w:r w:rsidRPr="00CC73F3">
        <w:rPr>
          <w:rFonts w:eastAsia="Calibri"/>
          <w:szCs w:val="22"/>
        </w:rPr>
        <w:tab/>
        <w:t xml:space="preserve">Although the practice of cocreation has shown considerable promise in terms of its potential to result in profitable products that survive on the market, long-term </w:t>
      </w:r>
      <w:r w:rsidRPr="00CC73F3">
        <w:rPr>
          <w:rFonts w:eastAsia="Calibri"/>
          <w:noProof/>
          <w:szCs w:val="22"/>
        </w:rPr>
        <w:t>(Nishikawa et al., 2013)</w:t>
      </w:r>
      <w:r w:rsidRPr="00CC73F3">
        <w:rPr>
          <w:rFonts w:eastAsia="Calibri"/>
          <w:szCs w:val="22"/>
        </w:rPr>
        <w:t xml:space="preserve">, the decision-making process firms make in evaluating and selecting new product concepts created by customers has not been previously explored in the literature. In the classic “funnel” model </w:t>
      </w:r>
      <w:r w:rsidRPr="00CC73F3">
        <w:rPr>
          <w:rFonts w:eastAsia="Calibri"/>
          <w:noProof/>
          <w:szCs w:val="22"/>
        </w:rPr>
        <w:t>(Hauser et al., 2006)</w:t>
      </w:r>
      <w:r w:rsidRPr="00CC73F3">
        <w:rPr>
          <w:rFonts w:eastAsia="Calibri"/>
          <w:szCs w:val="22"/>
        </w:rPr>
        <w:t xml:space="preserve"> of how ideas are evaluated on the fuzzy front end, and in the more recent open innovation model of the funnel (Chesbrough, 2003) where ideas also permeate the queue from external sources of knowledge, it is implicitly assumed that firms accurately assess the ideas that pass through their evaluation and selection process. This series of studies shows that in the cocreation of innovation, where customer knowledge and expertise may be distant from firm knowledge and expertise, the evaluation process itself is subject to cognitive biases and thinking styles, and that the funnels (i.e., team evaluation processes) firms use to select new product ideas from customers is not inherently accurate.</w:t>
      </w:r>
    </w:p>
    <w:p w:rsidR="00070FC5" w:rsidRPr="00CC73F3" w:rsidRDefault="00070FC5" w:rsidP="00D639F5">
      <w:pPr>
        <w:spacing w:line="480" w:lineRule="auto"/>
        <w:rPr>
          <w:rFonts w:eastAsia="Calibri"/>
          <w:szCs w:val="22"/>
        </w:rPr>
      </w:pPr>
      <w:r w:rsidRPr="00CC73F3">
        <w:rPr>
          <w:rFonts w:eastAsia="Calibri"/>
          <w:szCs w:val="22"/>
        </w:rPr>
        <w:tab/>
        <w:t>The findings in this study are a first step toward developing a better understanding of the cognitive factors that influence the process and decision quality of managers as they evaluate new product concepts invented by consumers. The data in this dissertation show that regulatory focus and reflexivity can indeed influence the quality of decision-making in selecting cocreated products, particularly in the way they interact to influence selection quality. Hopefully, these studies will serve as a starting point from which other studies can draw in developing a more complete understanding of the evaluation and selection decision process involved in choosing cocreated new product ideas.</w:t>
      </w:r>
    </w:p>
    <w:p w:rsidR="00070FC5" w:rsidRPr="00CC73F3" w:rsidRDefault="00070FC5" w:rsidP="00D639F5">
      <w:pPr>
        <w:spacing w:line="480" w:lineRule="auto"/>
        <w:jc w:val="center"/>
        <w:rPr>
          <w:rStyle w:val="Heading1Char"/>
        </w:rPr>
      </w:pPr>
      <w:bookmarkStart w:id="158" w:name="_Toc420572648"/>
      <w:r w:rsidRPr="00CC73F3">
        <w:rPr>
          <w:rStyle w:val="Heading1Char"/>
        </w:rPr>
        <w:t>References</w:t>
      </w:r>
      <w:bookmarkEnd w:id="158"/>
    </w:p>
    <w:p w:rsidR="00070FC5" w:rsidRPr="00CC73F3" w:rsidRDefault="00070FC5" w:rsidP="00D639F5">
      <w:pPr>
        <w:rPr>
          <w:rStyle w:val="Heading1Char"/>
        </w:rPr>
      </w:pPr>
    </w:p>
    <w:p w:rsidR="00070FC5" w:rsidRPr="00CC73F3" w:rsidRDefault="00070FC5" w:rsidP="00412FD5">
      <w:pPr>
        <w:spacing w:line="480" w:lineRule="auto"/>
        <w:ind w:left="720" w:hanging="720"/>
        <w:rPr>
          <w:noProof/>
        </w:rPr>
      </w:pPr>
      <w:r w:rsidRPr="00CC73F3">
        <w:br w:type="page"/>
      </w:r>
      <w:bookmarkStart w:id="159" w:name="_ENREF_1"/>
      <w:r w:rsidRPr="00CC73F3">
        <w:rPr>
          <w:noProof/>
        </w:rPr>
        <w:t xml:space="preserve">Afuah, A., &amp; Tucci, C. L. (2012). Crowdsourcing as a solution to distant search. </w:t>
      </w:r>
      <w:r w:rsidRPr="00CC73F3">
        <w:rPr>
          <w:i/>
          <w:noProof/>
        </w:rPr>
        <w:t>Academy of Management Review, 37</w:t>
      </w:r>
      <w:r w:rsidRPr="00CC73F3">
        <w:rPr>
          <w:noProof/>
        </w:rPr>
        <w:t xml:space="preserve">(3), 355-375. </w:t>
      </w:r>
      <w:bookmarkEnd w:id="159"/>
    </w:p>
    <w:p w:rsidR="00070FC5" w:rsidRPr="00CC73F3" w:rsidRDefault="00070FC5" w:rsidP="00412FD5">
      <w:pPr>
        <w:spacing w:line="480" w:lineRule="auto"/>
        <w:ind w:left="720" w:hanging="720"/>
        <w:rPr>
          <w:noProof/>
        </w:rPr>
      </w:pPr>
      <w:bookmarkStart w:id="160" w:name="_ENREF_2"/>
      <w:r w:rsidRPr="00CC73F3">
        <w:rPr>
          <w:noProof/>
        </w:rPr>
        <w:t xml:space="preserve">Amabile, T. (1996). </w:t>
      </w:r>
      <w:r w:rsidRPr="00CC73F3">
        <w:rPr>
          <w:i/>
          <w:noProof/>
        </w:rPr>
        <w:t>Creativity in context</w:t>
      </w:r>
      <w:r w:rsidRPr="00CC73F3">
        <w:rPr>
          <w:noProof/>
        </w:rPr>
        <w:t>: Westview press.</w:t>
      </w:r>
      <w:bookmarkEnd w:id="160"/>
    </w:p>
    <w:p w:rsidR="00070FC5" w:rsidRPr="00CC73F3" w:rsidRDefault="00070FC5" w:rsidP="00412FD5">
      <w:pPr>
        <w:spacing w:line="480" w:lineRule="auto"/>
        <w:ind w:left="720" w:hanging="720"/>
        <w:rPr>
          <w:noProof/>
        </w:rPr>
      </w:pPr>
      <w:bookmarkStart w:id="161" w:name="_ENREF_3"/>
      <w:r w:rsidRPr="00CC73F3">
        <w:rPr>
          <w:noProof/>
        </w:rPr>
        <w:t xml:space="preserve">Amabile, T. M., Barsade, S. G., Mueller, J. S., &amp; Staw, B. M. (2005). Affect and creativity at work. </w:t>
      </w:r>
      <w:r w:rsidRPr="00CC73F3">
        <w:rPr>
          <w:i/>
          <w:noProof/>
        </w:rPr>
        <w:t xml:space="preserve">Administrative </w:t>
      </w:r>
      <w:r w:rsidR="00AF06BE">
        <w:rPr>
          <w:i/>
          <w:noProof/>
        </w:rPr>
        <w:t>S</w:t>
      </w:r>
      <w:r w:rsidRPr="00CC73F3">
        <w:rPr>
          <w:i/>
          <w:noProof/>
        </w:rPr>
        <w:t xml:space="preserve">cience </w:t>
      </w:r>
      <w:r w:rsidR="00AF06BE">
        <w:rPr>
          <w:i/>
          <w:noProof/>
        </w:rPr>
        <w:t>Q</w:t>
      </w:r>
      <w:r w:rsidRPr="00CC73F3">
        <w:rPr>
          <w:i/>
          <w:noProof/>
        </w:rPr>
        <w:t>uarterly, 50</w:t>
      </w:r>
      <w:r w:rsidRPr="00CC73F3">
        <w:rPr>
          <w:noProof/>
        </w:rPr>
        <w:t xml:space="preserve">(3), 367-403. </w:t>
      </w:r>
      <w:bookmarkEnd w:id="161"/>
    </w:p>
    <w:p w:rsidR="00070FC5" w:rsidRPr="00CC73F3" w:rsidRDefault="00070FC5" w:rsidP="00412FD5">
      <w:pPr>
        <w:spacing w:line="480" w:lineRule="auto"/>
        <w:ind w:left="720" w:hanging="720"/>
        <w:rPr>
          <w:noProof/>
        </w:rPr>
      </w:pPr>
      <w:bookmarkStart w:id="162" w:name="_ENREF_4"/>
      <w:r w:rsidRPr="00CC73F3">
        <w:rPr>
          <w:noProof/>
        </w:rPr>
        <w:t xml:space="preserve">Antia, K. D., Zheng, X., &amp; Frazier, G. L. (2013). Conflict management and outcomes in franchise relationships: the role of regulation. </w:t>
      </w:r>
      <w:r w:rsidRPr="00CC73F3">
        <w:rPr>
          <w:i/>
          <w:noProof/>
        </w:rPr>
        <w:t>Journal of Marketing Research, 50</w:t>
      </w:r>
      <w:r w:rsidRPr="00CC73F3">
        <w:rPr>
          <w:noProof/>
        </w:rPr>
        <w:t xml:space="preserve">(5), 577-589. </w:t>
      </w:r>
      <w:bookmarkEnd w:id="162"/>
    </w:p>
    <w:p w:rsidR="00070FC5" w:rsidRPr="00CC73F3" w:rsidRDefault="00070FC5" w:rsidP="00412FD5">
      <w:pPr>
        <w:spacing w:line="480" w:lineRule="auto"/>
        <w:ind w:left="720" w:hanging="720"/>
        <w:rPr>
          <w:noProof/>
        </w:rPr>
      </w:pPr>
      <w:bookmarkStart w:id="163" w:name="_ENREF_5"/>
      <w:r w:rsidRPr="00CC73F3">
        <w:rPr>
          <w:noProof/>
        </w:rPr>
        <w:t xml:space="preserve">Antorini, Y. M., Muniz, A. M., &amp; Askildsen, T. (2012). Collaborating with customer communities: Lessons from the Lego group. </w:t>
      </w:r>
      <w:r w:rsidRPr="00CC73F3">
        <w:rPr>
          <w:i/>
          <w:noProof/>
        </w:rPr>
        <w:t>MIT Sloan Management Review, 53</w:t>
      </w:r>
      <w:r w:rsidRPr="00CC73F3">
        <w:rPr>
          <w:noProof/>
        </w:rPr>
        <w:t xml:space="preserve">(3), 73-79. </w:t>
      </w:r>
      <w:bookmarkEnd w:id="163"/>
    </w:p>
    <w:p w:rsidR="00070FC5" w:rsidRPr="00CC73F3" w:rsidRDefault="00070FC5" w:rsidP="00412FD5">
      <w:pPr>
        <w:spacing w:line="480" w:lineRule="auto"/>
        <w:ind w:left="720" w:hanging="720"/>
        <w:rPr>
          <w:noProof/>
        </w:rPr>
      </w:pPr>
      <w:bookmarkStart w:id="164" w:name="_ENREF_6"/>
      <w:r w:rsidRPr="00CC73F3">
        <w:rPr>
          <w:noProof/>
        </w:rPr>
        <w:t xml:space="preserve">Baron, R. A. (2004). The cognitive perspective: a valuable tool for answering entrepreneurship's basic “why” questions. </w:t>
      </w:r>
      <w:r w:rsidRPr="00CC73F3">
        <w:rPr>
          <w:i/>
          <w:noProof/>
        </w:rPr>
        <w:t>Journal of Business Venturing, 19</w:t>
      </w:r>
      <w:r w:rsidRPr="00CC73F3">
        <w:rPr>
          <w:noProof/>
        </w:rPr>
        <w:t xml:space="preserve">(2), 221-239. </w:t>
      </w:r>
      <w:bookmarkEnd w:id="164"/>
    </w:p>
    <w:p w:rsidR="00070FC5" w:rsidRPr="00CC73F3" w:rsidRDefault="00070FC5" w:rsidP="00412FD5">
      <w:pPr>
        <w:spacing w:line="480" w:lineRule="auto"/>
        <w:ind w:left="720" w:hanging="720"/>
        <w:rPr>
          <w:noProof/>
        </w:rPr>
      </w:pPr>
      <w:bookmarkStart w:id="165" w:name="_ENREF_7"/>
      <w:r w:rsidRPr="00CC73F3">
        <w:rPr>
          <w:noProof/>
        </w:rPr>
        <w:t xml:space="preserve">Barr, P. S., Stimpert, J. L., &amp; Huff, A. S. (1992). Cognitive change, strategic action, and organizational renewal. </w:t>
      </w:r>
      <w:r w:rsidRPr="00CC73F3">
        <w:rPr>
          <w:i/>
          <w:noProof/>
        </w:rPr>
        <w:t xml:space="preserve">Strategic </w:t>
      </w:r>
      <w:r w:rsidR="00AF06BE">
        <w:rPr>
          <w:i/>
          <w:noProof/>
        </w:rPr>
        <w:t>M</w:t>
      </w:r>
      <w:r w:rsidRPr="00CC73F3">
        <w:rPr>
          <w:i/>
          <w:noProof/>
        </w:rPr>
        <w:t xml:space="preserve">anagement </w:t>
      </w:r>
      <w:r w:rsidR="00AF06BE">
        <w:rPr>
          <w:i/>
          <w:noProof/>
        </w:rPr>
        <w:t>J</w:t>
      </w:r>
      <w:r w:rsidRPr="00CC73F3">
        <w:rPr>
          <w:i/>
          <w:noProof/>
        </w:rPr>
        <w:t>ournal, 13</w:t>
      </w:r>
      <w:r w:rsidRPr="00CC73F3">
        <w:rPr>
          <w:noProof/>
        </w:rPr>
        <w:t xml:space="preserve">(S1), 15-36. </w:t>
      </w:r>
      <w:bookmarkEnd w:id="165"/>
    </w:p>
    <w:p w:rsidR="00070FC5" w:rsidRPr="00CC73F3" w:rsidRDefault="00070FC5" w:rsidP="00412FD5">
      <w:pPr>
        <w:spacing w:line="480" w:lineRule="auto"/>
        <w:ind w:left="720" w:hanging="720"/>
        <w:rPr>
          <w:noProof/>
        </w:rPr>
      </w:pPr>
      <w:bookmarkStart w:id="166" w:name="_ENREF_8"/>
      <w:r w:rsidRPr="00CC73F3">
        <w:rPr>
          <w:noProof/>
        </w:rPr>
        <w:t xml:space="preserve">Barrick, J. A., &amp; Spilker, B. C. (2003). The relations between knowledge, search strategy, and performance in unaided and aided information search. </w:t>
      </w:r>
      <w:r w:rsidRPr="00CC73F3">
        <w:rPr>
          <w:i/>
          <w:noProof/>
        </w:rPr>
        <w:t>Organizational Behavior and Human Decision Processes, 90</w:t>
      </w:r>
      <w:r w:rsidRPr="00CC73F3">
        <w:rPr>
          <w:noProof/>
        </w:rPr>
        <w:t xml:space="preserve">(1), 1-18. </w:t>
      </w:r>
      <w:bookmarkEnd w:id="166"/>
    </w:p>
    <w:p w:rsidR="00070FC5" w:rsidRPr="00CC73F3" w:rsidRDefault="00070FC5" w:rsidP="00412FD5">
      <w:pPr>
        <w:spacing w:line="480" w:lineRule="auto"/>
        <w:ind w:left="720" w:hanging="720"/>
        <w:rPr>
          <w:noProof/>
        </w:rPr>
      </w:pPr>
      <w:bookmarkStart w:id="167" w:name="_ENREF_9"/>
      <w:r w:rsidRPr="00CC73F3">
        <w:rPr>
          <w:noProof/>
        </w:rPr>
        <w:t xml:space="preserve">Bayus, B. L. (2013). Crowdsourcing new product ideas over time: An analysis of the Dell IdeaStorm community. </w:t>
      </w:r>
      <w:r w:rsidRPr="00CC73F3">
        <w:rPr>
          <w:i/>
          <w:noProof/>
        </w:rPr>
        <w:t>Management Science, 59</w:t>
      </w:r>
      <w:r w:rsidRPr="00CC73F3">
        <w:rPr>
          <w:noProof/>
        </w:rPr>
        <w:t xml:space="preserve">(1), 226-244. </w:t>
      </w:r>
      <w:bookmarkEnd w:id="167"/>
    </w:p>
    <w:p w:rsidR="00070FC5" w:rsidRPr="00CC73F3" w:rsidRDefault="00070FC5" w:rsidP="00412FD5">
      <w:pPr>
        <w:spacing w:line="480" w:lineRule="auto"/>
        <w:ind w:left="720" w:hanging="720"/>
        <w:rPr>
          <w:noProof/>
        </w:rPr>
      </w:pPr>
      <w:bookmarkStart w:id="168" w:name="_ENREF_10"/>
      <w:r w:rsidRPr="00CC73F3">
        <w:rPr>
          <w:noProof/>
        </w:rPr>
        <w:t xml:space="preserve">Berens, G., Riel, C. B. v., &amp; Bruggen, G. H. v. (2005). Corporate associations and consumer product responses: The moderating role of corporate brand dominance. </w:t>
      </w:r>
      <w:r w:rsidRPr="00CC73F3">
        <w:rPr>
          <w:i/>
          <w:noProof/>
        </w:rPr>
        <w:t>Journal of Marketing, 69</w:t>
      </w:r>
      <w:r w:rsidRPr="00CC73F3">
        <w:rPr>
          <w:noProof/>
        </w:rPr>
        <w:t xml:space="preserve">(3), 35-48. </w:t>
      </w:r>
      <w:bookmarkEnd w:id="168"/>
    </w:p>
    <w:p w:rsidR="00070FC5" w:rsidRPr="00CC73F3" w:rsidRDefault="00070FC5" w:rsidP="00412FD5">
      <w:pPr>
        <w:spacing w:line="480" w:lineRule="auto"/>
        <w:ind w:left="720" w:hanging="720"/>
        <w:rPr>
          <w:noProof/>
        </w:rPr>
      </w:pPr>
      <w:bookmarkStart w:id="169" w:name="_ENREF_11"/>
      <w:r w:rsidRPr="00CC73F3">
        <w:rPr>
          <w:noProof/>
        </w:rPr>
        <w:t xml:space="preserve">Bitner, M. J., Ostrom, A. L., &amp; Morgan, F. N. (2008). Service blueprinting: A practical technique for service innovation. </w:t>
      </w:r>
      <w:r w:rsidRPr="00CC73F3">
        <w:rPr>
          <w:i/>
          <w:noProof/>
        </w:rPr>
        <w:t xml:space="preserve">California </w:t>
      </w:r>
      <w:r w:rsidR="00AF06BE">
        <w:rPr>
          <w:i/>
          <w:noProof/>
        </w:rPr>
        <w:t>M</w:t>
      </w:r>
      <w:r w:rsidRPr="00CC73F3">
        <w:rPr>
          <w:i/>
          <w:noProof/>
        </w:rPr>
        <w:t xml:space="preserve">anagement </w:t>
      </w:r>
      <w:r w:rsidR="00AF06BE">
        <w:rPr>
          <w:i/>
          <w:noProof/>
        </w:rPr>
        <w:t>R</w:t>
      </w:r>
      <w:r w:rsidRPr="00CC73F3">
        <w:rPr>
          <w:i/>
          <w:noProof/>
        </w:rPr>
        <w:t>eview, 50</w:t>
      </w:r>
      <w:r w:rsidRPr="00CC73F3">
        <w:rPr>
          <w:noProof/>
        </w:rPr>
        <w:t xml:space="preserve">(3), 66. </w:t>
      </w:r>
      <w:bookmarkEnd w:id="169"/>
    </w:p>
    <w:p w:rsidR="00070FC5" w:rsidRPr="00CC73F3" w:rsidRDefault="00070FC5" w:rsidP="00412FD5">
      <w:pPr>
        <w:spacing w:line="480" w:lineRule="auto"/>
        <w:ind w:left="720" w:hanging="720"/>
        <w:rPr>
          <w:noProof/>
        </w:rPr>
      </w:pPr>
      <w:bookmarkStart w:id="170" w:name="_ENREF_12"/>
      <w:r w:rsidRPr="00CC73F3">
        <w:rPr>
          <w:noProof/>
        </w:rPr>
        <w:t xml:space="preserve">Bogers, M., Afuah, A., &amp; Bastian, B. (2010). Users as innovators: a review, critique, and future research directions. </w:t>
      </w:r>
      <w:r w:rsidRPr="00CC73F3">
        <w:rPr>
          <w:i/>
          <w:noProof/>
        </w:rPr>
        <w:t>Journal of Management</w:t>
      </w:r>
      <w:r w:rsidRPr="00CC73F3">
        <w:rPr>
          <w:noProof/>
        </w:rPr>
        <w:t xml:space="preserve">. </w:t>
      </w:r>
      <w:bookmarkEnd w:id="170"/>
    </w:p>
    <w:p w:rsidR="00070FC5" w:rsidRPr="00CC73F3" w:rsidRDefault="00070FC5" w:rsidP="00412FD5">
      <w:pPr>
        <w:spacing w:line="480" w:lineRule="auto"/>
        <w:ind w:left="720" w:hanging="720"/>
        <w:rPr>
          <w:noProof/>
        </w:rPr>
      </w:pPr>
      <w:bookmarkStart w:id="171" w:name="_ENREF_13"/>
      <w:r w:rsidRPr="00CC73F3">
        <w:rPr>
          <w:noProof/>
        </w:rPr>
        <w:t xml:space="preserve">Bono, J. E., &amp; McNamara, G. (2011). Publishing in AMJ—Part 2: Research design. </w:t>
      </w:r>
      <w:r w:rsidRPr="00CC73F3">
        <w:rPr>
          <w:i/>
          <w:noProof/>
        </w:rPr>
        <w:t xml:space="preserve">Academy of </w:t>
      </w:r>
      <w:r w:rsidR="00AF06BE">
        <w:rPr>
          <w:i/>
          <w:noProof/>
        </w:rPr>
        <w:t>M</w:t>
      </w:r>
      <w:r w:rsidRPr="00CC73F3">
        <w:rPr>
          <w:i/>
          <w:noProof/>
        </w:rPr>
        <w:t xml:space="preserve">anagement </w:t>
      </w:r>
      <w:r w:rsidR="00AF06BE">
        <w:rPr>
          <w:i/>
          <w:noProof/>
        </w:rPr>
        <w:t>J</w:t>
      </w:r>
      <w:r w:rsidRPr="00CC73F3">
        <w:rPr>
          <w:i/>
          <w:noProof/>
        </w:rPr>
        <w:t>ournal, 54</w:t>
      </w:r>
      <w:r w:rsidRPr="00CC73F3">
        <w:rPr>
          <w:noProof/>
        </w:rPr>
        <w:t xml:space="preserve">(4), 657-660. </w:t>
      </w:r>
      <w:bookmarkEnd w:id="171"/>
    </w:p>
    <w:p w:rsidR="00070FC5" w:rsidRPr="00CC73F3" w:rsidRDefault="00070FC5" w:rsidP="00412FD5">
      <w:pPr>
        <w:spacing w:line="480" w:lineRule="auto"/>
        <w:ind w:left="720" w:hanging="720"/>
        <w:rPr>
          <w:noProof/>
        </w:rPr>
      </w:pPr>
      <w:bookmarkStart w:id="172" w:name="_ENREF_14"/>
      <w:r w:rsidRPr="00CC73F3">
        <w:rPr>
          <w:noProof/>
        </w:rPr>
        <w:t xml:space="preserve">Boudreau, K. J., &amp; Lakhani, K. R. (2013). Using the crowd as an innovation partner. </w:t>
      </w:r>
      <w:r w:rsidRPr="00CC73F3">
        <w:rPr>
          <w:i/>
          <w:noProof/>
        </w:rPr>
        <w:t xml:space="preserve">Harvard </w:t>
      </w:r>
      <w:r w:rsidR="00AF06BE">
        <w:rPr>
          <w:i/>
          <w:noProof/>
        </w:rPr>
        <w:t>B</w:t>
      </w:r>
      <w:r w:rsidRPr="00CC73F3">
        <w:rPr>
          <w:i/>
          <w:noProof/>
        </w:rPr>
        <w:t xml:space="preserve">usiness </w:t>
      </w:r>
      <w:r w:rsidR="00AF06BE">
        <w:rPr>
          <w:i/>
          <w:noProof/>
        </w:rPr>
        <w:t>R</w:t>
      </w:r>
      <w:r w:rsidRPr="00CC73F3">
        <w:rPr>
          <w:i/>
          <w:noProof/>
        </w:rPr>
        <w:t>eview, 91</w:t>
      </w:r>
      <w:r w:rsidRPr="00CC73F3">
        <w:rPr>
          <w:noProof/>
        </w:rPr>
        <w:t xml:space="preserve">(4), 60-69. </w:t>
      </w:r>
      <w:bookmarkEnd w:id="172"/>
    </w:p>
    <w:p w:rsidR="00070FC5" w:rsidRPr="00CC73F3" w:rsidRDefault="00070FC5" w:rsidP="00412FD5">
      <w:pPr>
        <w:spacing w:line="480" w:lineRule="auto"/>
        <w:ind w:left="720" w:hanging="720"/>
        <w:rPr>
          <w:noProof/>
        </w:rPr>
      </w:pPr>
      <w:bookmarkStart w:id="173" w:name="_ENREF_15"/>
      <w:r w:rsidRPr="00CC73F3">
        <w:rPr>
          <w:noProof/>
        </w:rPr>
        <w:t xml:space="preserve">Boulding, W., Staelin, R., Ehret, M., &amp; Johnston, W. J. (2005). A customer relationship management roadmap: What is known, potential pitfalls, and where to go. </w:t>
      </w:r>
      <w:r w:rsidRPr="00CC73F3">
        <w:rPr>
          <w:i/>
          <w:noProof/>
        </w:rPr>
        <w:t>Journal of Marketing, 69</w:t>
      </w:r>
      <w:r w:rsidRPr="00CC73F3">
        <w:rPr>
          <w:noProof/>
        </w:rPr>
        <w:t xml:space="preserve">(4), 155-166. </w:t>
      </w:r>
      <w:bookmarkEnd w:id="173"/>
    </w:p>
    <w:p w:rsidR="00070FC5" w:rsidRPr="00CC73F3" w:rsidRDefault="00070FC5" w:rsidP="00412FD5">
      <w:pPr>
        <w:spacing w:line="480" w:lineRule="auto"/>
        <w:ind w:left="720" w:hanging="720"/>
        <w:rPr>
          <w:noProof/>
        </w:rPr>
      </w:pPr>
      <w:bookmarkStart w:id="174" w:name="_ENREF_16"/>
      <w:r w:rsidRPr="00CC73F3">
        <w:rPr>
          <w:noProof/>
        </w:rPr>
        <w:t xml:space="preserve">Brehm, J. W. (1966). A theory of psychological reactance. </w:t>
      </w:r>
      <w:r w:rsidRPr="00CC73F3">
        <w:rPr>
          <w:i/>
          <w:noProof/>
        </w:rPr>
        <w:t>New York</w:t>
      </w:r>
      <w:r w:rsidRPr="00CC73F3">
        <w:rPr>
          <w:noProof/>
        </w:rPr>
        <w:t xml:space="preserve">. </w:t>
      </w:r>
      <w:bookmarkEnd w:id="174"/>
    </w:p>
    <w:p w:rsidR="00070FC5" w:rsidRPr="00CC73F3" w:rsidRDefault="00070FC5" w:rsidP="00412FD5">
      <w:pPr>
        <w:spacing w:line="480" w:lineRule="auto"/>
        <w:ind w:left="720" w:hanging="720"/>
        <w:rPr>
          <w:noProof/>
        </w:rPr>
      </w:pPr>
      <w:bookmarkStart w:id="175" w:name="_ENREF_17"/>
      <w:r w:rsidRPr="00CC73F3">
        <w:rPr>
          <w:noProof/>
        </w:rPr>
        <w:t xml:space="preserve">Brockner, J., Higgins, E. T., &amp; Low, M. B. (2004). Regulatory focus theory and the entrepreneurial process. </w:t>
      </w:r>
      <w:r w:rsidRPr="00CC73F3">
        <w:rPr>
          <w:i/>
          <w:noProof/>
        </w:rPr>
        <w:t>Journal of Business Venturing, 19</w:t>
      </w:r>
      <w:r w:rsidRPr="00CC73F3">
        <w:rPr>
          <w:noProof/>
        </w:rPr>
        <w:t xml:space="preserve">(2), 203-220. </w:t>
      </w:r>
      <w:bookmarkEnd w:id="175"/>
    </w:p>
    <w:p w:rsidR="00070FC5" w:rsidRPr="00CC73F3" w:rsidRDefault="00070FC5" w:rsidP="00412FD5">
      <w:pPr>
        <w:spacing w:line="480" w:lineRule="auto"/>
        <w:ind w:left="720" w:hanging="720"/>
        <w:rPr>
          <w:noProof/>
        </w:rPr>
      </w:pPr>
      <w:bookmarkStart w:id="176" w:name="_ENREF_18"/>
      <w:r w:rsidRPr="00CC73F3">
        <w:rPr>
          <w:noProof/>
        </w:rPr>
        <w:t xml:space="preserve">Burroughs, J. E., Dahl, D. W., Moreau, C. P., Chattopadhyay, A., &amp; Gorn, G. J. (2011). Facilitating and rewarding creativity during new product development. </w:t>
      </w:r>
      <w:r w:rsidRPr="00CC73F3">
        <w:rPr>
          <w:i/>
          <w:noProof/>
        </w:rPr>
        <w:t>Journal of Marketing, 75</w:t>
      </w:r>
      <w:r w:rsidRPr="00CC73F3">
        <w:rPr>
          <w:noProof/>
        </w:rPr>
        <w:t xml:space="preserve">(4), 53-67. </w:t>
      </w:r>
      <w:bookmarkEnd w:id="176"/>
    </w:p>
    <w:p w:rsidR="00070FC5" w:rsidRPr="00CC73F3" w:rsidRDefault="00070FC5" w:rsidP="00412FD5">
      <w:pPr>
        <w:spacing w:line="480" w:lineRule="auto"/>
        <w:ind w:left="720" w:hanging="720"/>
        <w:rPr>
          <w:noProof/>
        </w:rPr>
      </w:pPr>
      <w:bookmarkStart w:id="177" w:name="_ENREF_19"/>
      <w:r w:rsidRPr="00CC73F3">
        <w:rPr>
          <w:noProof/>
        </w:rPr>
        <w:t xml:space="preserve">Chan, K. W., Yim, C. K., &amp; Lam, S. S. (2010). Is customer participation in value creation a double-edged sword? Evidence from professional financial services across cultures. </w:t>
      </w:r>
      <w:r w:rsidRPr="00CC73F3">
        <w:rPr>
          <w:i/>
          <w:noProof/>
        </w:rPr>
        <w:t>Journal of Marketing, 74</w:t>
      </w:r>
      <w:r w:rsidRPr="00CC73F3">
        <w:rPr>
          <w:noProof/>
        </w:rPr>
        <w:t xml:space="preserve">(3), 48-64. </w:t>
      </w:r>
      <w:bookmarkEnd w:id="177"/>
    </w:p>
    <w:p w:rsidR="00070FC5" w:rsidRPr="00CC73F3" w:rsidRDefault="00070FC5" w:rsidP="00412FD5">
      <w:pPr>
        <w:spacing w:line="480" w:lineRule="auto"/>
        <w:ind w:left="720" w:hanging="720"/>
        <w:rPr>
          <w:noProof/>
        </w:rPr>
      </w:pPr>
      <w:bookmarkStart w:id="178" w:name="_ENREF_20"/>
      <w:r w:rsidRPr="00CC73F3">
        <w:rPr>
          <w:noProof/>
        </w:rPr>
        <w:t xml:space="preserve">Chesbrough, H. W. (2003). </w:t>
      </w:r>
      <w:r w:rsidRPr="00CC73F3">
        <w:rPr>
          <w:i/>
          <w:noProof/>
        </w:rPr>
        <w:t>Open innovation: The new imperative for creating and profiting from technology</w:t>
      </w:r>
      <w:r w:rsidRPr="00CC73F3">
        <w:rPr>
          <w:noProof/>
        </w:rPr>
        <w:t>: Harvard Business Press.</w:t>
      </w:r>
      <w:bookmarkEnd w:id="178"/>
    </w:p>
    <w:p w:rsidR="00070FC5" w:rsidRPr="00CC73F3" w:rsidRDefault="00070FC5" w:rsidP="00412FD5">
      <w:pPr>
        <w:spacing w:line="480" w:lineRule="auto"/>
        <w:ind w:left="720" w:hanging="720"/>
        <w:rPr>
          <w:noProof/>
        </w:rPr>
      </w:pPr>
      <w:bookmarkStart w:id="179" w:name="_ENREF_21"/>
      <w:r w:rsidRPr="00CC73F3">
        <w:rPr>
          <w:noProof/>
        </w:rPr>
        <w:t xml:space="preserve">Churchill Jr, G. A. (1979). A paradigm for developing better measures of marketing constructs. </w:t>
      </w:r>
      <w:r w:rsidRPr="00CC73F3">
        <w:rPr>
          <w:i/>
          <w:noProof/>
        </w:rPr>
        <w:t>Journal of Marketing Research</w:t>
      </w:r>
      <w:r w:rsidRPr="00CC73F3">
        <w:rPr>
          <w:noProof/>
        </w:rPr>
        <w:t xml:space="preserve">, 64-73. </w:t>
      </w:r>
      <w:bookmarkEnd w:id="179"/>
    </w:p>
    <w:p w:rsidR="00070FC5" w:rsidRPr="00CC73F3" w:rsidRDefault="00070FC5" w:rsidP="00412FD5">
      <w:pPr>
        <w:spacing w:line="480" w:lineRule="auto"/>
        <w:ind w:left="720" w:hanging="720"/>
        <w:rPr>
          <w:noProof/>
        </w:rPr>
      </w:pPr>
      <w:bookmarkStart w:id="180" w:name="_ENREF_22"/>
      <w:r w:rsidRPr="00CC73F3">
        <w:rPr>
          <w:noProof/>
        </w:rPr>
        <w:t xml:space="preserve">Cooper, R. G. (1999). The invisible success factors in product innovation. </w:t>
      </w:r>
      <w:r w:rsidRPr="00CC73F3">
        <w:rPr>
          <w:i/>
          <w:noProof/>
        </w:rPr>
        <w:t>Journal of Product Innovation Management, 16</w:t>
      </w:r>
      <w:r w:rsidRPr="00CC73F3">
        <w:rPr>
          <w:noProof/>
        </w:rPr>
        <w:t xml:space="preserve">(2), 115-133. </w:t>
      </w:r>
      <w:bookmarkEnd w:id="180"/>
    </w:p>
    <w:p w:rsidR="00070FC5" w:rsidRPr="00CC73F3" w:rsidRDefault="00070FC5" w:rsidP="00412FD5">
      <w:pPr>
        <w:spacing w:line="480" w:lineRule="auto"/>
        <w:ind w:left="720" w:hanging="720"/>
        <w:rPr>
          <w:noProof/>
        </w:rPr>
      </w:pPr>
      <w:bookmarkStart w:id="181" w:name="_ENREF_23"/>
      <w:r w:rsidRPr="00CC73F3">
        <w:rPr>
          <w:noProof/>
        </w:rPr>
        <w:t xml:space="preserve">Crowe, E., &amp; Higgins, E. T. (1997). Regulatory focus and strategic inclinations: Promotion and prevention in decision-making. </w:t>
      </w:r>
      <w:r w:rsidRPr="00CC73F3">
        <w:rPr>
          <w:i/>
          <w:noProof/>
        </w:rPr>
        <w:t>Organizational Behavior and Human Decision Processes, 69</w:t>
      </w:r>
      <w:r w:rsidRPr="00CC73F3">
        <w:rPr>
          <w:noProof/>
        </w:rPr>
        <w:t xml:space="preserve">(2), 117-132. </w:t>
      </w:r>
      <w:bookmarkEnd w:id="181"/>
    </w:p>
    <w:p w:rsidR="00070FC5" w:rsidRPr="00CC73F3" w:rsidRDefault="00070FC5" w:rsidP="00412FD5">
      <w:pPr>
        <w:spacing w:line="480" w:lineRule="auto"/>
        <w:ind w:left="720" w:hanging="720"/>
        <w:rPr>
          <w:noProof/>
        </w:rPr>
      </w:pPr>
      <w:bookmarkStart w:id="182" w:name="_ENREF_24"/>
      <w:r w:rsidRPr="00CC73F3">
        <w:rPr>
          <w:noProof/>
        </w:rPr>
        <w:t xml:space="preserve">Dahl, D. W., &amp; Moreau, P. (2002). The influence and value of analogical thinking during new product ideation. </w:t>
      </w:r>
      <w:r w:rsidRPr="00CC73F3">
        <w:rPr>
          <w:i/>
          <w:noProof/>
        </w:rPr>
        <w:t>Journal of Marketing Research, 39</w:t>
      </w:r>
      <w:r w:rsidRPr="00CC73F3">
        <w:rPr>
          <w:noProof/>
        </w:rPr>
        <w:t xml:space="preserve">(1), 47-60. </w:t>
      </w:r>
      <w:bookmarkEnd w:id="182"/>
    </w:p>
    <w:p w:rsidR="00070FC5" w:rsidRPr="00CC73F3" w:rsidRDefault="00070FC5" w:rsidP="00412FD5">
      <w:pPr>
        <w:spacing w:line="480" w:lineRule="auto"/>
        <w:ind w:left="720" w:hanging="720"/>
        <w:rPr>
          <w:noProof/>
        </w:rPr>
      </w:pPr>
      <w:bookmarkStart w:id="183" w:name="_ENREF_25"/>
      <w:r w:rsidRPr="00CC73F3">
        <w:rPr>
          <w:noProof/>
        </w:rPr>
        <w:t xml:space="preserve">Day, G. S. (2011). Closing the marketing capabilities gap. </w:t>
      </w:r>
      <w:r w:rsidRPr="00CC73F3">
        <w:rPr>
          <w:i/>
          <w:noProof/>
        </w:rPr>
        <w:t>Journal of Marketing, 75</w:t>
      </w:r>
      <w:r w:rsidRPr="00CC73F3">
        <w:rPr>
          <w:noProof/>
        </w:rPr>
        <w:t xml:space="preserve">(4), 183-195. </w:t>
      </w:r>
      <w:bookmarkEnd w:id="183"/>
    </w:p>
    <w:p w:rsidR="00070FC5" w:rsidRPr="00CC73F3" w:rsidRDefault="00070FC5" w:rsidP="00412FD5">
      <w:pPr>
        <w:spacing w:line="480" w:lineRule="auto"/>
        <w:ind w:left="720" w:hanging="720"/>
        <w:rPr>
          <w:noProof/>
        </w:rPr>
      </w:pPr>
      <w:bookmarkStart w:id="184" w:name="_ENREF_26"/>
      <w:r w:rsidRPr="00CC73F3">
        <w:rPr>
          <w:noProof/>
        </w:rPr>
        <w:t xml:space="preserve">De Dreu, C. K. (2007). Cooperative outcome interdependence, task reflexivity, and team effectiveness: a motivated information processing perspective. </w:t>
      </w:r>
      <w:r w:rsidRPr="00CC73F3">
        <w:rPr>
          <w:i/>
          <w:noProof/>
        </w:rPr>
        <w:t>Journal of Applied Psychology, 92</w:t>
      </w:r>
      <w:r w:rsidRPr="00CC73F3">
        <w:rPr>
          <w:noProof/>
        </w:rPr>
        <w:t xml:space="preserve">(3), 628. </w:t>
      </w:r>
      <w:bookmarkEnd w:id="184"/>
    </w:p>
    <w:p w:rsidR="00070FC5" w:rsidRPr="00CC73F3" w:rsidRDefault="00070FC5" w:rsidP="00412FD5">
      <w:pPr>
        <w:spacing w:line="480" w:lineRule="auto"/>
        <w:ind w:left="720" w:hanging="720"/>
        <w:rPr>
          <w:noProof/>
        </w:rPr>
      </w:pPr>
      <w:bookmarkStart w:id="185" w:name="_ENREF_27"/>
      <w:r w:rsidRPr="00CC73F3">
        <w:rPr>
          <w:noProof/>
        </w:rPr>
        <w:t xml:space="preserve">DeDreu, C. (2002). Team innovation and team effectiveness: The importance of minority dissent and reflexivity. </w:t>
      </w:r>
      <w:r w:rsidRPr="00CC73F3">
        <w:rPr>
          <w:i/>
          <w:noProof/>
        </w:rPr>
        <w:t>European Journal of Work and Organizational Psychology, 11</w:t>
      </w:r>
      <w:r w:rsidRPr="00CC73F3">
        <w:rPr>
          <w:noProof/>
        </w:rPr>
        <w:t xml:space="preserve">(3), 285-298. </w:t>
      </w:r>
      <w:bookmarkEnd w:id="185"/>
    </w:p>
    <w:p w:rsidR="00070FC5" w:rsidRPr="00CC73F3" w:rsidRDefault="00070FC5" w:rsidP="00412FD5">
      <w:pPr>
        <w:spacing w:line="480" w:lineRule="auto"/>
        <w:ind w:left="720" w:hanging="720"/>
        <w:rPr>
          <w:noProof/>
        </w:rPr>
      </w:pPr>
      <w:bookmarkStart w:id="186" w:name="_ENREF_28"/>
      <w:r w:rsidRPr="00CC73F3">
        <w:rPr>
          <w:noProof/>
        </w:rPr>
        <w:t xml:space="preserve">Dell. (2015). Dell Idea Connection  Retrieved May 18, 2015, from </w:t>
      </w:r>
      <w:hyperlink r:id="rId23" w:history="1">
        <w:r w:rsidR="00AF06BE" w:rsidRPr="00E70A32">
          <w:rPr>
            <w:rStyle w:val="Hyperlink"/>
            <w:noProof/>
          </w:rPr>
          <w:t>http://www.ideaconnection.com/ideasites/dell-ideastorm-00045.html</w:t>
        </w:r>
      </w:hyperlink>
      <w:bookmarkEnd w:id="186"/>
      <w:r w:rsidR="00AF06BE">
        <w:rPr>
          <w:noProof/>
        </w:rPr>
        <w:t xml:space="preserve"> </w:t>
      </w:r>
    </w:p>
    <w:p w:rsidR="00070FC5" w:rsidRPr="00CC73F3" w:rsidRDefault="00070FC5" w:rsidP="00412FD5">
      <w:pPr>
        <w:spacing w:line="480" w:lineRule="auto"/>
        <w:ind w:left="720" w:hanging="720"/>
        <w:rPr>
          <w:noProof/>
        </w:rPr>
      </w:pPr>
      <w:bookmarkStart w:id="187" w:name="_ENREF_29"/>
      <w:r w:rsidRPr="00CC73F3">
        <w:rPr>
          <w:noProof/>
        </w:rPr>
        <w:t xml:space="preserve">Diehl, M., &amp; Stroebe, W. (1987). Productivity loss in brainstorming groups: Toward the solution of a riddle. </w:t>
      </w:r>
      <w:r w:rsidRPr="00CC73F3">
        <w:rPr>
          <w:i/>
          <w:noProof/>
        </w:rPr>
        <w:t xml:space="preserve">Journal of </w:t>
      </w:r>
      <w:r w:rsidR="00AF06BE">
        <w:rPr>
          <w:i/>
          <w:noProof/>
        </w:rPr>
        <w:t>P</w:t>
      </w:r>
      <w:r w:rsidRPr="00CC73F3">
        <w:rPr>
          <w:i/>
          <w:noProof/>
        </w:rPr>
        <w:t xml:space="preserve">ersonality and </w:t>
      </w:r>
      <w:r w:rsidR="00AF06BE">
        <w:rPr>
          <w:i/>
          <w:noProof/>
        </w:rPr>
        <w:t>S</w:t>
      </w:r>
      <w:r w:rsidRPr="00CC73F3">
        <w:rPr>
          <w:i/>
          <w:noProof/>
        </w:rPr>
        <w:t xml:space="preserve">ocial </w:t>
      </w:r>
      <w:r w:rsidR="00AF06BE">
        <w:rPr>
          <w:i/>
          <w:noProof/>
        </w:rPr>
        <w:t>P</w:t>
      </w:r>
      <w:r w:rsidRPr="00CC73F3">
        <w:rPr>
          <w:i/>
          <w:noProof/>
        </w:rPr>
        <w:t>sychology, 53</w:t>
      </w:r>
      <w:r w:rsidRPr="00CC73F3">
        <w:rPr>
          <w:noProof/>
        </w:rPr>
        <w:t xml:space="preserve">(3), 497. </w:t>
      </w:r>
      <w:bookmarkEnd w:id="187"/>
    </w:p>
    <w:p w:rsidR="00070FC5" w:rsidRPr="00CC73F3" w:rsidRDefault="00070FC5" w:rsidP="00412FD5">
      <w:pPr>
        <w:spacing w:line="480" w:lineRule="auto"/>
        <w:ind w:left="720" w:hanging="720"/>
        <w:rPr>
          <w:noProof/>
        </w:rPr>
      </w:pPr>
      <w:bookmarkStart w:id="188" w:name="_ENREF_30"/>
      <w:r w:rsidRPr="00CC73F3">
        <w:rPr>
          <w:noProof/>
        </w:rPr>
        <w:t xml:space="preserve">Dong, B., Evans, K. R., &amp; Zou, S. (2008). The effects of customer participation in co-created service recovery. </w:t>
      </w:r>
      <w:r w:rsidRPr="00CC73F3">
        <w:rPr>
          <w:i/>
          <w:noProof/>
        </w:rPr>
        <w:t>Journal of the Academy of Marketing Science, 36</w:t>
      </w:r>
      <w:r w:rsidRPr="00CC73F3">
        <w:rPr>
          <w:noProof/>
        </w:rPr>
        <w:t xml:space="preserve">(1), 123-137. </w:t>
      </w:r>
      <w:bookmarkEnd w:id="188"/>
    </w:p>
    <w:p w:rsidR="00070FC5" w:rsidRPr="00CC73F3" w:rsidRDefault="00070FC5" w:rsidP="00412FD5">
      <w:pPr>
        <w:spacing w:line="480" w:lineRule="auto"/>
        <w:ind w:left="720" w:hanging="720"/>
        <w:rPr>
          <w:noProof/>
        </w:rPr>
      </w:pPr>
      <w:bookmarkStart w:id="189" w:name="_ENREF_31"/>
      <w:r w:rsidRPr="00CC73F3">
        <w:rPr>
          <w:noProof/>
        </w:rPr>
        <w:t xml:space="preserve">Duriau, V. J., Reger, R. K., &amp; Pfarrer, M. D. (2007). A content analysis of the content analysis literature in organization studies: Research themes, data sources, and methodological refinements. </w:t>
      </w:r>
      <w:r w:rsidRPr="00CC73F3">
        <w:rPr>
          <w:i/>
          <w:noProof/>
        </w:rPr>
        <w:t>Organizational Research Methods, 10</w:t>
      </w:r>
      <w:r w:rsidRPr="00CC73F3">
        <w:rPr>
          <w:noProof/>
        </w:rPr>
        <w:t xml:space="preserve">(1), 5-34. </w:t>
      </w:r>
      <w:bookmarkEnd w:id="189"/>
    </w:p>
    <w:p w:rsidR="00070FC5" w:rsidRPr="00CC73F3" w:rsidRDefault="00070FC5" w:rsidP="00412FD5">
      <w:pPr>
        <w:spacing w:line="480" w:lineRule="auto"/>
        <w:ind w:left="720" w:hanging="720"/>
        <w:rPr>
          <w:noProof/>
        </w:rPr>
      </w:pPr>
      <w:bookmarkStart w:id="190" w:name="_ENREF_32"/>
      <w:r w:rsidRPr="00CC73F3">
        <w:rPr>
          <w:noProof/>
        </w:rPr>
        <w:t xml:space="preserve">Edvardsson, B., Enquist, B., &amp; Johnston, R. (2005). Cocreating customer value through hyperreality in the prepurchase service experience. </w:t>
      </w:r>
      <w:r w:rsidRPr="00CC73F3">
        <w:rPr>
          <w:i/>
          <w:noProof/>
        </w:rPr>
        <w:t xml:space="preserve">Journal of </w:t>
      </w:r>
      <w:r w:rsidR="00AF06BE">
        <w:rPr>
          <w:i/>
          <w:noProof/>
        </w:rPr>
        <w:t>S</w:t>
      </w:r>
      <w:r w:rsidRPr="00CC73F3">
        <w:rPr>
          <w:i/>
          <w:noProof/>
        </w:rPr>
        <w:t>ervice Research, 8</w:t>
      </w:r>
      <w:r w:rsidRPr="00CC73F3">
        <w:rPr>
          <w:noProof/>
        </w:rPr>
        <w:t xml:space="preserve">(2), 149-161. </w:t>
      </w:r>
      <w:bookmarkEnd w:id="190"/>
    </w:p>
    <w:p w:rsidR="00070FC5" w:rsidRPr="00CC73F3" w:rsidRDefault="00070FC5" w:rsidP="00412FD5">
      <w:pPr>
        <w:spacing w:line="480" w:lineRule="auto"/>
        <w:ind w:left="720" w:hanging="720"/>
        <w:rPr>
          <w:noProof/>
        </w:rPr>
      </w:pPr>
      <w:bookmarkStart w:id="191" w:name="_ENREF_33"/>
      <w:r w:rsidRPr="00CC73F3">
        <w:rPr>
          <w:noProof/>
        </w:rPr>
        <w:t xml:space="preserve">Faddegon, K., Scheepers, D., &amp; Ellemers, N. (2008). If we have the will, there will be a way: Regulatory focus as a group identity. </w:t>
      </w:r>
      <w:r w:rsidRPr="00CC73F3">
        <w:rPr>
          <w:i/>
          <w:noProof/>
        </w:rPr>
        <w:t>European Journal of Social Psychology, 38</w:t>
      </w:r>
      <w:r w:rsidRPr="00CC73F3">
        <w:rPr>
          <w:noProof/>
        </w:rPr>
        <w:t xml:space="preserve">(5), 880-895. </w:t>
      </w:r>
      <w:bookmarkEnd w:id="191"/>
    </w:p>
    <w:p w:rsidR="00070FC5" w:rsidRPr="00CC73F3" w:rsidRDefault="00070FC5" w:rsidP="00412FD5">
      <w:pPr>
        <w:spacing w:line="480" w:lineRule="auto"/>
        <w:ind w:left="720" w:hanging="720"/>
        <w:rPr>
          <w:noProof/>
        </w:rPr>
      </w:pPr>
      <w:bookmarkStart w:id="192" w:name="_ENREF_34"/>
      <w:r w:rsidRPr="00CC73F3">
        <w:rPr>
          <w:noProof/>
        </w:rPr>
        <w:t xml:space="preserve">Fang, E. (2008). Customer participation and the trade-off between new product innovativeness and speed to market. </w:t>
      </w:r>
      <w:r w:rsidRPr="00CC73F3">
        <w:rPr>
          <w:i/>
          <w:noProof/>
        </w:rPr>
        <w:t>Journal of Marketing, 72</w:t>
      </w:r>
      <w:r w:rsidRPr="00CC73F3">
        <w:rPr>
          <w:noProof/>
        </w:rPr>
        <w:t xml:space="preserve">(4), 90-104. </w:t>
      </w:r>
      <w:bookmarkEnd w:id="192"/>
    </w:p>
    <w:p w:rsidR="00070FC5" w:rsidRPr="00CC73F3" w:rsidRDefault="00070FC5" w:rsidP="00412FD5">
      <w:pPr>
        <w:spacing w:line="480" w:lineRule="auto"/>
        <w:ind w:left="720" w:hanging="720"/>
        <w:rPr>
          <w:noProof/>
        </w:rPr>
      </w:pPr>
      <w:bookmarkStart w:id="193" w:name="_ENREF_35"/>
      <w:r w:rsidRPr="00CC73F3">
        <w:rPr>
          <w:noProof/>
        </w:rPr>
        <w:t xml:space="preserve">Fang, E., Palmatier, R. W., &amp; Steenkamp, J.-B. E. (2008). Effect of service transition strategies on firm value. </w:t>
      </w:r>
      <w:r w:rsidRPr="00CC73F3">
        <w:rPr>
          <w:i/>
          <w:noProof/>
        </w:rPr>
        <w:t>Journal of Marketing, 72</w:t>
      </w:r>
      <w:r w:rsidRPr="00CC73F3">
        <w:rPr>
          <w:noProof/>
        </w:rPr>
        <w:t xml:space="preserve">(5), 1-14. </w:t>
      </w:r>
      <w:bookmarkEnd w:id="193"/>
    </w:p>
    <w:p w:rsidR="00070FC5" w:rsidRPr="00CC73F3" w:rsidRDefault="00070FC5" w:rsidP="00412FD5">
      <w:pPr>
        <w:spacing w:line="480" w:lineRule="auto"/>
        <w:ind w:left="720" w:hanging="720"/>
        <w:rPr>
          <w:noProof/>
        </w:rPr>
      </w:pPr>
      <w:bookmarkStart w:id="194" w:name="_ENREF_36"/>
      <w:r w:rsidRPr="00CC73F3">
        <w:rPr>
          <w:noProof/>
        </w:rPr>
        <w:t xml:space="preserve">Ferber, R. (1977). Research by convenience. </w:t>
      </w:r>
      <w:r w:rsidRPr="00CC73F3">
        <w:rPr>
          <w:i/>
          <w:noProof/>
        </w:rPr>
        <w:t>Journal of Consumer Research, 4</w:t>
      </w:r>
      <w:r w:rsidRPr="00CC73F3">
        <w:rPr>
          <w:noProof/>
        </w:rPr>
        <w:t xml:space="preserve">(1), 57-58. </w:t>
      </w:r>
      <w:bookmarkEnd w:id="194"/>
    </w:p>
    <w:p w:rsidR="00070FC5" w:rsidRPr="00CC73F3" w:rsidRDefault="00070FC5" w:rsidP="00412FD5">
      <w:pPr>
        <w:spacing w:line="480" w:lineRule="auto"/>
        <w:ind w:left="720" w:hanging="720"/>
        <w:rPr>
          <w:noProof/>
        </w:rPr>
      </w:pPr>
      <w:bookmarkStart w:id="195" w:name="_ENREF_37"/>
      <w:r w:rsidRPr="00CC73F3">
        <w:rPr>
          <w:noProof/>
        </w:rPr>
        <w:t xml:space="preserve">Florack, A., &amp; Hartmann, J. (2007). Regulatory focus and investment decisions in small groups. </w:t>
      </w:r>
      <w:r w:rsidRPr="00CC73F3">
        <w:rPr>
          <w:i/>
          <w:noProof/>
        </w:rPr>
        <w:t>Journal of Experimental Social Psychology, 43</w:t>
      </w:r>
      <w:r w:rsidRPr="00CC73F3">
        <w:rPr>
          <w:noProof/>
        </w:rPr>
        <w:t xml:space="preserve">(4), 626-632. </w:t>
      </w:r>
      <w:bookmarkEnd w:id="195"/>
    </w:p>
    <w:p w:rsidR="00070FC5" w:rsidRPr="00CC73F3" w:rsidRDefault="00070FC5" w:rsidP="00412FD5">
      <w:pPr>
        <w:spacing w:line="480" w:lineRule="auto"/>
        <w:ind w:left="720" w:hanging="720"/>
        <w:rPr>
          <w:noProof/>
        </w:rPr>
      </w:pPr>
      <w:bookmarkStart w:id="196" w:name="_ENREF_38"/>
      <w:r w:rsidRPr="00CC73F3">
        <w:rPr>
          <w:noProof/>
        </w:rPr>
        <w:t xml:space="preserve">Friedman, R. S., &amp; Förster, J. (2001). The effects of promotion and prevention cues on creativity. </w:t>
      </w:r>
      <w:r w:rsidRPr="00CC73F3">
        <w:rPr>
          <w:i/>
          <w:noProof/>
        </w:rPr>
        <w:t xml:space="preserve">Journal of </w:t>
      </w:r>
      <w:r w:rsidR="00AF06BE">
        <w:rPr>
          <w:i/>
          <w:noProof/>
        </w:rPr>
        <w:t>P</w:t>
      </w:r>
      <w:r w:rsidRPr="00CC73F3">
        <w:rPr>
          <w:i/>
          <w:noProof/>
        </w:rPr>
        <w:t xml:space="preserve">ersonality and </w:t>
      </w:r>
      <w:r w:rsidR="00AF06BE">
        <w:rPr>
          <w:i/>
          <w:noProof/>
        </w:rPr>
        <w:t>S</w:t>
      </w:r>
      <w:r w:rsidRPr="00CC73F3">
        <w:rPr>
          <w:i/>
          <w:noProof/>
        </w:rPr>
        <w:t xml:space="preserve">ocial </w:t>
      </w:r>
      <w:r w:rsidR="00AF06BE">
        <w:rPr>
          <w:i/>
          <w:noProof/>
        </w:rPr>
        <w:t>P</w:t>
      </w:r>
      <w:r w:rsidRPr="00CC73F3">
        <w:rPr>
          <w:i/>
          <w:noProof/>
        </w:rPr>
        <w:t>sychology, 81</w:t>
      </w:r>
      <w:r w:rsidRPr="00CC73F3">
        <w:rPr>
          <w:noProof/>
        </w:rPr>
        <w:t xml:space="preserve">(6), 1001. </w:t>
      </w:r>
      <w:bookmarkEnd w:id="196"/>
    </w:p>
    <w:p w:rsidR="00070FC5" w:rsidRPr="00CC73F3" w:rsidRDefault="00070FC5" w:rsidP="00412FD5">
      <w:pPr>
        <w:spacing w:line="480" w:lineRule="auto"/>
        <w:ind w:left="720" w:hanging="720"/>
        <w:rPr>
          <w:noProof/>
        </w:rPr>
      </w:pPr>
      <w:bookmarkStart w:id="197" w:name="_ENREF_39"/>
      <w:r w:rsidRPr="00CC73F3">
        <w:rPr>
          <w:noProof/>
        </w:rPr>
        <w:t xml:space="preserve">Frost, P. J., &amp; Egri, C. P. (1991). The political-process of innovation. </w:t>
      </w:r>
      <w:r w:rsidRPr="00CC73F3">
        <w:rPr>
          <w:i/>
          <w:noProof/>
        </w:rPr>
        <w:t>Research in Organizational Behavior, 13</w:t>
      </w:r>
      <w:r w:rsidRPr="00CC73F3">
        <w:rPr>
          <w:noProof/>
        </w:rPr>
        <w:t xml:space="preserve">, 229-295. </w:t>
      </w:r>
      <w:bookmarkEnd w:id="197"/>
    </w:p>
    <w:p w:rsidR="00070FC5" w:rsidRPr="00CC73F3" w:rsidRDefault="00070FC5" w:rsidP="00412FD5">
      <w:pPr>
        <w:spacing w:line="480" w:lineRule="auto"/>
        <w:ind w:left="720" w:hanging="720"/>
        <w:rPr>
          <w:noProof/>
        </w:rPr>
      </w:pPr>
      <w:bookmarkStart w:id="198" w:name="_ENREF_40"/>
      <w:r w:rsidRPr="00CC73F3">
        <w:rPr>
          <w:noProof/>
        </w:rPr>
        <w:t xml:space="preserve">Fuchs, C., Prandelli, E., &amp; Schreier, M. (2010). The psychological effects of empowerment strategies on consumers' product demand. </w:t>
      </w:r>
      <w:r w:rsidRPr="00CC73F3">
        <w:rPr>
          <w:i/>
          <w:noProof/>
        </w:rPr>
        <w:t>Journal of Marketing, 74</w:t>
      </w:r>
      <w:r w:rsidRPr="00CC73F3">
        <w:rPr>
          <w:noProof/>
        </w:rPr>
        <w:t xml:space="preserve">(1), 65-79. </w:t>
      </w:r>
      <w:bookmarkEnd w:id="198"/>
    </w:p>
    <w:p w:rsidR="00070FC5" w:rsidRPr="00CC73F3" w:rsidRDefault="00070FC5" w:rsidP="00412FD5">
      <w:pPr>
        <w:spacing w:line="480" w:lineRule="auto"/>
        <w:ind w:left="720" w:hanging="720"/>
        <w:rPr>
          <w:noProof/>
        </w:rPr>
      </w:pPr>
      <w:bookmarkStart w:id="199" w:name="_ENREF_41"/>
      <w:r w:rsidRPr="00CC73F3">
        <w:rPr>
          <w:noProof/>
        </w:rPr>
        <w:t xml:space="preserve">Füller, J. (2010). Refining virtual co-creation from a consumer perspective. </w:t>
      </w:r>
      <w:r w:rsidRPr="00CC73F3">
        <w:rPr>
          <w:i/>
          <w:noProof/>
        </w:rPr>
        <w:t xml:space="preserve">California </w:t>
      </w:r>
      <w:r w:rsidR="00AF06BE">
        <w:rPr>
          <w:i/>
          <w:noProof/>
        </w:rPr>
        <w:t>M</w:t>
      </w:r>
      <w:r w:rsidRPr="00CC73F3">
        <w:rPr>
          <w:i/>
          <w:noProof/>
        </w:rPr>
        <w:t xml:space="preserve">anagement </w:t>
      </w:r>
      <w:r w:rsidR="00AF06BE">
        <w:rPr>
          <w:i/>
          <w:noProof/>
        </w:rPr>
        <w:t>R</w:t>
      </w:r>
      <w:r w:rsidRPr="00CC73F3">
        <w:rPr>
          <w:i/>
          <w:noProof/>
        </w:rPr>
        <w:t>eview</w:t>
      </w:r>
      <w:r w:rsidRPr="00CC73F3">
        <w:rPr>
          <w:noProof/>
        </w:rPr>
        <w:t xml:space="preserve">(52), 98-122. </w:t>
      </w:r>
      <w:bookmarkEnd w:id="199"/>
    </w:p>
    <w:p w:rsidR="00070FC5" w:rsidRPr="00CC73F3" w:rsidRDefault="00070FC5" w:rsidP="00412FD5">
      <w:pPr>
        <w:spacing w:line="480" w:lineRule="auto"/>
        <w:ind w:left="720" w:hanging="720"/>
        <w:rPr>
          <w:noProof/>
        </w:rPr>
      </w:pPr>
      <w:bookmarkStart w:id="200" w:name="_ENREF_42"/>
      <w:r w:rsidRPr="00CC73F3">
        <w:rPr>
          <w:noProof/>
        </w:rPr>
        <w:t>Füller, J., Hutter, K., &amp; Faullant, R. (2011). Why co</w:t>
      </w:r>
      <w:r w:rsidRPr="00CC73F3">
        <w:rPr>
          <w:rFonts w:ascii="Cambria Math" w:hAnsi="Cambria Math" w:cs="Cambria Math"/>
          <w:noProof/>
        </w:rPr>
        <w:t>‐</w:t>
      </w:r>
      <w:r w:rsidRPr="00CC73F3">
        <w:rPr>
          <w:noProof/>
        </w:rPr>
        <w:t xml:space="preserve">creation experience matters? Creative experience and its impact on the quantity and quality of creative contributions. </w:t>
      </w:r>
      <w:r w:rsidRPr="00CC73F3">
        <w:rPr>
          <w:i/>
          <w:noProof/>
        </w:rPr>
        <w:t>R&amp;D Management, 41</w:t>
      </w:r>
      <w:r w:rsidRPr="00CC73F3">
        <w:rPr>
          <w:noProof/>
        </w:rPr>
        <w:t xml:space="preserve">(3), 259-273. </w:t>
      </w:r>
      <w:bookmarkEnd w:id="200"/>
    </w:p>
    <w:p w:rsidR="00070FC5" w:rsidRPr="00CC73F3" w:rsidRDefault="00070FC5" w:rsidP="00412FD5">
      <w:pPr>
        <w:spacing w:line="480" w:lineRule="auto"/>
        <w:ind w:left="720" w:hanging="720"/>
        <w:rPr>
          <w:noProof/>
        </w:rPr>
      </w:pPr>
      <w:bookmarkStart w:id="201" w:name="_ENREF_43"/>
      <w:r w:rsidRPr="00CC73F3">
        <w:rPr>
          <w:noProof/>
        </w:rPr>
        <w:t xml:space="preserve">Füller, J., Hutter, K., &amp; Fries, M. (2012). Crowdsourcing for Goodness Sake: Impact of Incentive Preference on Contribution Behavior for Social Innovation. </w:t>
      </w:r>
      <w:r w:rsidRPr="00CC73F3">
        <w:rPr>
          <w:i/>
          <w:noProof/>
        </w:rPr>
        <w:t>Adv</w:t>
      </w:r>
      <w:r w:rsidR="00AF06BE">
        <w:rPr>
          <w:i/>
          <w:noProof/>
        </w:rPr>
        <w:t>ances in</w:t>
      </w:r>
      <w:r w:rsidRPr="00CC73F3">
        <w:rPr>
          <w:i/>
          <w:noProof/>
        </w:rPr>
        <w:t xml:space="preserve"> Int</w:t>
      </w:r>
      <w:r w:rsidR="00AF06BE">
        <w:rPr>
          <w:i/>
          <w:noProof/>
        </w:rPr>
        <w:t>ernational</w:t>
      </w:r>
      <w:r w:rsidRPr="00CC73F3">
        <w:rPr>
          <w:i/>
          <w:noProof/>
        </w:rPr>
        <w:t xml:space="preserve"> Market</w:t>
      </w:r>
      <w:r w:rsidR="00AF06BE">
        <w:rPr>
          <w:i/>
          <w:noProof/>
        </w:rPr>
        <w:t>ing</w:t>
      </w:r>
      <w:r w:rsidRPr="00CC73F3">
        <w:rPr>
          <w:i/>
          <w:noProof/>
        </w:rPr>
        <w:t>, 23</w:t>
      </w:r>
      <w:r w:rsidRPr="00CC73F3">
        <w:rPr>
          <w:noProof/>
        </w:rPr>
        <w:t xml:space="preserve">, 137-159. </w:t>
      </w:r>
      <w:bookmarkEnd w:id="201"/>
    </w:p>
    <w:p w:rsidR="00070FC5" w:rsidRPr="00CC73F3" w:rsidRDefault="00070FC5" w:rsidP="00412FD5">
      <w:pPr>
        <w:spacing w:line="480" w:lineRule="auto"/>
        <w:ind w:left="720" w:hanging="720"/>
        <w:rPr>
          <w:noProof/>
        </w:rPr>
      </w:pPr>
      <w:bookmarkStart w:id="202" w:name="_ENREF_44"/>
      <w:r w:rsidRPr="00CC73F3">
        <w:rPr>
          <w:noProof/>
        </w:rPr>
        <w:t xml:space="preserve">Glaser, B. G., &amp; Strauss, A. L. (2009). </w:t>
      </w:r>
      <w:r w:rsidRPr="00CC73F3">
        <w:rPr>
          <w:i/>
          <w:noProof/>
        </w:rPr>
        <w:t>The discovery of grounded theory: Strategies for qualitative research</w:t>
      </w:r>
      <w:r w:rsidRPr="00CC73F3">
        <w:rPr>
          <w:noProof/>
        </w:rPr>
        <w:t>: Transaction Publishers.</w:t>
      </w:r>
      <w:bookmarkEnd w:id="202"/>
    </w:p>
    <w:p w:rsidR="00070FC5" w:rsidRPr="00CC73F3" w:rsidRDefault="00070FC5" w:rsidP="00412FD5">
      <w:pPr>
        <w:spacing w:line="480" w:lineRule="auto"/>
        <w:ind w:left="720" w:hanging="720"/>
        <w:rPr>
          <w:noProof/>
        </w:rPr>
      </w:pPr>
      <w:bookmarkStart w:id="203" w:name="_ENREF_45"/>
      <w:r w:rsidRPr="00CC73F3">
        <w:rPr>
          <w:noProof/>
        </w:rPr>
        <w:t xml:space="preserve">Gloor, P. A., &amp; Cooper, S. M. (2012). The new principles of a swarm business. </w:t>
      </w:r>
      <w:r w:rsidRPr="00CC73F3">
        <w:rPr>
          <w:i/>
          <w:noProof/>
        </w:rPr>
        <w:t>MIT Sloan Management Review, 48</w:t>
      </w:r>
      <w:r w:rsidRPr="00CC73F3">
        <w:rPr>
          <w:noProof/>
        </w:rPr>
        <w:t xml:space="preserve">(3). </w:t>
      </w:r>
      <w:bookmarkEnd w:id="203"/>
    </w:p>
    <w:p w:rsidR="00070FC5" w:rsidRPr="00CC73F3" w:rsidRDefault="00070FC5" w:rsidP="00412FD5">
      <w:pPr>
        <w:spacing w:line="480" w:lineRule="auto"/>
        <w:ind w:left="720" w:hanging="720"/>
        <w:rPr>
          <w:noProof/>
        </w:rPr>
      </w:pPr>
      <w:bookmarkStart w:id="204" w:name="_ENREF_46"/>
      <w:r w:rsidRPr="00CC73F3">
        <w:rPr>
          <w:noProof/>
        </w:rPr>
        <w:t xml:space="preserve">Gordon, M. E., Slade, L. A., &amp; Schmitt, N. (1986). The “science of the sophomore” revisited: From conjecture to empiricism. </w:t>
      </w:r>
      <w:r w:rsidRPr="00CC73F3">
        <w:rPr>
          <w:i/>
          <w:noProof/>
        </w:rPr>
        <w:t>Academy of Management Review, 11</w:t>
      </w:r>
      <w:r w:rsidRPr="00CC73F3">
        <w:rPr>
          <w:noProof/>
        </w:rPr>
        <w:t xml:space="preserve">(1), 191-207. </w:t>
      </w:r>
      <w:bookmarkEnd w:id="204"/>
    </w:p>
    <w:p w:rsidR="00070FC5" w:rsidRPr="00CC73F3" w:rsidRDefault="00070FC5" w:rsidP="00412FD5">
      <w:pPr>
        <w:spacing w:line="480" w:lineRule="auto"/>
        <w:ind w:left="720" w:hanging="720"/>
        <w:rPr>
          <w:noProof/>
        </w:rPr>
      </w:pPr>
      <w:bookmarkStart w:id="205" w:name="_ENREF_47"/>
      <w:r w:rsidRPr="00CC73F3">
        <w:rPr>
          <w:noProof/>
        </w:rPr>
        <w:t xml:space="preserve">Greenberg, J. (1987). The college sophomore as guinea pig: Setting the record straight. </w:t>
      </w:r>
      <w:r w:rsidRPr="00CC73F3">
        <w:rPr>
          <w:i/>
          <w:noProof/>
        </w:rPr>
        <w:t>Academy of Management Review, 12</w:t>
      </w:r>
      <w:r w:rsidRPr="00CC73F3">
        <w:rPr>
          <w:noProof/>
        </w:rPr>
        <w:t xml:space="preserve">(1), 157-159. </w:t>
      </w:r>
      <w:bookmarkEnd w:id="205"/>
    </w:p>
    <w:p w:rsidR="00070FC5" w:rsidRPr="00CC73F3" w:rsidRDefault="00070FC5" w:rsidP="00412FD5">
      <w:pPr>
        <w:spacing w:line="480" w:lineRule="auto"/>
        <w:ind w:left="720" w:hanging="720"/>
        <w:rPr>
          <w:noProof/>
        </w:rPr>
      </w:pPr>
      <w:bookmarkStart w:id="206" w:name="_ENREF_48"/>
      <w:r w:rsidRPr="00CC73F3">
        <w:rPr>
          <w:noProof/>
        </w:rPr>
        <w:t xml:space="preserve">Gurtner, A., Tschan, F., Semmer, N. K., &amp; Nägele, C. (2007). Getting groups to develop good strategies: Effects of reflexivity interventions on team process, team performance, and shared mental models. </w:t>
      </w:r>
      <w:r w:rsidRPr="00CC73F3">
        <w:rPr>
          <w:i/>
          <w:noProof/>
        </w:rPr>
        <w:t>Organizational Behavior and Human Decision Processes, 102</w:t>
      </w:r>
      <w:r w:rsidRPr="00CC73F3">
        <w:rPr>
          <w:noProof/>
        </w:rPr>
        <w:t xml:space="preserve">(2), 127-142. </w:t>
      </w:r>
      <w:bookmarkEnd w:id="206"/>
    </w:p>
    <w:p w:rsidR="00070FC5" w:rsidRPr="00CC73F3" w:rsidRDefault="00070FC5" w:rsidP="00412FD5">
      <w:pPr>
        <w:spacing w:line="480" w:lineRule="auto"/>
        <w:ind w:left="720" w:hanging="720"/>
        <w:rPr>
          <w:noProof/>
        </w:rPr>
      </w:pPr>
      <w:bookmarkStart w:id="207" w:name="_ENREF_49"/>
      <w:r w:rsidRPr="00CC73F3">
        <w:rPr>
          <w:noProof/>
        </w:rPr>
        <w:t xml:space="preserve">Hair, J., Black, B., Babin, B., &amp; Anderson, R. (2010). </w:t>
      </w:r>
      <w:r w:rsidRPr="00CC73F3">
        <w:rPr>
          <w:i/>
          <w:noProof/>
        </w:rPr>
        <w:t>Multivariate Data Analysis</w:t>
      </w:r>
      <w:r w:rsidRPr="00CC73F3">
        <w:rPr>
          <w:noProof/>
        </w:rPr>
        <w:t xml:space="preserve"> (Seventh ed.). Saddle River, NJ: Pearson Prentice Hall.</w:t>
      </w:r>
      <w:bookmarkEnd w:id="207"/>
    </w:p>
    <w:p w:rsidR="00070FC5" w:rsidRPr="00CC73F3" w:rsidRDefault="00070FC5" w:rsidP="00412FD5">
      <w:pPr>
        <w:spacing w:line="480" w:lineRule="auto"/>
        <w:ind w:left="720" w:hanging="720"/>
        <w:rPr>
          <w:noProof/>
        </w:rPr>
      </w:pPr>
      <w:bookmarkStart w:id="208" w:name="_ENREF_50"/>
      <w:r w:rsidRPr="00CC73F3">
        <w:rPr>
          <w:noProof/>
        </w:rPr>
        <w:t xml:space="preserve">Hauser, J., Tellis, G. J., &amp; Griffin, A. (2006). Research on innovation: A review and agenda for marketing science. </w:t>
      </w:r>
      <w:r w:rsidRPr="00CC73F3">
        <w:rPr>
          <w:i/>
          <w:noProof/>
        </w:rPr>
        <w:t xml:space="preserve">Marketing </w:t>
      </w:r>
      <w:r w:rsidR="00AF06BE">
        <w:rPr>
          <w:i/>
          <w:noProof/>
        </w:rPr>
        <w:t>S</w:t>
      </w:r>
      <w:r w:rsidRPr="00CC73F3">
        <w:rPr>
          <w:i/>
          <w:noProof/>
        </w:rPr>
        <w:t>cience, 25</w:t>
      </w:r>
      <w:r w:rsidRPr="00CC73F3">
        <w:rPr>
          <w:noProof/>
        </w:rPr>
        <w:t xml:space="preserve">(6), 687-717. </w:t>
      </w:r>
      <w:bookmarkEnd w:id="208"/>
    </w:p>
    <w:p w:rsidR="00070FC5" w:rsidRPr="00CC73F3" w:rsidRDefault="00070FC5" w:rsidP="00412FD5">
      <w:pPr>
        <w:spacing w:line="480" w:lineRule="auto"/>
        <w:ind w:left="720" w:hanging="720"/>
        <w:rPr>
          <w:noProof/>
        </w:rPr>
      </w:pPr>
      <w:bookmarkStart w:id="209" w:name="_ENREF_51"/>
      <w:r w:rsidRPr="00CC73F3">
        <w:rPr>
          <w:noProof/>
        </w:rPr>
        <w:t xml:space="preserve">Haws, K. L., Dholakia, U. M., &amp; Bearden, W. O. (2010). An assessment of chronic regulatory focus measures. </w:t>
      </w:r>
      <w:r w:rsidRPr="00CC73F3">
        <w:rPr>
          <w:i/>
          <w:noProof/>
        </w:rPr>
        <w:t>Journal of Marketing Research, 47</w:t>
      </w:r>
      <w:r w:rsidRPr="00CC73F3">
        <w:rPr>
          <w:noProof/>
        </w:rPr>
        <w:t xml:space="preserve">(5), 967-982. </w:t>
      </w:r>
      <w:bookmarkEnd w:id="209"/>
    </w:p>
    <w:p w:rsidR="00070FC5" w:rsidRPr="00CC73F3" w:rsidRDefault="00070FC5" w:rsidP="00412FD5">
      <w:pPr>
        <w:spacing w:line="480" w:lineRule="auto"/>
        <w:ind w:left="720" w:hanging="720"/>
        <w:rPr>
          <w:noProof/>
        </w:rPr>
      </w:pPr>
      <w:bookmarkStart w:id="210" w:name="_ENREF_52"/>
      <w:r w:rsidRPr="00CC73F3">
        <w:rPr>
          <w:noProof/>
        </w:rPr>
        <w:t xml:space="preserve">Henard, D. H., &amp; Szymanski, D. M. (2001). Why some new products are more successful than others. </w:t>
      </w:r>
      <w:r w:rsidRPr="00CC73F3">
        <w:rPr>
          <w:i/>
          <w:noProof/>
        </w:rPr>
        <w:t>Journal of Marketing Research, 38</w:t>
      </w:r>
      <w:r w:rsidRPr="00CC73F3">
        <w:rPr>
          <w:noProof/>
        </w:rPr>
        <w:t xml:space="preserve">(3), 362-375. </w:t>
      </w:r>
      <w:bookmarkEnd w:id="210"/>
    </w:p>
    <w:p w:rsidR="00070FC5" w:rsidRPr="00CC73F3" w:rsidRDefault="00070FC5" w:rsidP="00412FD5">
      <w:pPr>
        <w:spacing w:line="480" w:lineRule="auto"/>
        <w:ind w:left="720" w:hanging="720"/>
        <w:rPr>
          <w:noProof/>
        </w:rPr>
      </w:pPr>
      <w:bookmarkStart w:id="211" w:name="_ENREF_53"/>
      <w:r w:rsidRPr="00CC73F3">
        <w:rPr>
          <w:noProof/>
        </w:rPr>
        <w:t xml:space="preserve">Hienerth, C., Lettl, C., &amp; Keinz, P. (2014). Synergies among Producer Firms, Lead Users, and User Communities: The Case of the LEGO Producer–User Ecosystem. </w:t>
      </w:r>
      <w:r w:rsidRPr="00CC73F3">
        <w:rPr>
          <w:i/>
          <w:noProof/>
        </w:rPr>
        <w:t>Journal of Product Innovation Management, 31</w:t>
      </w:r>
      <w:r w:rsidRPr="00CC73F3">
        <w:rPr>
          <w:noProof/>
        </w:rPr>
        <w:t xml:space="preserve">(4), 848-866. </w:t>
      </w:r>
      <w:bookmarkEnd w:id="211"/>
    </w:p>
    <w:p w:rsidR="00070FC5" w:rsidRPr="00CC73F3" w:rsidRDefault="00070FC5" w:rsidP="00412FD5">
      <w:pPr>
        <w:spacing w:line="480" w:lineRule="auto"/>
        <w:ind w:left="720" w:hanging="720"/>
        <w:rPr>
          <w:noProof/>
        </w:rPr>
      </w:pPr>
      <w:bookmarkStart w:id="212" w:name="_ENREF_54"/>
      <w:r w:rsidRPr="00CC73F3">
        <w:rPr>
          <w:noProof/>
        </w:rPr>
        <w:t xml:space="preserve">Higgins, E. T. (1998). Promotion and prevention: Regulatory focus as a motivational principle. </w:t>
      </w:r>
      <w:r w:rsidRPr="00CC73F3">
        <w:rPr>
          <w:i/>
          <w:noProof/>
        </w:rPr>
        <w:t xml:space="preserve">Advances in </w:t>
      </w:r>
      <w:r w:rsidR="00AF06BE">
        <w:rPr>
          <w:i/>
          <w:noProof/>
        </w:rPr>
        <w:t>E</w:t>
      </w:r>
      <w:r w:rsidRPr="00CC73F3">
        <w:rPr>
          <w:i/>
          <w:noProof/>
        </w:rPr>
        <w:t xml:space="preserve">xperimental </w:t>
      </w:r>
      <w:r w:rsidR="00AF06BE">
        <w:rPr>
          <w:i/>
          <w:noProof/>
        </w:rPr>
        <w:t>S</w:t>
      </w:r>
      <w:r w:rsidRPr="00CC73F3">
        <w:rPr>
          <w:i/>
          <w:noProof/>
        </w:rPr>
        <w:t xml:space="preserve">ocial </w:t>
      </w:r>
      <w:r w:rsidR="00AF06BE">
        <w:rPr>
          <w:i/>
          <w:noProof/>
        </w:rPr>
        <w:t>P</w:t>
      </w:r>
      <w:r w:rsidRPr="00CC73F3">
        <w:rPr>
          <w:i/>
          <w:noProof/>
        </w:rPr>
        <w:t>sychology, 30</w:t>
      </w:r>
      <w:r w:rsidRPr="00CC73F3">
        <w:rPr>
          <w:noProof/>
        </w:rPr>
        <w:t xml:space="preserve">, 1-46. </w:t>
      </w:r>
      <w:bookmarkEnd w:id="212"/>
    </w:p>
    <w:p w:rsidR="00070FC5" w:rsidRPr="00CC73F3" w:rsidRDefault="00070FC5" w:rsidP="00412FD5">
      <w:pPr>
        <w:spacing w:line="480" w:lineRule="auto"/>
        <w:ind w:left="720" w:hanging="720"/>
        <w:rPr>
          <w:noProof/>
        </w:rPr>
      </w:pPr>
      <w:bookmarkStart w:id="213" w:name="_ENREF_55"/>
      <w:r w:rsidRPr="00CC73F3">
        <w:rPr>
          <w:noProof/>
        </w:rPr>
        <w:t xml:space="preserve">Hinkin, T. R. (1995). A review of scale development practices in the study of organizations. </w:t>
      </w:r>
      <w:r w:rsidRPr="00CC73F3">
        <w:rPr>
          <w:i/>
          <w:noProof/>
        </w:rPr>
        <w:t>Journal of Management, 21</w:t>
      </w:r>
      <w:r w:rsidRPr="00CC73F3">
        <w:rPr>
          <w:noProof/>
        </w:rPr>
        <w:t xml:space="preserve">(5), 967-988. </w:t>
      </w:r>
      <w:bookmarkEnd w:id="213"/>
    </w:p>
    <w:p w:rsidR="00070FC5" w:rsidRPr="00CC73F3" w:rsidRDefault="00070FC5" w:rsidP="00412FD5">
      <w:pPr>
        <w:spacing w:line="480" w:lineRule="auto"/>
        <w:ind w:left="720" w:hanging="720"/>
        <w:rPr>
          <w:noProof/>
        </w:rPr>
      </w:pPr>
      <w:bookmarkStart w:id="214" w:name="_ENREF_56"/>
      <w:r w:rsidRPr="00CC73F3">
        <w:rPr>
          <w:noProof/>
        </w:rPr>
        <w:t xml:space="preserve">Hoegl, M., &amp; Parboteeah, K. P. (2006). Team reflexivity in innovative projects. </w:t>
      </w:r>
      <w:r w:rsidRPr="00CC73F3">
        <w:rPr>
          <w:i/>
          <w:noProof/>
        </w:rPr>
        <w:t>R&amp;D Management, 36</w:t>
      </w:r>
      <w:r w:rsidRPr="00CC73F3">
        <w:rPr>
          <w:noProof/>
        </w:rPr>
        <w:t xml:space="preserve">(2), 113-125. </w:t>
      </w:r>
      <w:bookmarkEnd w:id="214"/>
    </w:p>
    <w:p w:rsidR="00070FC5" w:rsidRPr="00CC73F3" w:rsidRDefault="00070FC5" w:rsidP="00412FD5">
      <w:pPr>
        <w:spacing w:line="480" w:lineRule="auto"/>
        <w:ind w:left="720" w:hanging="720"/>
        <w:rPr>
          <w:noProof/>
        </w:rPr>
      </w:pPr>
      <w:bookmarkStart w:id="215" w:name="_ENREF_57"/>
      <w:r w:rsidRPr="00CC73F3">
        <w:rPr>
          <w:noProof/>
        </w:rPr>
        <w:t xml:space="preserve">Hopkins, R. (2011). What is crowdsourcing. </w:t>
      </w:r>
      <w:r w:rsidRPr="00CC73F3">
        <w:rPr>
          <w:i/>
          <w:noProof/>
        </w:rPr>
        <w:t>A Guide to Open Innovation and Crowdsourcing: Advice from Leading Experts, Kogan Page, London, UK</w:t>
      </w:r>
      <w:r w:rsidRPr="00CC73F3">
        <w:rPr>
          <w:noProof/>
        </w:rPr>
        <w:t xml:space="preserve">. </w:t>
      </w:r>
      <w:bookmarkEnd w:id="215"/>
    </w:p>
    <w:p w:rsidR="00070FC5" w:rsidRPr="00CC73F3" w:rsidRDefault="00070FC5" w:rsidP="00412FD5">
      <w:pPr>
        <w:spacing w:line="480" w:lineRule="auto"/>
        <w:ind w:left="720" w:hanging="720"/>
        <w:rPr>
          <w:noProof/>
        </w:rPr>
      </w:pPr>
      <w:bookmarkStart w:id="216" w:name="_ENREF_58"/>
      <w:r w:rsidRPr="00CC73F3">
        <w:rPr>
          <w:noProof/>
        </w:rPr>
        <w:t xml:space="preserve">Hosmer Jr, D. W., Lemeshow, S., &amp; Sturdivant, R. X. (2013). </w:t>
      </w:r>
      <w:r w:rsidRPr="00CC73F3">
        <w:rPr>
          <w:i/>
          <w:noProof/>
        </w:rPr>
        <w:t xml:space="preserve">Applied </w:t>
      </w:r>
      <w:r w:rsidR="00AF06BE">
        <w:rPr>
          <w:i/>
          <w:noProof/>
        </w:rPr>
        <w:t>L</w:t>
      </w:r>
      <w:r w:rsidRPr="00CC73F3">
        <w:rPr>
          <w:i/>
          <w:noProof/>
        </w:rPr>
        <w:t xml:space="preserve">ogistic </w:t>
      </w:r>
      <w:r w:rsidR="00AF06BE">
        <w:rPr>
          <w:i/>
          <w:noProof/>
        </w:rPr>
        <w:t>R</w:t>
      </w:r>
      <w:r w:rsidRPr="00CC73F3">
        <w:rPr>
          <w:i/>
          <w:noProof/>
        </w:rPr>
        <w:t>egression</w:t>
      </w:r>
      <w:r w:rsidRPr="00CC73F3">
        <w:rPr>
          <w:noProof/>
        </w:rPr>
        <w:t xml:space="preserve"> (Vol. 398): John Wiley &amp; Sons.</w:t>
      </w:r>
      <w:bookmarkEnd w:id="216"/>
    </w:p>
    <w:p w:rsidR="00070FC5" w:rsidRPr="00CC73F3" w:rsidRDefault="00070FC5" w:rsidP="00412FD5">
      <w:pPr>
        <w:spacing w:line="480" w:lineRule="auto"/>
        <w:ind w:left="720" w:hanging="720"/>
        <w:rPr>
          <w:noProof/>
        </w:rPr>
      </w:pPr>
      <w:bookmarkStart w:id="217" w:name="_ENREF_59"/>
      <w:r w:rsidRPr="00CC73F3">
        <w:rPr>
          <w:noProof/>
        </w:rPr>
        <w:t xml:space="preserve">Hoyer, W. D., Chandy, R., Dorotic, M., Krafft, M., &amp; Singh, S. S. (2010). Consumer cocreation in new product development. </w:t>
      </w:r>
      <w:r w:rsidRPr="00CC73F3">
        <w:rPr>
          <w:i/>
          <w:noProof/>
        </w:rPr>
        <w:t xml:space="preserve">Journal of </w:t>
      </w:r>
      <w:r w:rsidR="00AF06BE">
        <w:rPr>
          <w:i/>
          <w:noProof/>
        </w:rPr>
        <w:t>S</w:t>
      </w:r>
      <w:r w:rsidRPr="00CC73F3">
        <w:rPr>
          <w:i/>
          <w:noProof/>
        </w:rPr>
        <w:t>ervice Research, 13</w:t>
      </w:r>
      <w:r w:rsidRPr="00CC73F3">
        <w:rPr>
          <w:noProof/>
        </w:rPr>
        <w:t xml:space="preserve">(3), 283-296. </w:t>
      </w:r>
      <w:bookmarkEnd w:id="217"/>
    </w:p>
    <w:p w:rsidR="00070FC5" w:rsidRPr="00CC73F3" w:rsidRDefault="00070FC5" w:rsidP="00412FD5">
      <w:pPr>
        <w:spacing w:line="480" w:lineRule="auto"/>
        <w:ind w:left="720" w:hanging="720"/>
        <w:rPr>
          <w:noProof/>
        </w:rPr>
      </w:pPr>
      <w:bookmarkStart w:id="218" w:name="_ENREF_60"/>
      <w:r w:rsidRPr="00CC73F3">
        <w:rPr>
          <w:noProof/>
        </w:rPr>
        <w:t xml:space="preserve">Huang, P., Lurie, N. H., &amp; Mitra, S. (2009). Searching for experience on the web: an empirical examination of consumer behavior for search and experience goods. </w:t>
      </w:r>
      <w:r w:rsidRPr="00CC73F3">
        <w:rPr>
          <w:i/>
          <w:noProof/>
        </w:rPr>
        <w:t>Journal of Marketing, 73</w:t>
      </w:r>
      <w:r w:rsidRPr="00CC73F3">
        <w:rPr>
          <w:noProof/>
        </w:rPr>
        <w:t xml:space="preserve">(2), 55-69. </w:t>
      </w:r>
      <w:bookmarkEnd w:id="218"/>
    </w:p>
    <w:p w:rsidR="00070FC5" w:rsidRPr="00CC73F3" w:rsidRDefault="00070FC5" w:rsidP="00412FD5">
      <w:pPr>
        <w:spacing w:line="480" w:lineRule="auto"/>
        <w:ind w:left="720" w:hanging="720"/>
        <w:rPr>
          <w:noProof/>
        </w:rPr>
      </w:pPr>
      <w:bookmarkStart w:id="219" w:name="_ENREF_61"/>
      <w:r w:rsidRPr="00CC73F3">
        <w:rPr>
          <w:noProof/>
        </w:rPr>
        <w:t xml:space="preserve">Im, S., &amp; Workman Jr, J. P. (2004). Market orientation, creativity, and new product performance in high-technology firms. </w:t>
      </w:r>
      <w:r w:rsidRPr="00CC73F3">
        <w:rPr>
          <w:i/>
          <w:noProof/>
        </w:rPr>
        <w:t>Journal of Marketing, 68</w:t>
      </w:r>
      <w:r w:rsidRPr="00CC73F3">
        <w:rPr>
          <w:noProof/>
        </w:rPr>
        <w:t xml:space="preserve">(2), 114-132. </w:t>
      </w:r>
      <w:bookmarkEnd w:id="219"/>
    </w:p>
    <w:p w:rsidR="00070FC5" w:rsidRPr="00CC73F3" w:rsidRDefault="00070FC5" w:rsidP="00412FD5">
      <w:pPr>
        <w:spacing w:line="480" w:lineRule="auto"/>
        <w:ind w:left="720" w:hanging="720"/>
        <w:rPr>
          <w:noProof/>
        </w:rPr>
      </w:pPr>
      <w:bookmarkStart w:id="220" w:name="_ENREF_62"/>
      <w:r w:rsidRPr="00CC73F3">
        <w:rPr>
          <w:noProof/>
        </w:rPr>
        <w:t xml:space="preserve">Institute, M. S. (2014). RP4: Developing and Organizing for Marketing Excellence. </w:t>
      </w:r>
      <w:r w:rsidRPr="00CC73F3">
        <w:rPr>
          <w:i/>
          <w:noProof/>
        </w:rPr>
        <w:t>2014-2016 Research Priorities</w:t>
      </w:r>
      <w:r w:rsidRPr="00CC73F3">
        <w:rPr>
          <w:noProof/>
        </w:rPr>
        <w:t xml:space="preserve">  Retrieved May 23, 2015, from </w:t>
      </w:r>
      <w:hyperlink r:id="rId24" w:history="1">
        <w:r w:rsidR="00AF06BE" w:rsidRPr="00E70A32">
          <w:rPr>
            <w:rStyle w:val="Hyperlink"/>
            <w:noProof/>
          </w:rPr>
          <w:t>http://www.msi.org/research/2014-2016-research-priorities/tier-2-developing-and-organizing-for-marketing-excellence/</w:t>
        </w:r>
      </w:hyperlink>
      <w:bookmarkEnd w:id="220"/>
      <w:r w:rsidR="00AF06BE">
        <w:rPr>
          <w:noProof/>
        </w:rPr>
        <w:t xml:space="preserve"> </w:t>
      </w:r>
    </w:p>
    <w:p w:rsidR="00070FC5" w:rsidRPr="00CC73F3" w:rsidRDefault="00070FC5" w:rsidP="00412FD5">
      <w:pPr>
        <w:spacing w:line="480" w:lineRule="auto"/>
        <w:ind w:left="720" w:hanging="720"/>
        <w:rPr>
          <w:noProof/>
        </w:rPr>
      </w:pPr>
      <w:bookmarkStart w:id="221" w:name="_ENREF_63"/>
      <w:r w:rsidRPr="00CC73F3">
        <w:rPr>
          <w:noProof/>
        </w:rPr>
        <w:t xml:space="preserve">Isen, A. M., Daubman, K. A., &amp; Nowicki, G. P. (1987). Positive affect facilitates creative problem solving. </w:t>
      </w:r>
      <w:r w:rsidRPr="00CC73F3">
        <w:rPr>
          <w:i/>
          <w:noProof/>
        </w:rPr>
        <w:t xml:space="preserve">Journal of </w:t>
      </w:r>
      <w:r w:rsidR="00AF06BE">
        <w:rPr>
          <w:i/>
          <w:noProof/>
        </w:rPr>
        <w:t>P</w:t>
      </w:r>
      <w:r w:rsidRPr="00CC73F3">
        <w:rPr>
          <w:i/>
          <w:noProof/>
        </w:rPr>
        <w:t xml:space="preserve">ersonality and </w:t>
      </w:r>
      <w:r w:rsidR="00AF06BE">
        <w:rPr>
          <w:i/>
          <w:noProof/>
        </w:rPr>
        <w:t>S</w:t>
      </w:r>
      <w:r w:rsidRPr="00CC73F3">
        <w:rPr>
          <w:i/>
          <w:noProof/>
        </w:rPr>
        <w:t xml:space="preserve">ocial </w:t>
      </w:r>
      <w:r w:rsidR="00AF06BE">
        <w:rPr>
          <w:i/>
          <w:noProof/>
        </w:rPr>
        <w:t>P</w:t>
      </w:r>
      <w:r w:rsidRPr="00CC73F3">
        <w:rPr>
          <w:i/>
          <w:noProof/>
        </w:rPr>
        <w:t>sychology, 52</w:t>
      </w:r>
      <w:r w:rsidRPr="00CC73F3">
        <w:rPr>
          <w:noProof/>
        </w:rPr>
        <w:t xml:space="preserve">(6), 1122. </w:t>
      </w:r>
      <w:bookmarkEnd w:id="221"/>
    </w:p>
    <w:p w:rsidR="00070FC5" w:rsidRPr="00CC73F3" w:rsidRDefault="00070FC5" w:rsidP="00412FD5">
      <w:pPr>
        <w:spacing w:line="480" w:lineRule="auto"/>
        <w:ind w:left="720" w:hanging="720"/>
        <w:rPr>
          <w:noProof/>
        </w:rPr>
      </w:pPr>
      <w:bookmarkStart w:id="222" w:name="_ENREF_64"/>
      <w:r w:rsidRPr="00CC73F3">
        <w:rPr>
          <w:noProof/>
        </w:rPr>
        <w:t xml:space="preserve">James, L. R., Demaree, R. G., &amp; Wolf, G. (1993). r wg: An assessment of within-group interrater agreement. </w:t>
      </w:r>
      <w:r w:rsidRPr="00CC73F3">
        <w:rPr>
          <w:i/>
          <w:noProof/>
        </w:rPr>
        <w:t>Journal of Applied Psychology, 78</w:t>
      </w:r>
      <w:r w:rsidRPr="00CC73F3">
        <w:rPr>
          <w:noProof/>
        </w:rPr>
        <w:t xml:space="preserve">(2), 306. </w:t>
      </w:r>
      <w:bookmarkEnd w:id="222"/>
    </w:p>
    <w:p w:rsidR="00070FC5" w:rsidRPr="00CC73F3" w:rsidRDefault="00070FC5" w:rsidP="00412FD5">
      <w:pPr>
        <w:spacing w:line="480" w:lineRule="auto"/>
        <w:ind w:left="720" w:hanging="720"/>
        <w:rPr>
          <w:noProof/>
        </w:rPr>
      </w:pPr>
      <w:bookmarkStart w:id="223" w:name="_ENREF_65"/>
      <w:r w:rsidRPr="00CC73F3">
        <w:rPr>
          <w:noProof/>
        </w:rPr>
        <w:t xml:space="preserve">Jeppesen, L. B., &amp; Lakhani, K. R. (2010). Marginality and problem-solving effectiveness in broadcast search. </w:t>
      </w:r>
      <w:r w:rsidRPr="00CC73F3">
        <w:rPr>
          <w:i/>
          <w:noProof/>
        </w:rPr>
        <w:t xml:space="preserve">Organization </w:t>
      </w:r>
      <w:r w:rsidR="00AF06BE">
        <w:rPr>
          <w:i/>
          <w:noProof/>
        </w:rPr>
        <w:t>S</w:t>
      </w:r>
      <w:r w:rsidRPr="00CC73F3">
        <w:rPr>
          <w:i/>
          <w:noProof/>
        </w:rPr>
        <w:t>cience, 21</w:t>
      </w:r>
      <w:r w:rsidRPr="00CC73F3">
        <w:rPr>
          <w:noProof/>
        </w:rPr>
        <w:t xml:space="preserve">(5), 1016-1033. </w:t>
      </w:r>
      <w:bookmarkEnd w:id="223"/>
    </w:p>
    <w:p w:rsidR="00070FC5" w:rsidRPr="00CC73F3" w:rsidRDefault="00070FC5" w:rsidP="00412FD5">
      <w:pPr>
        <w:spacing w:line="480" w:lineRule="auto"/>
        <w:ind w:left="720" w:hanging="720"/>
        <w:rPr>
          <w:noProof/>
        </w:rPr>
      </w:pPr>
      <w:bookmarkStart w:id="224" w:name="_ENREF_66"/>
      <w:r w:rsidRPr="00CC73F3">
        <w:rPr>
          <w:noProof/>
        </w:rPr>
        <w:t xml:space="preserve">Kark, R., &amp; Van Dijk, D. (2007). Motivation to lead, motivation to follow: The role of the self-regulatory focus in leadership processes. </w:t>
      </w:r>
      <w:r w:rsidRPr="00CC73F3">
        <w:rPr>
          <w:i/>
          <w:noProof/>
        </w:rPr>
        <w:t>Academy of Management Review, 32</w:t>
      </w:r>
      <w:r w:rsidRPr="00CC73F3">
        <w:rPr>
          <w:noProof/>
        </w:rPr>
        <w:t xml:space="preserve">(2), 500-528. </w:t>
      </w:r>
      <w:bookmarkEnd w:id="224"/>
    </w:p>
    <w:p w:rsidR="00070FC5" w:rsidRPr="00CC73F3" w:rsidRDefault="00070FC5" w:rsidP="00412FD5">
      <w:pPr>
        <w:spacing w:line="480" w:lineRule="auto"/>
        <w:ind w:left="720" w:hanging="720"/>
        <w:rPr>
          <w:noProof/>
        </w:rPr>
      </w:pPr>
      <w:bookmarkStart w:id="225" w:name="_ENREF_67"/>
      <w:r w:rsidRPr="00CC73F3">
        <w:rPr>
          <w:noProof/>
        </w:rPr>
        <w:t xml:space="preserve">Kornish, L. J., &amp; Ulrich, K. T. (2014). The importance of the raw idea in innovation: Testing the sow's ear hypothesis. </w:t>
      </w:r>
      <w:r w:rsidRPr="00CC73F3">
        <w:rPr>
          <w:i/>
          <w:noProof/>
        </w:rPr>
        <w:t>Journal of Marketing Research, 51</w:t>
      </w:r>
      <w:r w:rsidRPr="00CC73F3">
        <w:rPr>
          <w:noProof/>
        </w:rPr>
        <w:t xml:space="preserve">(1), 14-26. </w:t>
      </w:r>
      <w:bookmarkEnd w:id="225"/>
    </w:p>
    <w:p w:rsidR="00070FC5" w:rsidRPr="00CC73F3" w:rsidRDefault="00070FC5" w:rsidP="00412FD5">
      <w:pPr>
        <w:spacing w:line="480" w:lineRule="auto"/>
        <w:ind w:left="720" w:hanging="720"/>
        <w:rPr>
          <w:noProof/>
        </w:rPr>
      </w:pPr>
      <w:bookmarkStart w:id="226" w:name="_ENREF_68"/>
      <w:r w:rsidRPr="00CC73F3">
        <w:rPr>
          <w:noProof/>
        </w:rPr>
        <w:t xml:space="preserve">Krippendorff, K. (2012). </w:t>
      </w:r>
      <w:r w:rsidRPr="00CC73F3">
        <w:rPr>
          <w:i/>
          <w:noProof/>
        </w:rPr>
        <w:t>Content analysis: An introduction to its methodology</w:t>
      </w:r>
      <w:r w:rsidRPr="00CC73F3">
        <w:rPr>
          <w:noProof/>
        </w:rPr>
        <w:t>: Sage.</w:t>
      </w:r>
      <w:bookmarkEnd w:id="226"/>
    </w:p>
    <w:p w:rsidR="00070FC5" w:rsidRPr="00CC73F3" w:rsidRDefault="00070FC5" w:rsidP="00412FD5">
      <w:pPr>
        <w:spacing w:line="480" w:lineRule="auto"/>
        <w:ind w:left="720" w:hanging="720"/>
        <w:rPr>
          <w:noProof/>
        </w:rPr>
      </w:pPr>
      <w:bookmarkStart w:id="227" w:name="_ENREF_69"/>
      <w:r w:rsidRPr="00CC73F3">
        <w:rPr>
          <w:noProof/>
        </w:rPr>
        <w:t xml:space="preserve">Kristensson, P., Matthing, J., &amp; Johansson, N. (2008). Key strategies for the successful involvement of customers in the co-creation of new technology-based services. </w:t>
      </w:r>
      <w:r w:rsidRPr="00CC73F3">
        <w:rPr>
          <w:i/>
          <w:noProof/>
        </w:rPr>
        <w:t>International Journal of Service Industry Management, 19</w:t>
      </w:r>
      <w:r w:rsidRPr="00CC73F3">
        <w:rPr>
          <w:noProof/>
        </w:rPr>
        <w:t xml:space="preserve">(4), 474-491. </w:t>
      </w:r>
      <w:bookmarkEnd w:id="227"/>
    </w:p>
    <w:p w:rsidR="00070FC5" w:rsidRPr="00CC73F3" w:rsidRDefault="00070FC5" w:rsidP="00412FD5">
      <w:pPr>
        <w:spacing w:line="480" w:lineRule="auto"/>
        <w:ind w:left="720" w:hanging="720"/>
        <w:rPr>
          <w:noProof/>
        </w:rPr>
      </w:pPr>
      <w:bookmarkStart w:id="228" w:name="_ENREF_70"/>
      <w:r w:rsidRPr="00CC73F3">
        <w:rPr>
          <w:noProof/>
        </w:rPr>
        <w:t xml:space="preserve">Larey, T. S., &amp; Paulus, P. B. (1999). Group preference and convergent tendencies in small groups: A content analysis of group brainstorming performance. </w:t>
      </w:r>
      <w:r w:rsidRPr="00CC73F3">
        <w:rPr>
          <w:i/>
          <w:noProof/>
        </w:rPr>
        <w:t>Creativity Research Journal, 12</w:t>
      </w:r>
      <w:r w:rsidRPr="00CC73F3">
        <w:rPr>
          <w:noProof/>
        </w:rPr>
        <w:t xml:space="preserve">(3), 175-184. </w:t>
      </w:r>
      <w:bookmarkEnd w:id="228"/>
    </w:p>
    <w:p w:rsidR="00070FC5" w:rsidRPr="00CC73F3" w:rsidRDefault="00070FC5" w:rsidP="00412FD5">
      <w:pPr>
        <w:spacing w:line="480" w:lineRule="auto"/>
        <w:ind w:left="720" w:hanging="720"/>
        <w:rPr>
          <w:noProof/>
        </w:rPr>
      </w:pPr>
      <w:bookmarkStart w:id="229" w:name="_ENREF_71"/>
      <w:r w:rsidRPr="00CC73F3">
        <w:rPr>
          <w:noProof/>
        </w:rPr>
        <w:t xml:space="preserve">Laureiro-Martínez, D., Brusoni, S., &amp; Zollo, M. (2009). Cognitive flexibility in decision-making: A neurological model of learning and change. </w:t>
      </w:r>
      <w:r w:rsidRPr="00CC73F3">
        <w:rPr>
          <w:i/>
          <w:noProof/>
        </w:rPr>
        <w:t>CROMA-Center for Research in Organization and Management-Bocconi University, 1</w:t>
      </w:r>
      <w:r w:rsidRPr="00CC73F3">
        <w:rPr>
          <w:noProof/>
        </w:rPr>
        <w:t xml:space="preserve">, 1-43. </w:t>
      </w:r>
      <w:bookmarkEnd w:id="229"/>
    </w:p>
    <w:p w:rsidR="00070FC5" w:rsidRPr="00CC73F3" w:rsidRDefault="00070FC5" w:rsidP="00412FD5">
      <w:pPr>
        <w:spacing w:line="480" w:lineRule="auto"/>
        <w:ind w:left="720" w:hanging="720"/>
        <w:rPr>
          <w:noProof/>
        </w:rPr>
      </w:pPr>
      <w:bookmarkStart w:id="230" w:name="_ENREF_72"/>
      <w:r w:rsidRPr="00CC73F3">
        <w:rPr>
          <w:noProof/>
        </w:rPr>
        <w:t xml:space="preserve">LeBreton, J. M., &amp; Senter, J. L. (2007). Answers to 20 questions about interrater reliability and interrater agreement. </w:t>
      </w:r>
      <w:r w:rsidRPr="00CC73F3">
        <w:rPr>
          <w:i/>
          <w:noProof/>
        </w:rPr>
        <w:t>Organizational Research Methods</w:t>
      </w:r>
      <w:r w:rsidRPr="00CC73F3">
        <w:rPr>
          <w:noProof/>
        </w:rPr>
        <w:t xml:space="preserve">. </w:t>
      </w:r>
      <w:bookmarkEnd w:id="230"/>
    </w:p>
    <w:p w:rsidR="00070FC5" w:rsidRPr="00CC73F3" w:rsidRDefault="00070FC5" w:rsidP="00412FD5">
      <w:pPr>
        <w:spacing w:line="480" w:lineRule="auto"/>
        <w:ind w:left="720" w:hanging="720"/>
        <w:rPr>
          <w:noProof/>
        </w:rPr>
      </w:pPr>
      <w:bookmarkStart w:id="231" w:name="_ENREF_73"/>
      <w:r w:rsidRPr="00CC73F3">
        <w:rPr>
          <w:noProof/>
        </w:rPr>
        <w:t>Leonard</w:t>
      </w:r>
      <w:r w:rsidRPr="00CC73F3">
        <w:rPr>
          <w:rFonts w:ascii="Cambria Math" w:hAnsi="Cambria Math" w:cs="Cambria Math"/>
          <w:noProof/>
        </w:rPr>
        <w:t>‐</w:t>
      </w:r>
      <w:r w:rsidRPr="00CC73F3">
        <w:rPr>
          <w:noProof/>
        </w:rPr>
        <w:t xml:space="preserve">Barton, D. (1992). Core capabilities and core rigidities: a paradox in managing new product development. </w:t>
      </w:r>
      <w:r w:rsidRPr="00CC73F3">
        <w:rPr>
          <w:i/>
          <w:noProof/>
        </w:rPr>
        <w:t xml:space="preserve">Strategic </w:t>
      </w:r>
      <w:r w:rsidR="00AF06BE">
        <w:rPr>
          <w:i/>
          <w:noProof/>
        </w:rPr>
        <w:t>M</w:t>
      </w:r>
      <w:r w:rsidRPr="00CC73F3">
        <w:rPr>
          <w:i/>
          <w:noProof/>
        </w:rPr>
        <w:t xml:space="preserve">anagement </w:t>
      </w:r>
      <w:r w:rsidR="00AF06BE">
        <w:rPr>
          <w:i/>
          <w:noProof/>
        </w:rPr>
        <w:t>J</w:t>
      </w:r>
      <w:r w:rsidRPr="00CC73F3">
        <w:rPr>
          <w:i/>
          <w:noProof/>
        </w:rPr>
        <w:t>ournal, 13</w:t>
      </w:r>
      <w:r w:rsidRPr="00CC73F3">
        <w:rPr>
          <w:noProof/>
        </w:rPr>
        <w:t xml:space="preserve">(S1), 111-125. </w:t>
      </w:r>
      <w:bookmarkEnd w:id="231"/>
    </w:p>
    <w:p w:rsidR="00070FC5" w:rsidRPr="00CC73F3" w:rsidRDefault="00070FC5" w:rsidP="00412FD5">
      <w:pPr>
        <w:spacing w:line="480" w:lineRule="auto"/>
        <w:ind w:left="720" w:hanging="720"/>
        <w:rPr>
          <w:noProof/>
        </w:rPr>
      </w:pPr>
      <w:bookmarkStart w:id="232" w:name="_ENREF_74"/>
      <w:r w:rsidRPr="00CC73F3">
        <w:rPr>
          <w:noProof/>
        </w:rPr>
        <w:t xml:space="preserve">Levine, J. M., Higgins, E. T., &amp; Choi, H.-S. (2000). Development of strategic norms in groups. </w:t>
      </w:r>
      <w:r w:rsidRPr="00CC73F3">
        <w:rPr>
          <w:i/>
          <w:noProof/>
        </w:rPr>
        <w:t>Organizational Behavior and Human Decision Processes, 82</w:t>
      </w:r>
      <w:r w:rsidRPr="00CC73F3">
        <w:rPr>
          <w:noProof/>
        </w:rPr>
        <w:t xml:space="preserve">(1), 88-101. </w:t>
      </w:r>
      <w:bookmarkEnd w:id="232"/>
    </w:p>
    <w:p w:rsidR="00070FC5" w:rsidRPr="00CC73F3" w:rsidRDefault="00070FC5" w:rsidP="00412FD5">
      <w:pPr>
        <w:spacing w:line="480" w:lineRule="auto"/>
        <w:ind w:left="720" w:hanging="720"/>
        <w:rPr>
          <w:noProof/>
        </w:rPr>
      </w:pPr>
      <w:bookmarkStart w:id="233" w:name="_ENREF_75"/>
      <w:r w:rsidRPr="00CC73F3">
        <w:rPr>
          <w:noProof/>
        </w:rPr>
        <w:t xml:space="preserve">Lilien, G. L., Morrison, P. D., Searls, K., Sonnack, M., &amp; Hippel, E. v. (2002). Performance assessment of the lead user idea-generation process for new product development. </w:t>
      </w:r>
      <w:r w:rsidRPr="00CC73F3">
        <w:rPr>
          <w:i/>
          <w:noProof/>
        </w:rPr>
        <w:t>Management Science, 48</w:t>
      </w:r>
      <w:r w:rsidRPr="00CC73F3">
        <w:rPr>
          <w:noProof/>
        </w:rPr>
        <w:t xml:space="preserve">(8), 1042-1059. </w:t>
      </w:r>
      <w:bookmarkEnd w:id="233"/>
    </w:p>
    <w:p w:rsidR="00070FC5" w:rsidRPr="00CC73F3" w:rsidRDefault="00070FC5" w:rsidP="00412FD5">
      <w:pPr>
        <w:spacing w:line="480" w:lineRule="auto"/>
        <w:ind w:left="720" w:hanging="720"/>
        <w:rPr>
          <w:noProof/>
        </w:rPr>
      </w:pPr>
      <w:bookmarkStart w:id="234" w:name="_ENREF_76"/>
      <w:r w:rsidRPr="00CC73F3">
        <w:rPr>
          <w:noProof/>
        </w:rPr>
        <w:t xml:space="preserve">Louis, M. R., &amp; Sutton, R. I. (1991). Switching cognitive gears: From habits of mind to active thinking. </w:t>
      </w:r>
      <w:r w:rsidRPr="00CC73F3">
        <w:rPr>
          <w:i/>
          <w:noProof/>
        </w:rPr>
        <w:t xml:space="preserve">Human </w:t>
      </w:r>
      <w:r w:rsidR="001007A8">
        <w:rPr>
          <w:i/>
          <w:noProof/>
        </w:rPr>
        <w:t>R</w:t>
      </w:r>
      <w:r w:rsidRPr="00CC73F3">
        <w:rPr>
          <w:i/>
          <w:noProof/>
        </w:rPr>
        <w:t>elations, 44</w:t>
      </w:r>
      <w:r w:rsidRPr="00CC73F3">
        <w:rPr>
          <w:noProof/>
        </w:rPr>
        <w:t xml:space="preserve">(1), 55-76. </w:t>
      </w:r>
      <w:bookmarkEnd w:id="234"/>
    </w:p>
    <w:p w:rsidR="00070FC5" w:rsidRPr="00CC73F3" w:rsidRDefault="00070FC5" w:rsidP="00412FD5">
      <w:pPr>
        <w:spacing w:line="480" w:lineRule="auto"/>
        <w:ind w:left="720" w:hanging="720"/>
        <w:rPr>
          <w:noProof/>
        </w:rPr>
      </w:pPr>
      <w:bookmarkStart w:id="235" w:name="_ENREF_77"/>
      <w:r w:rsidRPr="00CC73F3">
        <w:rPr>
          <w:noProof/>
        </w:rPr>
        <w:t xml:space="preserve">Lusch, R. F., &amp; Vargo, S. L. (2006). Service-dominant logic: reactions, reflections and refinements. </w:t>
      </w:r>
      <w:r w:rsidRPr="00CC73F3">
        <w:rPr>
          <w:i/>
          <w:noProof/>
        </w:rPr>
        <w:t xml:space="preserve">Marketing </w:t>
      </w:r>
      <w:r w:rsidR="001007A8">
        <w:rPr>
          <w:i/>
          <w:noProof/>
        </w:rPr>
        <w:t>T</w:t>
      </w:r>
      <w:r w:rsidRPr="00CC73F3">
        <w:rPr>
          <w:i/>
          <w:noProof/>
        </w:rPr>
        <w:t>heory, 6</w:t>
      </w:r>
      <w:r w:rsidRPr="00CC73F3">
        <w:rPr>
          <w:noProof/>
        </w:rPr>
        <w:t xml:space="preserve">(3), 281-288. </w:t>
      </w:r>
      <w:bookmarkEnd w:id="235"/>
    </w:p>
    <w:p w:rsidR="00070FC5" w:rsidRPr="00CC73F3" w:rsidRDefault="00070FC5" w:rsidP="00412FD5">
      <w:pPr>
        <w:spacing w:line="480" w:lineRule="auto"/>
        <w:ind w:left="720" w:hanging="720"/>
        <w:rPr>
          <w:noProof/>
        </w:rPr>
      </w:pPr>
      <w:bookmarkStart w:id="236" w:name="_ENREF_78"/>
      <w:r w:rsidRPr="00CC73F3">
        <w:rPr>
          <w:noProof/>
        </w:rPr>
        <w:t xml:space="preserve">Maccurtain, S., Flood, P. C., Ramamoorty, N., West, M., &amp; Dawson, J. (2009). </w:t>
      </w:r>
      <w:r w:rsidRPr="00CC73F3">
        <w:rPr>
          <w:i/>
          <w:noProof/>
        </w:rPr>
        <w:t>The top management team, trust, reflexivity, knoweldge sharing, and innovation.</w:t>
      </w:r>
      <w:r w:rsidRPr="00CC73F3">
        <w:rPr>
          <w:noProof/>
        </w:rPr>
        <w:t xml:space="preserve"> Paper presented at the Academy of Management Proceedings.</w:t>
      </w:r>
      <w:bookmarkEnd w:id="236"/>
    </w:p>
    <w:p w:rsidR="00070FC5" w:rsidRPr="00CC73F3" w:rsidRDefault="00070FC5" w:rsidP="00412FD5">
      <w:pPr>
        <w:spacing w:line="480" w:lineRule="auto"/>
        <w:ind w:left="720" w:hanging="720"/>
        <w:rPr>
          <w:noProof/>
        </w:rPr>
      </w:pPr>
      <w:bookmarkStart w:id="237" w:name="_ENREF_79"/>
      <w:r w:rsidRPr="00CC73F3">
        <w:rPr>
          <w:noProof/>
        </w:rPr>
        <w:t xml:space="preserve">Madhavan, R., &amp; Grover, R. (1998). From embedded knowledge to embodied knowledge: new product development as knowledge management. </w:t>
      </w:r>
      <w:r w:rsidRPr="00CC73F3">
        <w:rPr>
          <w:i/>
          <w:noProof/>
        </w:rPr>
        <w:t xml:space="preserve">The Journal of </w:t>
      </w:r>
      <w:r w:rsidR="001007A8">
        <w:rPr>
          <w:i/>
          <w:noProof/>
        </w:rPr>
        <w:t>M</w:t>
      </w:r>
      <w:r w:rsidRPr="00CC73F3">
        <w:rPr>
          <w:i/>
          <w:noProof/>
        </w:rPr>
        <w:t>arketing</w:t>
      </w:r>
      <w:r w:rsidRPr="00CC73F3">
        <w:rPr>
          <w:noProof/>
        </w:rPr>
        <w:t xml:space="preserve">, 1-12. </w:t>
      </w:r>
      <w:bookmarkEnd w:id="237"/>
    </w:p>
    <w:p w:rsidR="00070FC5" w:rsidRPr="00CC73F3" w:rsidRDefault="00070FC5" w:rsidP="00412FD5">
      <w:pPr>
        <w:spacing w:line="480" w:lineRule="auto"/>
        <w:ind w:left="720" w:hanging="720"/>
        <w:rPr>
          <w:noProof/>
        </w:rPr>
      </w:pPr>
      <w:bookmarkStart w:id="238" w:name="_ENREF_80"/>
      <w:r w:rsidRPr="00CC73F3">
        <w:rPr>
          <w:noProof/>
        </w:rPr>
        <w:t xml:space="preserve">Magnussen, P., Matthing, J., &amp; Kristensson, P. (2003). Managing user involvement in service innovation. </w:t>
      </w:r>
      <w:r w:rsidRPr="00CC73F3">
        <w:rPr>
          <w:i/>
          <w:noProof/>
        </w:rPr>
        <w:t>Journal of Service Research, 6</w:t>
      </w:r>
      <w:r w:rsidRPr="00CC73F3">
        <w:rPr>
          <w:noProof/>
        </w:rPr>
        <w:t xml:space="preserve">(2), 111-124. </w:t>
      </w:r>
      <w:bookmarkEnd w:id="238"/>
    </w:p>
    <w:p w:rsidR="00CC73F3" w:rsidRPr="00CC73F3" w:rsidRDefault="00CC73F3" w:rsidP="00412FD5">
      <w:pPr>
        <w:spacing w:line="480" w:lineRule="auto"/>
        <w:ind w:left="720" w:hanging="720"/>
        <w:rPr>
          <w:noProof/>
        </w:rPr>
      </w:pPr>
      <w:bookmarkStart w:id="239" w:name="_ENREF_81"/>
      <w:r w:rsidRPr="00CC73F3">
        <w:rPr>
          <w:noProof/>
        </w:rPr>
        <w:t xml:space="preserve">Mahr, D., Lievens, A., &amp; Blazevic, V. (2014). The value of customer cocreated knowledge during the innovation process. </w:t>
      </w:r>
      <w:r w:rsidRPr="001007A8">
        <w:rPr>
          <w:i/>
          <w:noProof/>
        </w:rPr>
        <w:t>Journal of Product Innovation Management</w:t>
      </w:r>
      <w:r w:rsidRPr="00CC73F3">
        <w:rPr>
          <w:noProof/>
        </w:rPr>
        <w:t>, 31(3), 599-615.</w:t>
      </w:r>
    </w:p>
    <w:p w:rsidR="00070FC5" w:rsidRPr="00CC73F3" w:rsidRDefault="00070FC5" w:rsidP="00412FD5">
      <w:pPr>
        <w:spacing w:line="480" w:lineRule="auto"/>
        <w:ind w:left="720" w:hanging="720"/>
        <w:rPr>
          <w:noProof/>
        </w:rPr>
      </w:pPr>
      <w:r w:rsidRPr="00CC73F3">
        <w:rPr>
          <w:noProof/>
        </w:rPr>
        <w:t xml:space="preserve">Malhotra, D., &amp; Lumineau, F. (2011). Trust and collaboration in the aftermath of conflict: The effects of contract structure. </w:t>
      </w:r>
      <w:r w:rsidRPr="00CC73F3">
        <w:rPr>
          <w:i/>
          <w:noProof/>
        </w:rPr>
        <w:t xml:space="preserve">Academy of </w:t>
      </w:r>
      <w:r w:rsidR="001007A8">
        <w:rPr>
          <w:i/>
          <w:noProof/>
        </w:rPr>
        <w:t>M</w:t>
      </w:r>
      <w:r w:rsidRPr="00CC73F3">
        <w:rPr>
          <w:i/>
          <w:noProof/>
        </w:rPr>
        <w:t xml:space="preserve">anagement </w:t>
      </w:r>
      <w:r w:rsidR="001007A8">
        <w:rPr>
          <w:i/>
          <w:noProof/>
        </w:rPr>
        <w:t>J</w:t>
      </w:r>
      <w:r w:rsidRPr="00CC73F3">
        <w:rPr>
          <w:i/>
          <w:noProof/>
        </w:rPr>
        <w:t>ournal, 54</w:t>
      </w:r>
      <w:r w:rsidRPr="00CC73F3">
        <w:rPr>
          <w:noProof/>
        </w:rPr>
        <w:t xml:space="preserve">(5), 981-998. </w:t>
      </w:r>
      <w:bookmarkEnd w:id="239"/>
    </w:p>
    <w:p w:rsidR="00070FC5" w:rsidRPr="00CC73F3" w:rsidRDefault="00070FC5" w:rsidP="00412FD5">
      <w:pPr>
        <w:spacing w:line="480" w:lineRule="auto"/>
        <w:ind w:left="720" w:hanging="720"/>
        <w:rPr>
          <w:noProof/>
        </w:rPr>
      </w:pPr>
      <w:bookmarkStart w:id="240" w:name="_ENREF_82"/>
      <w:r w:rsidRPr="00CC73F3">
        <w:rPr>
          <w:noProof/>
        </w:rPr>
        <w:t xml:space="preserve">March, J. G. (1991). Exploration and exploitation in organizational learning. </w:t>
      </w:r>
      <w:r w:rsidRPr="00CC73F3">
        <w:rPr>
          <w:i/>
          <w:noProof/>
        </w:rPr>
        <w:t xml:space="preserve">Organization </w:t>
      </w:r>
      <w:r w:rsidR="001007A8">
        <w:rPr>
          <w:i/>
          <w:noProof/>
        </w:rPr>
        <w:t>S</w:t>
      </w:r>
      <w:r w:rsidRPr="00CC73F3">
        <w:rPr>
          <w:i/>
          <w:noProof/>
        </w:rPr>
        <w:t>cience, 2</w:t>
      </w:r>
      <w:r w:rsidRPr="00CC73F3">
        <w:rPr>
          <w:noProof/>
        </w:rPr>
        <w:t xml:space="preserve">(1), 71-87. </w:t>
      </w:r>
      <w:bookmarkEnd w:id="240"/>
    </w:p>
    <w:p w:rsidR="00070FC5" w:rsidRPr="00CC73F3" w:rsidRDefault="00070FC5" w:rsidP="00412FD5">
      <w:pPr>
        <w:spacing w:line="480" w:lineRule="auto"/>
        <w:ind w:left="720" w:hanging="720"/>
        <w:rPr>
          <w:noProof/>
        </w:rPr>
      </w:pPr>
      <w:bookmarkStart w:id="241" w:name="_ENREF_83"/>
      <w:r w:rsidRPr="00CC73F3">
        <w:rPr>
          <w:noProof/>
        </w:rPr>
        <w:t xml:space="preserve">McGrath, J. E. (1981). Dilemmatics: The Study of Research Choices and Dilemmas. </w:t>
      </w:r>
      <w:r w:rsidRPr="00CC73F3">
        <w:rPr>
          <w:i/>
          <w:noProof/>
        </w:rPr>
        <w:t>American Behavioral Scientist, 25</w:t>
      </w:r>
      <w:r w:rsidRPr="00CC73F3">
        <w:rPr>
          <w:noProof/>
        </w:rPr>
        <w:t xml:space="preserve">(2), 179-210. </w:t>
      </w:r>
      <w:bookmarkEnd w:id="241"/>
    </w:p>
    <w:p w:rsidR="00070FC5" w:rsidRPr="00CC73F3" w:rsidRDefault="00070FC5" w:rsidP="00412FD5">
      <w:pPr>
        <w:spacing w:line="480" w:lineRule="auto"/>
        <w:ind w:left="720" w:hanging="720"/>
        <w:rPr>
          <w:noProof/>
        </w:rPr>
      </w:pPr>
      <w:bookmarkStart w:id="242" w:name="_ENREF_84"/>
      <w:r w:rsidRPr="00CC73F3">
        <w:rPr>
          <w:noProof/>
        </w:rPr>
        <w:t xml:space="preserve">McNally, R. C., Durmusoglu, S. S., Calantone, R. J., &amp; Harmancioglu, N. (2009). Exploring new product portfolio management decisions: The role of managers' dispositional traits. </w:t>
      </w:r>
      <w:r w:rsidRPr="00CC73F3">
        <w:rPr>
          <w:i/>
          <w:noProof/>
        </w:rPr>
        <w:t>Industrial Marketing Management, 38</w:t>
      </w:r>
      <w:r w:rsidRPr="00CC73F3">
        <w:rPr>
          <w:noProof/>
        </w:rPr>
        <w:t xml:space="preserve">(1), 127-143. </w:t>
      </w:r>
      <w:bookmarkEnd w:id="242"/>
    </w:p>
    <w:p w:rsidR="00070FC5" w:rsidRPr="00CC73F3" w:rsidRDefault="00070FC5" w:rsidP="00412FD5">
      <w:pPr>
        <w:spacing w:line="480" w:lineRule="auto"/>
        <w:ind w:left="720" w:hanging="720"/>
        <w:rPr>
          <w:noProof/>
        </w:rPr>
      </w:pPr>
      <w:bookmarkStart w:id="243" w:name="_ENREF_85"/>
      <w:r w:rsidRPr="00CC73F3">
        <w:rPr>
          <w:noProof/>
        </w:rPr>
        <w:t xml:space="preserve">Meloy, M. G. (2000). Mood-Driven Distortion of Product Information. </w:t>
      </w:r>
      <w:r w:rsidRPr="00CC73F3">
        <w:rPr>
          <w:i/>
          <w:noProof/>
        </w:rPr>
        <w:t>Journal of Consumer Research, 27</w:t>
      </w:r>
      <w:r w:rsidRPr="00CC73F3">
        <w:rPr>
          <w:noProof/>
        </w:rPr>
        <w:t xml:space="preserve">(3), 345-359. </w:t>
      </w:r>
      <w:bookmarkEnd w:id="243"/>
    </w:p>
    <w:p w:rsidR="00070FC5" w:rsidRPr="00CC73F3" w:rsidRDefault="00070FC5" w:rsidP="00412FD5">
      <w:pPr>
        <w:spacing w:line="480" w:lineRule="auto"/>
        <w:ind w:left="720" w:hanging="720"/>
        <w:rPr>
          <w:noProof/>
        </w:rPr>
      </w:pPr>
      <w:bookmarkStart w:id="244" w:name="_ENREF_86"/>
      <w:r w:rsidRPr="00CC73F3">
        <w:rPr>
          <w:noProof/>
        </w:rPr>
        <w:t xml:space="preserve">Mittal, V., Kamakura, W. A., &amp; Govind, R. (2004). Geographic patterns in customer service and satisfaction: An empirical investigation. </w:t>
      </w:r>
      <w:r w:rsidRPr="00CC73F3">
        <w:rPr>
          <w:i/>
          <w:noProof/>
        </w:rPr>
        <w:t>Journal of Marketing, 68</w:t>
      </w:r>
      <w:r w:rsidRPr="00CC73F3">
        <w:rPr>
          <w:noProof/>
        </w:rPr>
        <w:t xml:space="preserve">(3), 48-62. </w:t>
      </w:r>
      <w:bookmarkEnd w:id="244"/>
    </w:p>
    <w:p w:rsidR="00070FC5" w:rsidRPr="00CC73F3" w:rsidRDefault="00070FC5" w:rsidP="00412FD5">
      <w:pPr>
        <w:spacing w:line="480" w:lineRule="auto"/>
        <w:ind w:left="720" w:hanging="720"/>
        <w:rPr>
          <w:noProof/>
        </w:rPr>
      </w:pPr>
      <w:bookmarkStart w:id="245" w:name="_ENREF_87"/>
      <w:r w:rsidRPr="00CC73F3">
        <w:rPr>
          <w:noProof/>
        </w:rPr>
        <w:t xml:space="preserve">Moorman, C. (1995). Organizational market information processes: cultural antecedents and new product outcomes. </w:t>
      </w:r>
      <w:r w:rsidRPr="00CC73F3">
        <w:rPr>
          <w:i/>
          <w:noProof/>
        </w:rPr>
        <w:t>Journal of Marketing Research</w:t>
      </w:r>
      <w:r w:rsidRPr="00CC73F3">
        <w:rPr>
          <w:noProof/>
        </w:rPr>
        <w:t xml:space="preserve">, 318-335. </w:t>
      </w:r>
      <w:bookmarkEnd w:id="245"/>
    </w:p>
    <w:p w:rsidR="00070FC5" w:rsidRPr="00CC73F3" w:rsidRDefault="00070FC5" w:rsidP="00412FD5">
      <w:pPr>
        <w:spacing w:line="480" w:lineRule="auto"/>
        <w:ind w:left="720" w:hanging="720"/>
        <w:rPr>
          <w:noProof/>
        </w:rPr>
      </w:pPr>
      <w:bookmarkStart w:id="246" w:name="_ENREF_88"/>
      <w:r w:rsidRPr="00CC73F3">
        <w:rPr>
          <w:noProof/>
        </w:rPr>
        <w:t xml:space="preserve">Müller, A., Herbig, B., &amp; Petrovic, K. (2009). The explication of implicit team knowledge and its supporting effect on team processes and technical innovations an action regulation perspective on team reflexivity. </w:t>
      </w:r>
      <w:r w:rsidRPr="00CC73F3">
        <w:rPr>
          <w:i/>
          <w:noProof/>
        </w:rPr>
        <w:t>Small Group Research, 40</w:t>
      </w:r>
      <w:r w:rsidRPr="00CC73F3">
        <w:rPr>
          <w:noProof/>
        </w:rPr>
        <w:t xml:space="preserve">(1), 28-51. </w:t>
      </w:r>
      <w:bookmarkEnd w:id="246"/>
    </w:p>
    <w:p w:rsidR="00070FC5" w:rsidRPr="00CC73F3" w:rsidRDefault="00070FC5" w:rsidP="00412FD5">
      <w:pPr>
        <w:spacing w:line="480" w:lineRule="auto"/>
        <w:ind w:left="720" w:hanging="720"/>
        <w:rPr>
          <w:noProof/>
        </w:rPr>
      </w:pPr>
      <w:bookmarkStart w:id="247" w:name="_ENREF_89"/>
      <w:r w:rsidRPr="00CC73F3">
        <w:rPr>
          <w:noProof/>
        </w:rPr>
        <w:t>Mullins, J. W., Forlani, D., &amp; Walker, O. C. (1999). Effects of organizational and decision</w:t>
      </w:r>
      <w:r w:rsidRPr="00CC73F3">
        <w:rPr>
          <w:rFonts w:ascii="Cambria Math" w:hAnsi="Cambria Math" w:cs="Cambria Math"/>
          <w:noProof/>
        </w:rPr>
        <w:t>‐</w:t>
      </w:r>
      <w:r w:rsidRPr="00CC73F3">
        <w:rPr>
          <w:noProof/>
        </w:rPr>
        <w:t xml:space="preserve">maker factors on new product risk taking. </w:t>
      </w:r>
      <w:r w:rsidRPr="00CC73F3">
        <w:rPr>
          <w:i/>
          <w:noProof/>
        </w:rPr>
        <w:t>Journal of Product Innovation Management, 16</w:t>
      </w:r>
      <w:r w:rsidRPr="00CC73F3">
        <w:rPr>
          <w:noProof/>
        </w:rPr>
        <w:t xml:space="preserve">(3), 282-294. </w:t>
      </w:r>
      <w:bookmarkEnd w:id="247"/>
    </w:p>
    <w:p w:rsidR="00070FC5" w:rsidRPr="00CC73F3" w:rsidRDefault="00070FC5" w:rsidP="00412FD5">
      <w:pPr>
        <w:spacing w:line="480" w:lineRule="auto"/>
        <w:ind w:left="720" w:hanging="720"/>
        <w:rPr>
          <w:noProof/>
        </w:rPr>
      </w:pPr>
      <w:bookmarkStart w:id="248" w:name="_ENREF_90"/>
      <w:r w:rsidRPr="00CC73F3">
        <w:rPr>
          <w:noProof/>
        </w:rPr>
        <w:t xml:space="preserve">Nambisan, S. (2002). Designing virtual customer environments for new product development: Toward a theory. </w:t>
      </w:r>
      <w:r w:rsidRPr="00CC73F3">
        <w:rPr>
          <w:i/>
          <w:noProof/>
        </w:rPr>
        <w:t>Academy of Management Review, 27</w:t>
      </w:r>
      <w:r w:rsidRPr="00CC73F3">
        <w:rPr>
          <w:noProof/>
        </w:rPr>
        <w:t xml:space="preserve">(3), 392-413. </w:t>
      </w:r>
      <w:bookmarkEnd w:id="248"/>
    </w:p>
    <w:p w:rsidR="00070FC5" w:rsidRPr="00CC73F3" w:rsidRDefault="00070FC5" w:rsidP="00412FD5">
      <w:pPr>
        <w:spacing w:line="480" w:lineRule="auto"/>
        <w:ind w:left="720" w:hanging="720"/>
        <w:rPr>
          <w:noProof/>
        </w:rPr>
      </w:pPr>
      <w:bookmarkStart w:id="249" w:name="_ENREF_91"/>
      <w:r w:rsidRPr="00CC73F3">
        <w:rPr>
          <w:noProof/>
        </w:rPr>
        <w:t>Nambisan, S., &amp; Baron, R. A. (2009). Virtual customer environments: testing a model of voluntary participation in value co</w:t>
      </w:r>
      <w:r w:rsidRPr="00CC73F3">
        <w:rPr>
          <w:rFonts w:ascii="Cambria Math" w:hAnsi="Cambria Math" w:cs="Cambria Math"/>
          <w:noProof/>
        </w:rPr>
        <w:t>‐</w:t>
      </w:r>
      <w:r w:rsidRPr="00CC73F3">
        <w:rPr>
          <w:noProof/>
        </w:rPr>
        <w:t xml:space="preserve">creation activities. </w:t>
      </w:r>
      <w:r w:rsidRPr="00CC73F3">
        <w:rPr>
          <w:i/>
          <w:noProof/>
        </w:rPr>
        <w:t>Journal of Product Innovation Management, 26</w:t>
      </w:r>
      <w:r w:rsidRPr="00CC73F3">
        <w:rPr>
          <w:noProof/>
        </w:rPr>
        <w:t xml:space="preserve">(4), 388-406. </w:t>
      </w:r>
      <w:bookmarkEnd w:id="249"/>
    </w:p>
    <w:p w:rsidR="00070FC5" w:rsidRPr="00CC73F3" w:rsidRDefault="00070FC5" w:rsidP="00412FD5">
      <w:pPr>
        <w:spacing w:line="480" w:lineRule="auto"/>
        <w:ind w:left="720" w:hanging="720"/>
        <w:rPr>
          <w:noProof/>
        </w:rPr>
      </w:pPr>
      <w:bookmarkStart w:id="250" w:name="_ENREF_92"/>
      <w:r w:rsidRPr="00CC73F3">
        <w:rPr>
          <w:noProof/>
        </w:rPr>
        <w:t xml:space="preserve">Nishikawa, H., Schreier, M., &amp; Ogawa, S. (2013). User-generated versus designer-generated products: A performance assessment at Muji. </w:t>
      </w:r>
      <w:r w:rsidRPr="00CC73F3">
        <w:rPr>
          <w:i/>
          <w:noProof/>
        </w:rPr>
        <w:t>International Journal of Research in Marketing, 30</w:t>
      </w:r>
      <w:r w:rsidRPr="00CC73F3">
        <w:rPr>
          <w:noProof/>
        </w:rPr>
        <w:t xml:space="preserve">(2), 160-167. </w:t>
      </w:r>
      <w:bookmarkEnd w:id="250"/>
    </w:p>
    <w:p w:rsidR="00070FC5" w:rsidRPr="00CC73F3" w:rsidRDefault="00070FC5" w:rsidP="00412FD5">
      <w:pPr>
        <w:spacing w:line="480" w:lineRule="auto"/>
        <w:ind w:left="720" w:hanging="720"/>
        <w:rPr>
          <w:noProof/>
        </w:rPr>
      </w:pPr>
      <w:bookmarkStart w:id="251" w:name="_ENREF_93"/>
      <w:r w:rsidRPr="00CC73F3">
        <w:rPr>
          <w:noProof/>
        </w:rPr>
        <w:t xml:space="preserve">Nunnally, J. (1978). </w:t>
      </w:r>
      <w:r w:rsidRPr="00CC73F3">
        <w:rPr>
          <w:i/>
          <w:noProof/>
        </w:rPr>
        <w:t>Psychometric Theory</w:t>
      </w:r>
      <w:r w:rsidRPr="00CC73F3">
        <w:rPr>
          <w:noProof/>
        </w:rPr>
        <w:t>: New York: McGraw-Hill.</w:t>
      </w:r>
      <w:bookmarkEnd w:id="251"/>
    </w:p>
    <w:p w:rsidR="00070FC5" w:rsidRPr="00CC73F3" w:rsidRDefault="00070FC5" w:rsidP="00412FD5">
      <w:pPr>
        <w:spacing w:line="480" w:lineRule="auto"/>
        <w:ind w:left="720" w:hanging="720"/>
        <w:rPr>
          <w:noProof/>
        </w:rPr>
      </w:pPr>
      <w:bookmarkStart w:id="252" w:name="_ENREF_94"/>
      <w:r w:rsidRPr="00CC73F3">
        <w:rPr>
          <w:noProof/>
        </w:rPr>
        <w:t xml:space="preserve">O'Hern, M. S., &amp; Rindfleisch, A. (2010). Customer co-creation: a typology and research agenda. </w:t>
      </w:r>
      <w:r w:rsidRPr="00CC73F3">
        <w:rPr>
          <w:i/>
          <w:noProof/>
        </w:rPr>
        <w:t>Review of Marketing Research, 6</w:t>
      </w:r>
      <w:r w:rsidRPr="00CC73F3">
        <w:rPr>
          <w:noProof/>
        </w:rPr>
        <w:t xml:space="preserve">, 84-106. </w:t>
      </w:r>
      <w:bookmarkEnd w:id="252"/>
    </w:p>
    <w:p w:rsidR="00070FC5" w:rsidRPr="00CC73F3" w:rsidRDefault="00070FC5" w:rsidP="00412FD5">
      <w:pPr>
        <w:spacing w:line="480" w:lineRule="auto"/>
        <w:ind w:left="720" w:hanging="720"/>
        <w:rPr>
          <w:noProof/>
        </w:rPr>
      </w:pPr>
      <w:bookmarkStart w:id="253" w:name="_ENREF_95"/>
      <w:r w:rsidRPr="00CC73F3">
        <w:rPr>
          <w:noProof/>
        </w:rPr>
        <w:t xml:space="preserve">Ogawa, S., &amp; Piller, F. T. (2006). Reducing the risks of new product development. </w:t>
      </w:r>
      <w:r w:rsidRPr="00CC73F3">
        <w:rPr>
          <w:i/>
          <w:noProof/>
        </w:rPr>
        <w:t>MIT Sloan Management Review, 47</w:t>
      </w:r>
      <w:r w:rsidRPr="00CC73F3">
        <w:rPr>
          <w:noProof/>
        </w:rPr>
        <w:t xml:space="preserve">(2), 65. </w:t>
      </w:r>
      <w:bookmarkEnd w:id="253"/>
    </w:p>
    <w:p w:rsidR="00070FC5" w:rsidRPr="00CC73F3" w:rsidRDefault="00070FC5" w:rsidP="00412FD5">
      <w:pPr>
        <w:spacing w:line="480" w:lineRule="auto"/>
        <w:ind w:left="720" w:hanging="720"/>
        <w:rPr>
          <w:noProof/>
        </w:rPr>
      </w:pPr>
      <w:bookmarkStart w:id="254" w:name="_ENREF_96"/>
      <w:r w:rsidRPr="00CC73F3">
        <w:rPr>
          <w:noProof/>
        </w:rPr>
        <w:t xml:space="preserve">Phillips, J. (2011). Open Innovation Typology. In P. Sloane (Ed.), </w:t>
      </w:r>
      <w:r w:rsidRPr="00CC73F3">
        <w:rPr>
          <w:i/>
          <w:noProof/>
        </w:rPr>
        <w:t>A Guide to Open Innovation and Crowdsourcing: Advice from Leading Experts in the Field</w:t>
      </w:r>
      <w:r w:rsidR="00CE4FEF">
        <w:rPr>
          <w:i/>
          <w:noProof/>
        </w:rPr>
        <w:t xml:space="preserve">, </w:t>
      </w:r>
      <w:r w:rsidRPr="00CC73F3">
        <w:rPr>
          <w:noProof/>
        </w:rPr>
        <w:t xml:space="preserve"> (pp. 22-35). London: Kogan Page.</w:t>
      </w:r>
      <w:bookmarkEnd w:id="254"/>
    </w:p>
    <w:p w:rsidR="00070FC5" w:rsidRPr="00CC73F3" w:rsidRDefault="00070FC5" w:rsidP="00412FD5">
      <w:pPr>
        <w:spacing w:line="480" w:lineRule="auto"/>
        <w:ind w:left="720" w:hanging="720"/>
        <w:rPr>
          <w:noProof/>
        </w:rPr>
      </w:pPr>
      <w:bookmarkStart w:id="255" w:name="_ENREF_97"/>
      <w:r w:rsidRPr="00CC73F3">
        <w:rPr>
          <w:noProof/>
        </w:rPr>
        <w:t xml:space="preserve">Poetz, M. K., &amp; Schreier, M. (2012). The value of crowdsourcing: can users really compete with professionals in generating new product ideas? </w:t>
      </w:r>
      <w:r w:rsidRPr="00CC73F3">
        <w:rPr>
          <w:i/>
          <w:noProof/>
        </w:rPr>
        <w:t>Journal of Product Innovation Management, 29</w:t>
      </w:r>
      <w:r w:rsidRPr="00CC73F3">
        <w:rPr>
          <w:noProof/>
        </w:rPr>
        <w:t xml:space="preserve">(2), 245-256. </w:t>
      </w:r>
      <w:bookmarkEnd w:id="255"/>
    </w:p>
    <w:p w:rsidR="00070FC5" w:rsidRPr="00CC73F3" w:rsidRDefault="00070FC5" w:rsidP="00412FD5">
      <w:pPr>
        <w:spacing w:line="480" w:lineRule="auto"/>
        <w:ind w:left="720" w:hanging="720"/>
        <w:rPr>
          <w:noProof/>
        </w:rPr>
      </w:pPr>
      <w:bookmarkStart w:id="256" w:name="_ENREF_98"/>
      <w:r w:rsidRPr="00CC73F3">
        <w:rPr>
          <w:noProof/>
        </w:rPr>
        <w:t>Prahalad, C. K., &amp; Ramaswamy, V. (2004). Co</w:t>
      </w:r>
      <w:r w:rsidRPr="00CC73F3">
        <w:rPr>
          <w:rFonts w:ascii="Cambria Math" w:hAnsi="Cambria Math" w:cs="Cambria Math"/>
          <w:noProof/>
        </w:rPr>
        <w:t>‐</w:t>
      </w:r>
      <w:r w:rsidRPr="00CC73F3">
        <w:rPr>
          <w:noProof/>
        </w:rPr>
        <w:t xml:space="preserve">creation experiences: The next practice in value creation. </w:t>
      </w:r>
      <w:r w:rsidRPr="00CC73F3">
        <w:rPr>
          <w:i/>
          <w:noProof/>
        </w:rPr>
        <w:t xml:space="preserve">Journal of </w:t>
      </w:r>
      <w:r w:rsidR="00CE4FEF">
        <w:rPr>
          <w:i/>
          <w:noProof/>
        </w:rPr>
        <w:t>I</w:t>
      </w:r>
      <w:r w:rsidRPr="00CC73F3">
        <w:rPr>
          <w:i/>
          <w:noProof/>
        </w:rPr>
        <w:t xml:space="preserve">nteractive </w:t>
      </w:r>
      <w:r w:rsidR="00CE4FEF">
        <w:rPr>
          <w:i/>
          <w:noProof/>
        </w:rPr>
        <w:t>M</w:t>
      </w:r>
      <w:r w:rsidRPr="00CC73F3">
        <w:rPr>
          <w:i/>
          <w:noProof/>
        </w:rPr>
        <w:t>arketing, 18</w:t>
      </w:r>
      <w:r w:rsidRPr="00CC73F3">
        <w:rPr>
          <w:noProof/>
        </w:rPr>
        <w:t xml:space="preserve">(3), 5-14. </w:t>
      </w:r>
      <w:bookmarkEnd w:id="256"/>
    </w:p>
    <w:p w:rsidR="00070FC5" w:rsidRPr="00CC73F3" w:rsidRDefault="00070FC5" w:rsidP="00412FD5">
      <w:pPr>
        <w:spacing w:line="480" w:lineRule="auto"/>
        <w:ind w:left="720" w:hanging="720"/>
        <w:rPr>
          <w:noProof/>
        </w:rPr>
      </w:pPr>
      <w:bookmarkStart w:id="257" w:name="_ENREF_99"/>
      <w:r w:rsidRPr="00CC73F3">
        <w:rPr>
          <w:noProof/>
        </w:rPr>
        <w:t xml:space="preserve">Reger, R. K., &amp; Huff, A. S. (1993). Strategic groups: A cognitive perspective. </w:t>
      </w:r>
      <w:r w:rsidRPr="00CC73F3">
        <w:rPr>
          <w:i/>
          <w:noProof/>
        </w:rPr>
        <w:t xml:space="preserve">Strategic </w:t>
      </w:r>
      <w:r w:rsidR="001007A8">
        <w:rPr>
          <w:i/>
          <w:noProof/>
        </w:rPr>
        <w:t>M</w:t>
      </w:r>
      <w:r w:rsidRPr="00CC73F3">
        <w:rPr>
          <w:i/>
          <w:noProof/>
        </w:rPr>
        <w:t xml:space="preserve">anagement </w:t>
      </w:r>
      <w:r w:rsidR="001007A8">
        <w:rPr>
          <w:i/>
          <w:noProof/>
        </w:rPr>
        <w:t>J</w:t>
      </w:r>
      <w:r w:rsidRPr="00CC73F3">
        <w:rPr>
          <w:i/>
          <w:noProof/>
        </w:rPr>
        <w:t>ournal, 14</w:t>
      </w:r>
      <w:r w:rsidRPr="00CC73F3">
        <w:rPr>
          <w:noProof/>
        </w:rPr>
        <w:t xml:space="preserve">(2), 103-123. </w:t>
      </w:r>
      <w:bookmarkEnd w:id="257"/>
    </w:p>
    <w:p w:rsidR="00070FC5" w:rsidRPr="00CC73F3" w:rsidRDefault="00070FC5" w:rsidP="00412FD5">
      <w:pPr>
        <w:spacing w:line="480" w:lineRule="auto"/>
        <w:ind w:left="720" w:hanging="720"/>
        <w:rPr>
          <w:noProof/>
        </w:rPr>
      </w:pPr>
      <w:bookmarkStart w:id="258" w:name="_ENREF_100"/>
      <w:r w:rsidRPr="00CC73F3">
        <w:rPr>
          <w:noProof/>
        </w:rPr>
        <w:t xml:space="preserve">Rietzschel, E. F. (2011). Collective regulatory focus predicts specific aspects of team innovation. </w:t>
      </w:r>
      <w:r w:rsidRPr="00CC73F3">
        <w:rPr>
          <w:i/>
          <w:noProof/>
        </w:rPr>
        <w:t>Group Processes &amp; Intergroup Relations, 14</w:t>
      </w:r>
      <w:r w:rsidRPr="00CC73F3">
        <w:rPr>
          <w:noProof/>
        </w:rPr>
        <w:t xml:space="preserve">(3), 337-345. </w:t>
      </w:r>
      <w:bookmarkEnd w:id="258"/>
    </w:p>
    <w:p w:rsidR="00070FC5" w:rsidRPr="00CC73F3" w:rsidRDefault="00070FC5" w:rsidP="00412FD5">
      <w:pPr>
        <w:spacing w:line="480" w:lineRule="auto"/>
        <w:ind w:left="720" w:hanging="720"/>
        <w:rPr>
          <w:noProof/>
        </w:rPr>
      </w:pPr>
      <w:bookmarkStart w:id="259" w:name="_ENREF_101"/>
      <w:r w:rsidRPr="00CC73F3">
        <w:rPr>
          <w:noProof/>
        </w:rPr>
        <w:t xml:space="preserve">Schippers, M. C., Homan, A. C., &amp; Knippenberg, D. (2013). To reflect or not to reflect: Prior team performance as a boundary condition of the effects of reflexivity on learning and final team performance. </w:t>
      </w:r>
      <w:r w:rsidRPr="00CC73F3">
        <w:rPr>
          <w:i/>
          <w:noProof/>
        </w:rPr>
        <w:t>Journal of Organizational Behavior, 34</w:t>
      </w:r>
      <w:r w:rsidRPr="00CC73F3">
        <w:rPr>
          <w:noProof/>
        </w:rPr>
        <w:t xml:space="preserve">(1), 6-23. </w:t>
      </w:r>
      <w:bookmarkEnd w:id="259"/>
    </w:p>
    <w:p w:rsidR="00070FC5" w:rsidRPr="00CC73F3" w:rsidRDefault="00070FC5" w:rsidP="00412FD5">
      <w:pPr>
        <w:spacing w:line="480" w:lineRule="auto"/>
        <w:ind w:left="720" w:hanging="720"/>
        <w:rPr>
          <w:noProof/>
        </w:rPr>
      </w:pPr>
      <w:bookmarkStart w:id="260" w:name="_ENREF_102"/>
      <w:r w:rsidRPr="00CC73F3">
        <w:rPr>
          <w:noProof/>
        </w:rPr>
        <w:t xml:space="preserve">Schippers, M. C., West, M. A., &amp; Dawson, J. F. (2012). Team reflexivity and innovation: The moderating role of team context. </w:t>
      </w:r>
      <w:r w:rsidRPr="00CC73F3">
        <w:rPr>
          <w:i/>
          <w:noProof/>
        </w:rPr>
        <w:t>Journal of Management</w:t>
      </w:r>
      <w:r w:rsidRPr="00CC73F3">
        <w:rPr>
          <w:noProof/>
        </w:rPr>
        <w:t xml:space="preserve">, 0149206312441210. </w:t>
      </w:r>
      <w:bookmarkEnd w:id="260"/>
    </w:p>
    <w:p w:rsidR="00070FC5" w:rsidRPr="00CC73F3" w:rsidRDefault="00070FC5" w:rsidP="00412FD5">
      <w:pPr>
        <w:spacing w:line="480" w:lineRule="auto"/>
        <w:ind w:left="720" w:hanging="720"/>
        <w:rPr>
          <w:noProof/>
        </w:rPr>
      </w:pPr>
      <w:bookmarkStart w:id="261" w:name="_ENREF_103"/>
      <w:r w:rsidRPr="00CC73F3">
        <w:rPr>
          <w:noProof/>
        </w:rPr>
        <w:t>Schreier, M., &amp; Prügl, R. (2008). Extending Lead</w:t>
      </w:r>
      <w:r w:rsidRPr="00CC73F3">
        <w:rPr>
          <w:rFonts w:ascii="Cambria Math" w:hAnsi="Cambria Math" w:cs="Cambria Math"/>
          <w:noProof/>
        </w:rPr>
        <w:t>‐</w:t>
      </w:r>
      <w:r w:rsidRPr="00CC73F3">
        <w:rPr>
          <w:noProof/>
        </w:rPr>
        <w:t xml:space="preserve">User Theory: Antecedents and Consequences of Consumers' Lead Userness*. </w:t>
      </w:r>
      <w:r w:rsidRPr="00CC73F3">
        <w:rPr>
          <w:i/>
          <w:noProof/>
        </w:rPr>
        <w:t>Journal of Product Innovation Management, 25</w:t>
      </w:r>
      <w:r w:rsidRPr="00CC73F3">
        <w:rPr>
          <w:noProof/>
        </w:rPr>
        <w:t xml:space="preserve">(4), 331-346. </w:t>
      </w:r>
      <w:bookmarkEnd w:id="261"/>
    </w:p>
    <w:p w:rsidR="00070FC5" w:rsidRPr="00CC73F3" w:rsidRDefault="00070FC5" w:rsidP="00412FD5">
      <w:pPr>
        <w:spacing w:line="480" w:lineRule="auto"/>
        <w:ind w:left="720" w:hanging="720"/>
        <w:rPr>
          <w:noProof/>
        </w:rPr>
      </w:pPr>
      <w:bookmarkStart w:id="262" w:name="_ENREF_104"/>
      <w:r w:rsidRPr="00CC73F3">
        <w:rPr>
          <w:noProof/>
        </w:rPr>
        <w:t xml:space="preserve">Schwenk, C. R. (1988). </w:t>
      </w:r>
      <w:r w:rsidRPr="00CC73F3">
        <w:rPr>
          <w:i/>
          <w:noProof/>
        </w:rPr>
        <w:t>The essence of strategic decision making</w:t>
      </w:r>
      <w:r w:rsidRPr="00CC73F3">
        <w:rPr>
          <w:noProof/>
        </w:rPr>
        <w:t xml:space="preserve"> (Vol. 1988): Lexington Books Lexington, MA.</w:t>
      </w:r>
      <w:bookmarkEnd w:id="262"/>
    </w:p>
    <w:p w:rsidR="00070FC5" w:rsidRPr="00CC73F3" w:rsidRDefault="00070FC5" w:rsidP="00412FD5">
      <w:pPr>
        <w:spacing w:line="480" w:lineRule="auto"/>
        <w:ind w:left="720" w:hanging="720"/>
        <w:rPr>
          <w:noProof/>
        </w:rPr>
      </w:pPr>
      <w:bookmarkStart w:id="263" w:name="_ENREF_105"/>
      <w:r w:rsidRPr="00CC73F3">
        <w:rPr>
          <w:noProof/>
        </w:rPr>
        <w:t xml:space="preserve">Sethi, R., &amp; Iqbal, Z. (2008). Stage-gate controls, learning failure, and adverse effect on novel new products. </w:t>
      </w:r>
      <w:r w:rsidRPr="00CC73F3">
        <w:rPr>
          <w:i/>
          <w:noProof/>
        </w:rPr>
        <w:t>Journal of Marketing, 72</w:t>
      </w:r>
      <w:r w:rsidRPr="00CC73F3">
        <w:rPr>
          <w:noProof/>
        </w:rPr>
        <w:t xml:space="preserve">(1), 118-134. </w:t>
      </w:r>
      <w:bookmarkEnd w:id="263"/>
    </w:p>
    <w:p w:rsidR="00070FC5" w:rsidRPr="00CC73F3" w:rsidRDefault="00070FC5" w:rsidP="00412FD5">
      <w:pPr>
        <w:spacing w:line="480" w:lineRule="auto"/>
        <w:ind w:left="720" w:hanging="720"/>
        <w:rPr>
          <w:noProof/>
        </w:rPr>
      </w:pPr>
      <w:bookmarkStart w:id="264" w:name="_ENREF_106"/>
      <w:r w:rsidRPr="00CC73F3">
        <w:rPr>
          <w:noProof/>
        </w:rPr>
        <w:t xml:space="preserve">Sethi, R., Iqbal, Z., &amp; Sethi, A. (2012). Developing new-to-the-firm products: the role of micropolitical strategies. </w:t>
      </w:r>
      <w:r w:rsidRPr="00CC73F3">
        <w:rPr>
          <w:i/>
          <w:noProof/>
        </w:rPr>
        <w:t>Journal of Marketing, 76</w:t>
      </w:r>
      <w:r w:rsidRPr="00CC73F3">
        <w:rPr>
          <w:noProof/>
        </w:rPr>
        <w:t xml:space="preserve">(2), 99-115. </w:t>
      </w:r>
      <w:bookmarkEnd w:id="264"/>
    </w:p>
    <w:p w:rsidR="00070FC5" w:rsidRPr="00CC73F3" w:rsidRDefault="00070FC5" w:rsidP="00412FD5">
      <w:pPr>
        <w:spacing w:line="480" w:lineRule="auto"/>
        <w:ind w:left="720" w:hanging="720"/>
        <w:rPr>
          <w:noProof/>
        </w:rPr>
      </w:pPr>
      <w:bookmarkStart w:id="265" w:name="_ENREF_107"/>
      <w:r w:rsidRPr="00CC73F3">
        <w:rPr>
          <w:noProof/>
        </w:rPr>
        <w:t xml:space="preserve">Shah, J., Higgins, T., &amp; Friedman, R. S. (1998). Performance incentives and means: how regulatory focus influences goal attainment. </w:t>
      </w:r>
      <w:r w:rsidRPr="00CC73F3">
        <w:rPr>
          <w:i/>
          <w:noProof/>
        </w:rPr>
        <w:t xml:space="preserve">Journal of </w:t>
      </w:r>
      <w:r w:rsidR="001007A8">
        <w:rPr>
          <w:i/>
          <w:noProof/>
        </w:rPr>
        <w:t>P</w:t>
      </w:r>
      <w:r w:rsidRPr="00CC73F3">
        <w:rPr>
          <w:i/>
          <w:noProof/>
        </w:rPr>
        <w:t xml:space="preserve">ersonality and </w:t>
      </w:r>
      <w:r w:rsidR="001007A8">
        <w:rPr>
          <w:i/>
          <w:noProof/>
        </w:rPr>
        <w:t>S</w:t>
      </w:r>
      <w:r w:rsidRPr="00CC73F3">
        <w:rPr>
          <w:i/>
          <w:noProof/>
        </w:rPr>
        <w:t xml:space="preserve">ocial </w:t>
      </w:r>
      <w:r w:rsidR="001007A8">
        <w:rPr>
          <w:i/>
          <w:noProof/>
        </w:rPr>
        <w:t>P</w:t>
      </w:r>
      <w:r w:rsidRPr="00CC73F3">
        <w:rPr>
          <w:i/>
          <w:noProof/>
        </w:rPr>
        <w:t>sychology, 74</w:t>
      </w:r>
      <w:r w:rsidRPr="00CC73F3">
        <w:rPr>
          <w:noProof/>
        </w:rPr>
        <w:t xml:space="preserve">(2), 285. </w:t>
      </w:r>
      <w:bookmarkEnd w:id="265"/>
    </w:p>
    <w:p w:rsidR="00070FC5" w:rsidRPr="00CC73F3" w:rsidRDefault="00070FC5" w:rsidP="00412FD5">
      <w:pPr>
        <w:spacing w:line="480" w:lineRule="auto"/>
        <w:ind w:left="720" w:hanging="720"/>
        <w:rPr>
          <w:noProof/>
        </w:rPr>
      </w:pPr>
      <w:bookmarkStart w:id="266" w:name="_ENREF_108"/>
      <w:r w:rsidRPr="00CC73F3">
        <w:rPr>
          <w:noProof/>
        </w:rPr>
        <w:t xml:space="preserve">Singh, N. (2014). Crowdsourcing in 2014: With Great Power Comes Great Responsibility. </w:t>
      </w:r>
      <w:r w:rsidRPr="00CC73F3">
        <w:rPr>
          <w:i/>
          <w:noProof/>
        </w:rPr>
        <w:t>Wired Magazine</w:t>
      </w:r>
      <w:r w:rsidRPr="00CC73F3">
        <w:rPr>
          <w:noProof/>
        </w:rPr>
        <w:t xml:space="preserve">. </w:t>
      </w:r>
      <w:proofErr w:type="gramStart"/>
      <w:r w:rsidRPr="00CC73F3">
        <w:rPr>
          <w:noProof/>
        </w:rPr>
        <w:t xml:space="preserve">Retrieved from </w:t>
      </w:r>
      <w:hyperlink r:id="rId25" w:history="1">
        <w:r w:rsidR="00CE4FEF" w:rsidRPr="00E70A32">
          <w:rPr>
            <w:rStyle w:val="Hyperlink"/>
            <w:noProof/>
          </w:rPr>
          <w:t>http://www.wired.com/insights/2014/01/crowdsourcing-2014-great-power-comes-great-responsibility</w:t>
        </w:r>
      </w:hyperlink>
      <w:bookmarkEnd w:id="266"/>
      <w:r w:rsidR="00CE4FEF">
        <w:rPr>
          <w:noProof/>
        </w:rPr>
        <w:t>.</w:t>
      </w:r>
      <w:proofErr w:type="gramEnd"/>
      <w:r w:rsidR="00CE4FEF">
        <w:rPr>
          <w:noProof/>
        </w:rPr>
        <w:t xml:space="preserve"> </w:t>
      </w:r>
    </w:p>
    <w:p w:rsidR="00070FC5" w:rsidRPr="00CC73F3" w:rsidRDefault="00070FC5" w:rsidP="00412FD5">
      <w:pPr>
        <w:spacing w:line="480" w:lineRule="auto"/>
        <w:ind w:left="720" w:hanging="720"/>
        <w:rPr>
          <w:noProof/>
        </w:rPr>
      </w:pPr>
      <w:bookmarkStart w:id="267" w:name="_ENREF_109"/>
      <w:r w:rsidRPr="00CC73F3">
        <w:rPr>
          <w:noProof/>
        </w:rPr>
        <w:t xml:space="preserve">Smith, W. K., &amp; Tushman, M. L. (2005). Managing strategic contradictions: A top management model for managing innovation streams. </w:t>
      </w:r>
      <w:r w:rsidRPr="00CC73F3">
        <w:rPr>
          <w:i/>
          <w:noProof/>
        </w:rPr>
        <w:t xml:space="preserve">Organization </w:t>
      </w:r>
      <w:r w:rsidR="001007A8">
        <w:rPr>
          <w:i/>
          <w:noProof/>
        </w:rPr>
        <w:t>S</w:t>
      </w:r>
      <w:r w:rsidRPr="00CC73F3">
        <w:rPr>
          <w:i/>
          <w:noProof/>
        </w:rPr>
        <w:t>cience, 16</w:t>
      </w:r>
      <w:r w:rsidRPr="00CC73F3">
        <w:rPr>
          <w:noProof/>
        </w:rPr>
        <w:t xml:space="preserve">(5), 522-536. </w:t>
      </w:r>
      <w:bookmarkEnd w:id="267"/>
    </w:p>
    <w:p w:rsidR="00070FC5" w:rsidRPr="00CC73F3" w:rsidRDefault="00070FC5" w:rsidP="00412FD5">
      <w:pPr>
        <w:spacing w:line="480" w:lineRule="auto"/>
        <w:ind w:left="720" w:hanging="720"/>
        <w:rPr>
          <w:noProof/>
        </w:rPr>
      </w:pPr>
      <w:bookmarkStart w:id="268" w:name="_ENREF_110"/>
      <w:r w:rsidRPr="00CC73F3">
        <w:rPr>
          <w:noProof/>
        </w:rPr>
        <w:t xml:space="preserve">Spanjol, J., Tam, L., Qualls, W. J., &amp; Bohlmann, J. D. (2011). New Product Team Decision Making: Regulatory Focus Effects on Number, Type, and Timing Decisions. </w:t>
      </w:r>
      <w:r w:rsidRPr="00CC73F3">
        <w:rPr>
          <w:i/>
          <w:noProof/>
        </w:rPr>
        <w:t>Journal of Product Innovation Management, 28</w:t>
      </w:r>
      <w:r w:rsidRPr="00CC73F3">
        <w:rPr>
          <w:noProof/>
        </w:rPr>
        <w:t xml:space="preserve">(5), 623-640. </w:t>
      </w:r>
      <w:bookmarkEnd w:id="268"/>
    </w:p>
    <w:p w:rsidR="00070FC5" w:rsidRPr="00CC73F3" w:rsidRDefault="00070FC5" w:rsidP="00412FD5">
      <w:pPr>
        <w:spacing w:line="480" w:lineRule="auto"/>
        <w:ind w:left="720" w:hanging="720"/>
        <w:rPr>
          <w:noProof/>
        </w:rPr>
      </w:pPr>
      <w:bookmarkStart w:id="269" w:name="_ENREF_111"/>
      <w:r w:rsidRPr="00CC73F3">
        <w:rPr>
          <w:noProof/>
        </w:rPr>
        <w:t xml:space="preserve">Spence, M. T., &amp; Brucks, M. (1997). The moderating effects of problem characteristics on experts' and novices' judgments. </w:t>
      </w:r>
      <w:r w:rsidRPr="00CC73F3">
        <w:rPr>
          <w:i/>
          <w:noProof/>
        </w:rPr>
        <w:t>Journal of Marketing Research</w:t>
      </w:r>
      <w:r w:rsidRPr="00CC73F3">
        <w:rPr>
          <w:noProof/>
        </w:rPr>
        <w:t xml:space="preserve">, 233-247. </w:t>
      </w:r>
      <w:bookmarkEnd w:id="269"/>
    </w:p>
    <w:p w:rsidR="00070FC5" w:rsidRPr="00CC73F3" w:rsidRDefault="00070FC5" w:rsidP="00412FD5">
      <w:pPr>
        <w:spacing w:line="480" w:lineRule="auto"/>
        <w:ind w:left="720" w:hanging="720"/>
        <w:rPr>
          <w:noProof/>
        </w:rPr>
      </w:pPr>
      <w:bookmarkStart w:id="270" w:name="_ENREF_112"/>
      <w:r w:rsidRPr="00CC73F3">
        <w:rPr>
          <w:noProof/>
        </w:rPr>
        <w:t xml:space="preserve">Strauss, A., &amp; Corbin, J. M. (1990). </w:t>
      </w:r>
      <w:r w:rsidRPr="00CC73F3">
        <w:rPr>
          <w:i/>
          <w:noProof/>
        </w:rPr>
        <w:t>Basics of qualitative research: Grounded theory procedures and techniques</w:t>
      </w:r>
      <w:r w:rsidRPr="00CC73F3">
        <w:rPr>
          <w:noProof/>
        </w:rPr>
        <w:t>: Sage Publications, Inc.</w:t>
      </w:r>
      <w:bookmarkEnd w:id="270"/>
    </w:p>
    <w:p w:rsidR="00070FC5" w:rsidRPr="00CC73F3" w:rsidRDefault="00070FC5" w:rsidP="00412FD5">
      <w:pPr>
        <w:spacing w:line="480" w:lineRule="auto"/>
        <w:ind w:left="720" w:hanging="720"/>
        <w:rPr>
          <w:noProof/>
        </w:rPr>
      </w:pPr>
      <w:bookmarkStart w:id="271" w:name="_ENREF_113"/>
      <w:r w:rsidRPr="00CC73F3">
        <w:rPr>
          <w:noProof/>
        </w:rPr>
        <w:t xml:space="preserve">Swamidass, P. M., Nair, S. S., &amp; Mistry, S. I. (1999). The use of a neural factory to investigate the effect of product line width on manufacturing performance. </w:t>
      </w:r>
      <w:r w:rsidRPr="00CC73F3">
        <w:rPr>
          <w:i/>
          <w:noProof/>
        </w:rPr>
        <w:t>Management Science, 45</w:t>
      </w:r>
      <w:r w:rsidRPr="00CC73F3">
        <w:rPr>
          <w:noProof/>
        </w:rPr>
        <w:t xml:space="preserve">(11), 1524-1538. </w:t>
      </w:r>
      <w:bookmarkEnd w:id="271"/>
    </w:p>
    <w:p w:rsidR="00070FC5" w:rsidRPr="00CC73F3" w:rsidRDefault="00070FC5" w:rsidP="00412FD5">
      <w:pPr>
        <w:spacing w:line="480" w:lineRule="auto"/>
        <w:ind w:left="720" w:hanging="720"/>
        <w:rPr>
          <w:noProof/>
        </w:rPr>
      </w:pPr>
      <w:bookmarkStart w:id="272" w:name="_ENREF_114"/>
      <w:r w:rsidRPr="00CC73F3">
        <w:rPr>
          <w:noProof/>
        </w:rPr>
        <w:t xml:space="preserve">Szymanski, D. M., Kroff, M. W., &amp; Troy, L. C. (2007). Innovativeness and new product success: Insights from the cumulative evidence. </w:t>
      </w:r>
      <w:r w:rsidRPr="00CC73F3">
        <w:rPr>
          <w:i/>
          <w:noProof/>
        </w:rPr>
        <w:t>Journal of the Academy of Marketing Science, 35</w:t>
      </w:r>
      <w:r w:rsidRPr="00CC73F3">
        <w:rPr>
          <w:noProof/>
        </w:rPr>
        <w:t xml:space="preserve">(1), 35-52. </w:t>
      </w:r>
      <w:bookmarkEnd w:id="272"/>
    </w:p>
    <w:p w:rsidR="00070FC5" w:rsidRPr="00CC73F3" w:rsidRDefault="00070FC5" w:rsidP="00412FD5">
      <w:pPr>
        <w:spacing w:line="480" w:lineRule="auto"/>
        <w:ind w:left="720" w:hanging="720"/>
        <w:rPr>
          <w:noProof/>
        </w:rPr>
      </w:pPr>
      <w:bookmarkStart w:id="273" w:name="_ENREF_115"/>
      <w:r w:rsidRPr="00CC73F3">
        <w:rPr>
          <w:noProof/>
        </w:rPr>
        <w:t xml:space="preserve">Terwiesch, C., &amp; Xu, Y. (2008). Innovation contests, open innovation, and multiagent problem solving. </w:t>
      </w:r>
      <w:r w:rsidRPr="00CC73F3">
        <w:rPr>
          <w:i/>
          <w:noProof/>
        </w:rPr>
        <w:t>Management Science, 54</w:t>
      </w:r>
      <w:r w:rsidRPr="00CC73F3">
        <w:rPr>
          <w:noProof/>
        </w:rPr>
        <w:t xml:space="preserve">(9), 1529-1543. </w:t>
      </w:r>
      <w:bookmarkEnd w:id="273"/>
    </w:p>
    <w:p w:rsidR="00070FC5" w:rsidRPr="00CC73F3" w:rsidRDefault="00070FC5" w:rsidP="00412FD5">
      <w:pPr>
        <w:spacing w:line="480" w:lineRule="auto"/>
        <w:ind w:left="720" w:hanging="720"/>
        <w:rPr>
          <w:noProof/>
        </w:rPr>
      </w:pPr>
      <w:bookmarkStart w:id="274" w:name="_ENREF_116"/>
      <w:r w:rsidRPr="00CC73F3">
        <w:rPr>
          <w:noProof/>
        </w:rPr>
        <w:t xml:space="preserve">Tynan, C., McKechnie, S., &amp; Chhuon, C. (2010). Co-creating value for luxury brands. </w:t>
      </w:r>
      <w:r w:rsidRPr="00CC73F3">
        <w:rPr>
          <w:i/>
          <w:noProof/>
        </w:rPr>
        <w:t>Journal of Business Research, 63</w:t>
      </w:r>
      <w:r w:rsidRPr="00CC73F3">
        <w:rPr>
          <w:noProof/>
        </w:rPr>
        <w:t xml:space="preserve">(11), 1156-1163. </w:t>
      </w:r>
      <w:bookmarkEnd w:id="274"/>
    </w:p>
    <w:p w:rsidR="00070FC5" w:rsidRPr="00CC73F3" w:rsidRDefault="00070FC5" w:rsidP="00412FD5">
      <w:pPr>
        <w:spacing w:line="480" w:lineRule="auto"/>
        <w:ind w:left="720" w:hanging="720"/>
        <w:rPr>
          <w:noProof/>
        </w:rPr>
      </w:pPr>
      <w:bookmarkStart w:id="275" w:name="_ENREF_117"/>
      <w:r w:rsidRPr="00CC73F3">
        <w:rPr>
          <w:noProof/>
        </w:rPr>
        <w:t xml:space="preserve">Ulaga, W., &amp; Reinartz, W. J. (2011). Hybrid offerings: how manufacturing firms combine goods and services successfully. </w:t>
      </w:r>
      <w:r w:rsidRPr="00CC73F3">
        <w:rPr>
          <w:i/>
          <w:noProof/>
        </w:rPr>
        <w:t>Journal of Marketing, 75</w:t>
      </w:r>
      <w:r w:rsidRPr="00CC73F3">
        <w:rPr>
          <w:noProof/>
        </w:rPr>
        <w:t xml:space="preserve">(6), 5-23. </w:t>
      </w:r>
      <w:bookmarkEnd w:id="275"/>
    </w:p>
    <w:p w:rsidR="00070FC5" w:rsidRPr="00CC73F3" w:rsidRDefault="00070FC5" w:rsidP="00412FD5">
      <w:pPr>
        <w:spacing w:line="480" w:lineRule="auto"/>
        <w:ind w:left="720" w:hanging="720"/>
        <w:rPr>
          <w:noProof/>
        </w:rPr>
      </w:pPr>
      <w:bookmarkStart w:id="276" w:name="_ENREF_118"/>
      <w:r w:rsidRPr="00CC73F3">
        <w:rPr>
          <w:noProof/>
        </w:rPr>
        <w:t xml:space="preserve">Urban, G. L., &amp; Von Hippel, E. (1988). Lead user analyses for the development of new industrial products. </w:t>
      </w:r>
      <w:r w:rsidRPr="00CC73F3">
        <w:rPr>
          <w:i/>
          <w:noProof/>
        </w:rPr>
        <w:t>Management Science, 34</w:t>
      </w:r>
      <w:r w:rsidRPr="00CC73F3">
        <w:rPr>
          <w:noProof/>
        </w:rPr>
        <w:t xml:space="preserve">(5), 569-582. </w:t>
      </w:r>
      <w:bookmarkEnd w:id="276"/>
    </w:p>
    <w:p w:rsidR="00070FC5" w:rsidRPr="00CE4FEF" w:rsidRDefault="00070FC5" w:rsidP="00412FD5">
      <w:pPr>
        <w:spacing w:line="480" w:lineRule="auto"/>
        <w:ind w:left="720" w:hanging="720"/>
        <w:rPr>
          <w:noProof/>
        </w:rPr>
      </w:pPr>
      <w:bookmarkStart w:id="277" w:name="_ENREF_119"/>
      <w:r w:rsidRPr="00CC73F3">
        <w:rPr>
          <w:noProof/>
        </w:rPr>
        <w:t xml:space="preserve">Van Stekelenburg, J. (2006). Promoting or preventing social change. </w:t>
      </w:r>
      <w:r w:rsidRPr="00CC73F3">
        <w:rPr>
          <w:i/>
          <w:noProof/>
        </w:rPr>
        <w:t xml:space="preserve">Instrumentality, identity, ideology and group-based anger as motives of protest participation. </w:t>
      </w:r>
      <w:r w:rsidRPr="00CE4FEF">
        <w:rPr>
          <w:noProof/>
        </w:rPr>
        <w:t xml:space="preserve">PhD, Vrije Universiteit van Amsterdam. </w:t>
      </w:r>
      <w:bookmarkEnd w:id="277"/>
    </w:p>
    <w:p w:rsidR="00070FC5" w:rsidRPr="00CC73F3" w:rsidRDefault="00070FC5" w:rsidP="00412FD5">
      <w:pPr>
        <w:spacing w:line="480" w:lineRule="auto"/>
        <w:ind w:left="720" w:hanging="720"/>
        <w:rPr>
          <w:noProof/>
        </w:rPr>
      </w:pPr>
      <w:bookmarkStart w:id="278" w:name="_ENREF_120"/>
      <w:r w:rsidRPr="00CC73F3">
        <w:rPr>
          <w:noProof/>
        </w:rPr>
        <w:t xml:space="preserve">Verhoef, P. C., Beckers, S. F., &amp; van Doorn, J. (2013). Understand the perils of co-creation. </w:t>
      </w:r>
      <w:r w:rsidRPr="00CC73F3">
        <w:rPr>
          <w:i/>
          <w:noProof/>
        </w:rPr>
        <w:t>Harvard Business Review, 91</w:t>
      </w:r>
      <w:r w:rsidRPr="00CC73F3">
        <w:rPr>
          <w:noProof/>
        </w:rPr>
        <w:t xml:space="preserve">(9), 28. </w:t>
      </w:r>
      <w:bookmarkEnd w:id="278"/>
    </w:p>
    <w:p w:rsidR="00070FC5" w:rsidRPr="00CC73F3" w:rsidRDefault="00070FC5" w:rsidP="00412FD5">
      <w:pPr>
        <w:spacing w:line="480" w:lineRule="auto"/>
        <w:ind w:left="720" w:hanging="720"/>
        <w:rPr>
          <w:noProof/>
        </w:rPr>
      </w:pPr>
      <w:bookmarkStart w:id="279" w:name="_ENREF_121"/>
      <w:r w:rsidRPr="00CC73F3">
        <w:rPr>
          <w:noProof/>
        </w:rPr>
        <w:t xml:space="preserve">Watson, D., Clark, L. A., &amp; Tellegen, A. (1988). Development and validation of brief measures of positive and negative affect: the PANAS scales. </w:t>
      </w:r>
      <w:r w:rsidRPr="00CC73F3">
        <w:rPr>
          <w:i/>
          <w:noProof/>
        </w:rPr>
        <w:t xml:space="preserve">Journal of </w:t>
      </w:r>
      <w:r w:rsidR="00CE4FEF">
        <w:rPr>
          <w:i/>
          <w:noProof/>
        </w:rPr>
        <w:t>P</w:t>
      </w:r>
      <w:r w:rsidRPr="00CC73F3">
        <w:rPr>
          <w:i/>
          <w:noProof/>
        </w:rPr>
        <w:t xml:space="preserve">ersonality and </w:t>
      </w:r>
      <w:r w:rsidR="00CE4FEF">
        <w:rPr>
          <w:i/>
          <w:noProof/>
        </w:rPr>
        <w:t>S</w:t>
      </w:r>
      <w:r w:rsidRPr="00CC73F3">
        <w:rPr>
          <w:i/>
          <w:noProof/>
        </w:rPr>
        <w:t xml:space="preserve">ocial </w:t>
      </w:r>
      <w:r w:rsidR="00CE4FEF">
        <w:rPr>
          <w:i/>
          <w:noProof/>
        </w:rPr>
        <w:t>P</w:t>
      </w:r>
      <w:r w:rsidRPr="00CC73F3">
        <w:rPr>
          <w:i/>
          <w:noProof/>
        </w:rPr>
        <w:t>sychology, 54</w:t>
      </w:r>
      <w:r w:rsidRPr="00CC73F3">
        <w:rPr>
          <w:noProof/>
        </w:rPr>
        <w:t xml:space="preserve">(6), 1063. </w:t>
      </w:r>
      <w:bookmarkEnd w:id="279"/>
    </w:p>
    <w:p w:rsidR="00070FC5" w:rsidRPr="00CC73F3" w:rsidRDefault="00070FC5" w:rsidP="00412FD5">
      <w:pPr>
        <w:spacing w:line="480" w:lineRule="auto"/>
        <w:ind w:left="720" w:hanging="720"/>
        <w:rPr>
          <w:noProof/>
        </w:rPr>
      </w:pPr>
      <w:bookmarkStart w:id="280" w:name="_ENREF_122"/>
      <w:r w:rsidRPr="00CC73F3">
        <w:rPr>
          <w:noProof/>
        </w:rPr>
        <w:t xml:space="preserve">Weber, R. P. (1990). </w:t>
      </w:r>
      <w:r w:rsidRPr="00CC73F3">
        <w:rPr>
          <w:i/>
          <w:noProof/>
        </w:rPr>
        <w:t>Basic content analysis</w:t>
      </w:r>
      <w:r w:rsidRPr="00CC73F3">
        <w:rPr>
          <w:noProof/>
        </w:rPr>
        <w:t>: Sage.</w:t>
      </w:r>
      <w:bookmarkEnd w:id="280"/>
    </w:p>
    <w:p w:rsidR="00070FC5" w:rsidRPr="00CC73F3" w:rsidRDefault="00070FC5" w:rsidP="00412FD5">
      <w:pPr>
        <w:spacing w:line="480" w:lineRule="auto"/>
        <w:ind w:left="720" w:hanging="720"/>
        <w:rPr>
          <w:noProof/>
        </w:rPr>
      </w:pPr>
      <w:bookmarkStart w:id="281" w:name="_ENREF_123"/>
      <w:r w:rsidRPr="00CC73F3">
        <w:rPr>
          <w:noProof/>
        </w:rPr>
        <w:t xml:space="preserve">West, J., &amp; Lakhani, K. R. (2008). Getting clear about communities in open innovation. </w:t>
      </w:r>
      <w:r w:rsidRPr="00CC73F3">
        <w:rPr>
          <w:i/>
          <w:noProof/>
        </w:rPr>
        <w:t>Industry and Innovation, 15</w:t>
      </w:r>
      <w:r w:rsidRPr="00CC73F3">
        <w:rPr>
          <w:noProof/>
        </w:rPr>
        <w:t xml:space="preserve">(2), 223-231. </w:t>
      </w:r>
      <w:bookmarkEnd w:id="281"/>
    </w:p>
    <w:p w:rsidR="00070FC5" w:rsidRPr="00CC73F3" w:rsidRDefault="00070FC5" w:rsidP="00412FD5">
      <w:pPr>
        <w:spacing w:line="480" w:lineRule="auto"/>
        <w:ind w:left="720" w:hanging="720"/>
        <w:rPr>
          <w:noProof/>
        </w:rPr>
      </w:pPr>
      <w:bookmarkStart w:id="282" w:name="_ENREF_124"/>
      <w:r w:rsidRPr="00CC73F3">
        <w:rPr>
          <w:noProof/>
        </w:rPr>
        <w:t xml:space="preserve">West, M. A. (1996). </w:t>
      </w:r>
      <w:r w:rsidRPr="00CC73F3">
        <w:rPr>
          <w:i/>
          <w:noProof/>
        </w:rPr>
        <w:t>Reflexivity and work group effectiveness: A conceptual integration</w:t>
      </w:r>
      <w:r w:rsidRPr="00CC73F3">
        <w:rPr>
          <w:noProof/>
        </w:rPr>
        <w:t>: John Wiley &amp; Sons, Ltd.</w:t>
      </w:r>
      <w:bookmarkEnd w:id="282"/>
    </w:p>
    <w:p w:rsidR="00070FC5" w:rsidRPr="00CC73F3" w:rsidRDefault="00070FC5" w:rsidP="00412FD5">
      <w:pPr>
        <w:spacing w:line="480" w:lineRule="auto"/>
        <w:ind w:left="720" w:hanging="720"/>
        <w:rPr>
          <w:noProof/>
        </w:rPr>
      </w:pPr>
      <w:bookmarkStart w:id="283" w:name="_ENREF_125"/>
      <w:r w:rsidRPr="00CC73F3">
        <w:rPr>
          <w:noProof/>
        </w:rPr>
        <w:t xml:space="preserve">West, M. A. (2002). Sparkling fountains or stagnant ponds: An integrative model of creativity and innovation implementation in work groups. </w:t>
      </w:r>
      <w:r w:rsidRPr="00CC73F3">
        <w:rPr>
          <w:i/>
          <w:noProof/>
        </w:rPr>
        <w:t>Applied Psychology, 51</w:t>
      </w:r>
      <w:r w:rsidRPr="00CC73F3">
        <w:rPr>
          <w:noProof/>
        </w:rPr>
        <w:t xml:space="preserve">(3), 355-387. </w:t>
      </w:r>
      <w:bookmarkEnd w:id="283"/>
    </w:p>
    <w:p w:rsidR="00070FC5" w:rsidRPr="00CC73F3" w:rsidRDefault="00070FC5" w:rsidP="00412FD5">
      <w:pPr>
        <w:spacing w:line="480" w:lineRule="auto"/>
        <w:ind w:left="720" w:hanging="720"/>
        <w:rPr>
          <w:noProof/>
        </w:rPr>
      </w:pPr>
      <w:bookmarkStart w:id="284" w:name="_ENREF_126"/>
      <w:r w:rsidRPr="00CC73F3">
        <w:rPr>
          <w:noProof/>
        </w:rPr>
        <w:t xml:space="preserve">White, K., MacDonnell, R., &amp; Dahl, D. W. (2011). It's the mind-set that matters: The role of construal level and message framing in influencing consumer efficacy and conservation behaviors. </w:t>
      </w:r>
      <w:r w:rsidRPr="00CC73F3">
        <w:rPr>
          <w:i/>
          <w:noProof/>
        </w:rPr>
        <w:t>Journal of Marketing Research, 48</w:t>
      </w:r>
      <w:r w:rsidRPr="00CC73F3">
        <w:rPr>
          <w:noProof/>
        </w:rPr>
        <w:t xml:space="preserve">(3), 472-485. </w:t>
      </w:r>
      <w:bookmarkEnd w:id="284"/>
    </w:p>
    <w:p w:rsidR="00070FC5" w:rsidRPr="00CC73F3" w:rsidRDefault="00070FC5" w:rsidP="00412FD5">
      <w:pPr>
        <w:spacing w:line="480" w:lineRule="auto"/>
        <w:ind w:left="720" w:hanging="720"/>
        <w:rPr>
          <w:noProof/>
        </w:rPr>
      </w:pPr>
      <w:bookmarkStart w:id="285" w:name="_ENREF_127"/>
      <w:r w:rsidRPr="00CC73F3">
        <w:rPr>
          <w:noProof/>
        </w:rPr>
        <w:t xml:space="preserve">Witell, L., Kristensson, P., Gustafsson, A., &amp; Löfgren, M. (2011). Idea generation: customer co-creation versus traditional market research techniques. </w:t>
      </w:r>
      <w:r w:rsidRPr="00CC73F3">
        <w:rPr>
          <w:i/>
          <w:noProof/>
        </w:rPr>
        <w:t>Journal of Service Management, 22</w:t>
      </w:r>
      <w:r w:rsidRPr="00CC73F3">
        <w:rPr>
          <w:noProof/>
        </w:rPr>
        <w:t xml:space="preserve">(2), 140-159. </w:t>
      </w:r>
      <w:bookmarkEnd w:id="285"/>
    </w:p>
    <w:p w:rsidR="00070FC5" w:rsidRPr="00CC73F3" w:rsidRDefault="00070FC5" w:rsidP="00412FD5">
      <w:pPr>
        <w:spacing w:line="480" w:lineRule="auto"/>
        <w:ind w:left="720" w:hanging="720"/>
        <w:rPr>
          <w:noProof/>
        </w:rPr>
      </w:pPr>
      <w:bookmarkStart w:id="286" w:name="_ENREF_128"/>
      <w:r w:rsidRPr="00CC73F3">
        <w:rPr>
          <w:noProof/>
        </w:rPr>
        <w:t xml:space="preserve">Woodruff, R. B. (1997). Customer value: the next source for competitive advantage. </w:t>
      </w:r>
      <w:r w:rsidRPr="00CC73F3">
        <w:rPr>
          <w:i/>
          <w:noProof/>
        </w:rPr>
        <w:t>Journal of the Academy of Marketing Science, 25</w:t>
      </w:r>
      <w:r w:rsidRPr="00CC73F3">
        <w:rPr>
          <w:noProof/>
        </w:rPr>
        <w:t xml:space="preserve">(2), 139-153. </w:t>
      </w:r>
      <w:bookmarkEnd w:id="286"/>
    </w:p>
    <w:p w:rsidR="00070FC5" w:rsidRPr="00CC73F3" w:rsidRDefault="00070FC5" w:rsidP="00412FD5">
      <w:pPr>
        <w:spacing w:line="480" w:lineRule="auto"/>
        <w:ind w:left="720" w:hanging="720"/>
        <w:rPr>
          <w:noProof/>
        </w:rPr>
      </w:pPr>
      <w:bookmarkStart w:id="287" w:name="_ENREF_129"/>
      <w:r w:rsidRPr="00CC73F3">
        <w:rPr>
          <w:noProof/>
        </w:rPr>
        <w:t xml:space="preserve">Wu, C., McMullen, J. S., Neubert, M. J., &amp; Yi, X. (2008). The influence of leader regulatory focus on employee creativity. </w:t>
      </w:r>
      <w:r w:rsidRPr="00CC73F3">
        <w:rPr>
          <w:i/>
          <w:noProof/>
        </w:rPr>
        <w:t>Journal of Business Venturing, 23</w:t>
      </w:r>
      <w:r w:rsidRPr="00CC73F3">
        <w:rPr>
          <w:noProof/>
        </w:rPr>
        <w:t xml:space="preserve">(5), 587-602. </w:t>
      </w:r>
      <w:bookmarkEnd w:id="287"/>
    </w:p>
    <w:p w:rsidR="00070FC5" w:rsidRPr="00CC73F3" w:rsidRDefault="00070FC5" w:rsidP="00412FD5">
      <w:pPr>
        <w:spacing w:line="480" w:lineRule="auto"/>
        <w:ind w:left="720" w:hanging="720"/>
        <w:rPr>
          <w:noProof/>
        </w:rPr>
      </w:pPr>
      <w:bookmarkStart w:id="288" w:name="_ENREF_130"/>
      <w:r w:rsidRPr="00CC73F3">
        <w:rPr>
          <w:noProof/>
        </w:rPr>
        <w:t xml:space="preserve">Zeithaml, V. A., Parasuraman, A., &amp; Berry, L. L. (1985). Problems and strategies in services marketing. </w:t>
      </w:r>
      <w:r w:rsidRPr="00CC73F3">
        <w:rPr>
          <w:i/>
          <w:noProof/>
        </w:rPr>
        <w:t xml:space="preserve">Journal of </w:t>
      </w:r>
      <w:r w:rsidR="001007A8">
        <w:rPr>
          <w:i/>
          <w:noProof/>
        </w:rPr>
        <w:t>M</w:t>
      </w:r>
      <w:r w:rsidRPr="00CC73F3">
        <w:rPr>
          <w:i/>
          <w:noProof/>
        </w:rPr>
        <w:t>arketing</w:t>
      </w:r>
      <w:r w:rsidRPr="00CC73F3">
        <w:rPr>
          <w:noProof/>
        </w:rPr>
        <w:t xml:space="preserve">, 33-46. </w:t>
      </w:r>
      <w:bookmarkEnd w:id="288"/>
    </w:p>
    <w:p w:rsidR="00070FC5" w:rsidRPr="00CC73F3" w:rsidRDefault="00070FC5" w:rsidP="00412FD5">
      <w:pPr>
        <w:spacing w:line="480" w:lineRule="auto"/>
        <w:ind w:left="720" w:hanging="720"/>
        <w:rPr>
          <w:noProof/>
        </w:rPr>
      </w:pPr>
      <w:bookmarkStart w:id="289" w:name="_ENREF_131"/>
      <w:r w:rsidRPr="00CC73F3">
        <w:rPr>
          <w:noProof/>
        </w:rPr>
        <w:t xml:space="preserve">Ziamou, P. L., &amp; Veryzer, R. W. (2005). The Influence of Temporal Distance on Consumer Preferences for Technology-Based Innovations. </w:t>
      </w:r>
      <w:r w:rsidRPr="00CC73F3">
        <w:rPr>
          <w:i/>
          <w:noProof/>
        </w:rPr>
        <w:t>Journal of Product Innovation Management, 22</w:t>
      </w:r>
      <w:r w:rsidRPr="00CC73F3">
        <w:rPr>
          <w:noProof/>
        </w:rPr>
        <w:t xml:space="preserve">(4), 336-346. </w:t>
      </w:r>
      <w:bookmarkEnd w:id="289"/>
    </w:p>
    <w:p w:rsidR="00070FC5" w:rsidRPr="00CC73F3" w:rsidRDefault="00070FC5" w:rsidP="00412FD5">
      <w:pPr>
        <w:spacing w:line="480" w:lineRule="auto"/>
        <w:rPr>
          <w:noProof/>
        </w:rPr>
      </w:pPr>
    </w:p>
    <w:p w:rsidR="00070FC5" w:rsidRPr="00CC73F3" w:rsidRDefault="00070FC5" w:rsidP="00D639F5">
      <w:pPr>
        <w:pStyle w:val="Citations"/>
      </w:pPr>
    </w:p>
    <w:p w:rsidR="00070FC5" w:rsidRPr="00CC73F3" w:rsidRDefault="00070FC5" w:rsidP="00D639F5">
      <w:pPr>
        <w:pStyle w:val="Heading1"/>
      </w:pPr>
      <w:r w:rsidRPr="00CC73F3">
        <w:br w:type="page"/>
      </w:r>
      <w:bookmarkStart w:id="290" w:name="_Toc420572649"/>
      <w:r w:rsidRPr="00CC73F3">
        <w:t>Appendices</w:t>
      </w:r>
      <w:bookmarkEnd w:id="290"/>
    </w:p>
    <w:p w:rsidR="00070FC5" w:rsidRPr="00CC73F3" w:rsidRDefault="00070FC5" w:rsidP="00D639F5">
      <w:pPr>
        <w:pStyle w:val="Heading2"/>
      </w:pPr>
      <w:r w:rsidRPr="00CC73F3">
        <w:br w:type="page"/>
      </w:r>
      <w:bookmarkStart w:id="291" w:name="_Toc420572650"/>
      <w:proofErr w:type="gramStart"/>
      <w:r w:rsidRPr="00CC73F3">
        <w:t>Appendix 1.</w:t>
      </w:r>
      <w:proofErr w:type="gramEnd"/>
      <w:r w:rsidRPr="00CC73F3">
        <w:t xml:space="preserve"> Measurement Scales</w:t>
      </w:r>
      <w:bookmarkEnd w:id="291"/>
    </w:p>
    <w:tbl>
      <w:tblPr>
        <w:tblW w:w="0" w:type="auto"/>
        <w:tblLook w:val="04A0" w:firstRow="1" w:lastRow="0" w:firstColumn="1" w:lastColumn="0" w:noHBand="0" w:noVBand="1"/>
      </w:tblPr>
      <w:tblGrid>
        <w:gridCol w:w="6678"/>
        <w:gridCol w:w="1800"/>
        <w:gridCol w:w="1098"/>
      </w:tblGrid>
      <w:tr w:rsidR="00070FC5" w:rsidRPr="00CC73F3" w:rsidTr="00D639F5">
        <w:tc>
          <w:tcPr>
            <w:tcW w:w="6678" w:type="dxa"/>
            <w:tcBorders>
              <w:top w:val="single" w:sz="12" w:space="0" w:color="auto"/>
              <w:bottom w:val="single" w:sz="12" w:space="0" w:color="auto"/>
            </w:tcBorders>
            <w:shd w:val="clear" w:color="auto" w:fill="auto"/>
          </w:tcPr>
          <w:p w:rsidR="00070FC5" w:rsidRPr="00CC73F3" w:rsidRDefault="00070FC5" w:rsidP="00D639F5">
            <w:pPr>
              <w:rPr>
                <w:rFonts w:eastAsia="Calibri"/>
                <w:b/>
              </w:rPr>
            </w:pPr>
            <w:r w:rsidRPr="00CC73F3">
              <w:rPr>
                <w:rFonts w:eastAsia="Calibri"/>
              </w:rPr>
              <w:t xml:space="preserve"> </w:t>
            </w:r>
            <w:r w:rsidRPr="00CC73F3">
              <w:rPr>
                <w:rFonts w:eastAsia="Calibri"/>
                <w:b/>
              </w:rPr>
              <w:t>Scale Name and Items</w:t>
            </w:r>
          </w:p>
        </w:tc>
        <w:tc>
          <w:tcPr>
            <w:tcW w:w="1800" w:type="dxa"/>
            <w:tcBorders>
              <w:top w:val="single" w:sz="12" w:space="0" w:color="auto"/>
              <w:bottom w:val="single" w:sz="12" w:space="0" w:color="auto"/>
            </w:tcBorders>
            <w:shd w:val="clear" w:color="auto" w:fill="auto"/>
            <w:vAlign w:val="center"/>
          </w:tcPr>
          <w:p w:rsidR="00070FC5" w:rsidRPr="00CC73F3" w:rsidRDefault="00070FC5" w:rsidP="00D639F5">
            <w:pPr>
              <w:jc w:val="center"/>
              <w:rPr>
                <w:rFonts w:eastAsia="Calibri"/>
                <w:b/>
              </w:rPr>
            </w:pPr>
            <w:r w:rsidRPr="00CC73F3">
              <w:rPr>
                <w:rFonts w:eastAsia="Calibri"/>
                <w:b/>
              </w:rPr>
              <w:t>Study</w:t>
            </w:r>
          </w:p>
        </w:tc>
        <w:tc>
          <w:tcPr>
            <w:tcW w:w="1098" w:type="dxa"/>
            <w:tcBorders>
              <w:top w:val="single" w:sz="12" w:space="0" w:color="auto"/>
              <w:bottom w:val="single" w:sz="12" w:space="0" w:color="auto"/>
            </w:tcBorders>
            <w:vAlign w:val="center"/>
          </w:tcPr>
          <w:p w:rsidR="00070FC5" w:rsidRPr="00CC73F3" w:rsidRDefault="00070FC5" w:rsidP="00D639F5">
            <w:pPr>
              <w:jc w:val="center"/>
              <w:rPr>
                <w:rFonts w:eastAsia="Calibri"/>
                <w:b/>
              </w:rPr>
            </w:pPr>
            <w:r w:rsidRPr="00CC73F3">
              <w:rPr>
                <w:rFonts w:eastAsia="Calibri"/>
                <w:b/>
              </w:rPr>
              <w:t>α</w:t>
            </w:r>
          </w:p>
        </w:tc>
      </w:tr>
      <w:tr w:rsidR="00070FC5" w:rsidRPr="00CC73F3" w:rsidTr="00D639F5">
        <w:tc>
          <w:tcPr>
            <w:tcW w:w="6678" w:type="dxa"/>
            <w:tcBorders>
              <w:top w:val="single" w:sz="12" w:space="0" w:color="auto"/>
            </w:tcBorders>
            <w:shd w:val="clear" w:color="auto" w:fill="auto"/>
          </w:tcPr>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r w:rsidRPr="00CC73F3">
              <w:rPr>
                <w:rFonts w:eastAsia="Calibri"/>
                <w:b/>
              </w:rPr>
              <w:t>Group Regulatory Focus</w:t>
            </w:r>
          </w:p>
          <w:p w:rsidR="00070FC5" w:rsidRPr="00CC73F3" w:rsidRDefault="00070FC5" w:rsidP="00D639F5">
            <w:pPr>
              <w:rPr>
                <w:rFonts w:eastAsia="Calibri"/>
              </w:rPr>
            </w:pPr>
            <w:r w:rsidRPr="00CC73F3">
              <w:rPr>
                <w:rFonts w:eastAsia="Calibri"/>
              </w:rPr>
              <w:t>Adapted from Van Stekelenburg (2006)</w:t>
            </w:r>
          </w:p>
          <w:p w:rsidR="00070FC5" w:rsidRPr="00CC73F3" w:rsidRDefault="00070FC5" w:rsidP="00D639F5">
            <w:pPr>
              <w:rPr>
                <w:rFonts w:eastAsia="Calibri"/>
              </w:rPr>
            </w:pPr>
            <w:r w:rsidRPr="00CC73F3">
              <w:rPr>
                <w:rFonts w:eastAsia="Calibri"/>
              </w:rPr>
              <w:t>7-point semantic differential scale</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 xml:space="preserve">For each pair of statements below, choose the point between the statements that best indicates the way your team actually made decisions in the exercises you completed. </w:t>
            </w:r>
          </w:p>
          <w:p w:rsidR="00070FC5" w:rsidRPr="00CC73F3" w:rsidRDefault="00070FC5" w:rsidP="00D639F5">
            <w:pPr>
              <w:rPr>
                <w:rFonts w:eastAsia="Calibri"/>
              </w:rPr>
            </w:pPr>
          </w:p>
          <w:p w:rsidR="00070FC5" w:rsidRPr="00CC73F3" w:rsidRDefault="00070FC5" w:rsidP="00D639F5">
            <w:pPr>
              <w:numPr>
                <w:ilvl w:val="0"/>
                <w:numId w:val="35"/>
              </w:numPr>
              <w:contextualSpacing/>
              <w:rPr>
                <w:rFonts w:eastAsia="Calibri"/>
              </w:rPr>
            </w:pPr>
            <w:r w:rsidRPr="00CC73F3">
              <w:rPr>
                <w:rFonts w:eastAsia="Calibri"/>
              </w:rPr>
              <w:t>Better safe than sorry/Fortune favors the bold</w:t>
            </w:r>
          </w:p>
          <w:p w:rsidR="00070FC5" w:rsidRPr="00CC73F3" w:rsidRDefault="00070FC5" w:rsidP="00D639F5">
            <w:pPr>
              <w:numPr>
                <w:ilvl w:val="0"/>
                <w:numId w:val="35"/>
              </w:numPr>
              <w:contextualSpacing/>
              <w:rPr>
                <w:rFonts w:eastAsia="Calibri"/>
              </w:rPr>
            </w:pPr>
            <w:r w:rsidRPr="00CC73F3">
              <w:rPr>
                <w:rFonts w:eastAsia="Calibri"/>
              </w:rPr>
              <w:t>Stick to what you know best/Variety is the spice of life</w:t>
            </w:r>
          </w:p>
          <w:p w:rsidR="00070FC5" w:rsidRPr="00CC73F3" w:rsidRDefault="00070FC5" w:rsidP="00D639F5">
            <w:pPr>
              <w:numPr>
                <w:ilvl w:val="0"/>
                <w:numId w:val="35"/>
              </w:numPr>
              <w:contextualSpacing/>
              <w:rPr>
                <w:rFonts w:eastAsia="Calibri"/>
              </w:rPr>
            </w:pPr>
            <w:r w:rsidRPr="00CC73F3">
              <w:rPr>
                <w:rFonts w:eastAsia="Calibri"/>
              </w:rPr>
              <w:t>Stay inside your comfort zone/Nothing ventured, nothing gained</w:t>
            </w:r>
          </w:p>
          <w:p w:rsidR="00070FC5" w:rsidRPr="00CC73F3" w:rsidRDefault="00070FC5" w:rsidP="00D639F5">
            <w:pPr>
              <w:rPr>
                <w:rFonts w:eastAsia="Calibri"/>
                <w:b/>
              </w:rPr>
            </w:pPr>
          </w:p>
          <w:p w:rsidR="00070FC5" w:rsidRPr="00CC73F3" w:rsidRDefault="00070FC5" w:rsidP="00D639F5">
            <w:pPr>
              <w:rPr>
                <w:rFonts w:eastAsia="Calibri"/>
                <w:b/>
              </w:rPr>
            </w:pPr>
          </w:p>
        </w:tc>
        <w:tc>
          <w:tcPr>
            <w:tcW w:w="1800" w:type="dxa"/>
            <w:tcBorders>
              <w:top w:val="single" w:sz="12" w:space="0" w:color="auto"/>
            </w:tcBorders>
            <w:shd w:val="clear" w:color="auto" w:fill="auto"/>
            <w:vAlign w:val="center"/>
          </w:tcPr>
          <w:p w:rsidR="00070FC5" w:rsidRPr="00CC73F3" w:rsidRDefault="00070FC5" w:rsidP="00D639F5">
            <w:pPr>
              <w:jc w:val="center"/>
              <w:rPr>
                <w:rFonts w:eastAsia="Calibri"/>
              </w:rPr>
            </w:pPr>
            <w:r w:rsidRPr="00CC73F3">
              <w:rPr>
                <w:rFonts w:eastAsia="Calibri"/>
              </w:rPr>
              <w:t>Manipulation Check for Study 1 and 2</w:t>
            </w:r>
          </w:p>
        </w:tc>
        <w:tc>
          <w:tcPr>
            <w:tcW w:w="1098" w:type="dxa"/>
            <w:tcBorders>
              <w:top w:val="single" w:sz="12" w:space="0" w:color="auto"/>
            </w:tcBorders>
            <w:vAlign w:val="center"/>
          </w:tcPr>
          <w:p w:rsidR="00070FC5" w:rsidRPr="00CC73F3" w:rsidRDefault="00070FC5" w:rsidP="00D639F5">
            <w:pPr>
              <w:jc w:val="center"/>
              <w:rPr>
                <w:rFonts w:eastAsia="Calibri"/>
              </w:rPr>
            </w:pPr>
            <w:r w:rsidRPr="00CC73F3">
              <w:rPr>
                <w:rFonts w:eastAsia="Calibri"/>
              </w:rPr>
              <w:t>.75</w:t>
            </w:r>
          </w:p>
        </w:tc>
      </w:tr>
      <w:tr w:rsidR="00070FC5" w:rsidRPr="00CC73F3" w:rsidTr="00D639F5">
        <w:tc>
          <w:tcPr>
            <w:tcW w:w="6678" w:type="dxa"/>
            <w:shd w:val="clear" w:color="auto" w:fill="auto"/>
          </w:tcPr>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r w:rsidRPr="00CC73F3">
              <w:rPr>
                <w:rFonts w:eastAsia="Calibri"/>
                <w:b/>
              </w:rPr>
              <w:t>Group Reflexivity</w:t>
            </w:r>
          </w:p>
          <w:p w:rsidR="00070FC5" w:rsidRPr="00CC73F3" w:rsidRDefault="00070FC5" w:rsidP="00D639F5">
            <w:pPr>
              <w:rPr>
                <w:rFonts w:eastAsia="Calibri"/>
              </w:rPr>
            </w:pPr>
            <w:r w:rsidRPr="00CC73F3">
              <w:rPr>
                <w:rFonts w:eastAsia="Calibri"/>
              </w:rPr>
              <w:t>Adapted from Schippers et al. (2007)</w:t>
            </w:r>
          </w:p>
          <w:p w:rsidR="00070FC5" w:rsidRPr="00CC73F3" w:rsidRDefault="00070FC5" w:rsidP="00D639F5">
            <w:pPr>
              <w:rPr>
                <w:rFonts w:eastAsia="Calibri"/>
              </w:rPr>
            </w:pPr>
            <w:r w:rsidRPr="00CC73F3">
              <w:rPr>
                <w:rFonts w:eastAsia="Calibri"/>
              </w:rPr>
              <w:t>7-point Likert scale</w:t>
            </w:r>
          </w:p>
          <w:p w:rsidR="00070FC5" w:rsidRPr="00CC73F3" w:rsidRDefault="00070FC5" w:rsidP="00D639F5">
            <w:pPr>
              <w:rPr>
                <w:rFonts w:eastAsia="Calibri"/>
                <w:b/>
              </w:rPr>
            </w:pPr>
          </w:p>
          <w:p w:rsidR="00070FC5" w:rsidRPr="00CC73F3" w:rsidRDefault="00070FC5" w:rsidP="00D639F5">
            <w:pPr>
              <w:rPr>
                <w:rFonts w:eastAsia="Calibri"/>
              </w:rPr>
            </w:pPr>
            <w:r w:rsidRPr="00CC73F3">
              <w:rPr>
                <w:rFonts w:eastAsia="Calibri"/>
              </w:rPr>
              <w:t>In completing these exercises, we…</w:t>
            </w:r>
          </w:p>
          <w:p w:rsidR="00070FC5" w:rsidRPr="00CC73F3" w:rsidRDefault="00070FC5" w:rsidP="00D639F5">
            <w:pPr>
              <w:numPr>
                <w:ilvl w:val="0"/>
                <w:numId w:val="37"/>
              </w:numPr>
              <w:contextualSpacing/>
              <w:rPr>
                <w:rFonts w:eastAsia="Calibri"/>
              </w:rPr>
            </w:pPr>
            <w:r w:rsidRPr="00CC73F3">
              <w:rPr>
                <w:rFonts w:eastAsia="Calibri"/>
              </w:rPr>
              <w:t>considered different points of view when evaluating each product concept</w:t>
            </w:r>
          </w:p>
          <w:p w:rsidR="00070FC5" w:rsidRPr="00CC73F3" w:rsidRDefault="00070FC5" w:rsidP="00D639F5">
            <w:pPr>
              <w:numPr>
                <w:ilvl w:val="0"/>
                <w:numId w:val="37"/>
              </w:numPr>
              <w:contextualSpacing/>
              <w:rPr>
                <w:rFonts w:eastAsia="Calibri"/>
              </w:rPr>
            </w:pPr>
            <w:proofErr w:type="gramStart"/>
            <w:r w:rsidRPr="00CC73F3">
              <w:rPr>
                <w:rFonts w:eastAsia="Calibri"/>
              </w:rPr>
              <w:t>evaluated</w:t>
            </w:r>
            <w:proofErr w:type="gramEnd"/>
            <w:r w:rsidRPr="00CC73F3">
              <w:rPr>
                <w:rFonts w:eastAsia="Calibri"/>
              </w:rPr>
              <w:t xml:space="preserve"> whether our discussion would produce the intended result.</w:t>
            </w:r>
          </w:p>
          <w:p w:rsidR="00070FC5" w:rsidRPr="00CC73F3" w:rsidRDefault="00070FC5" w:rsidP="00D639F5">
            <w:pPr>
              <w:numPr>
                <w:ilvl w:val="0"/>
                <w:numId w:val="37"/>
              </w:numPr>
              <w:contextualSpacing/>
              <w:rPr>
                <w:rFonts w:eastAsia="Calibri"/>
              </w:rPr>
            </w:pPr>
            <w:proofErr w:type="gramStart"/>
            <w:r w:rsidRPr="00CC73F3">
              <w:rPr>
                <w:rFonts w:eastAsia="Calibri"/>
              </w:rPr>
              <w:t>discussed</w:t>
            </w:r>
            <w:proofErr w:type="gramEnd"/>
            <w:r w:rsidRPr="00CC73F3">
              <w:rPr>
                <w:rFonts w:eastAsia="Calibri"/>
              </w:rPr>
              <w:t xml:space="preserve"> the potential we thought products had to be successful.</w:t>
            </w:r>
          </w:p>
          <w:p w:rsidR="00070FC5" w:rsidRPr="00CC73F3" w:rsidRDefault="00070FC5" w:rsidP="00D639F5">
            <w:pPr>
              <w:numPr>
                <w:ilvl w:val="0"/>
                <w:numId w:val="37"/>
              </w:numPr>
              <w:contextualSpacing/>
              <w:rPr>
                <w:rFonts w:eastAsia="Calibri"/>
              </w:rPr>
            </w:pPr>
            <w:proofErr w:type="gramStart"/>
            <w:r w:rsidRPr="00CC73F3">
              <w:rPr>
                <w:rFonts w:eastAsia="Calibri"/>
              </w:rPr>
              <w:t>discussed</w:t>
            </w:r>
            <w:proofErr w:type="gramEnd"/>
            <w:r w:rsidRPr="00CC73F3">
              <w:rPr>
                <w:rFonts w:eastAsia="Calibri"/>
              </w:rPr>
              <w:t xml:space="preserve"> what types of consumers might buy these products (e.g. gender, age, lifestyle habits, etc.).</w:t>
            </w:r>
          </w:p>
          <w:p w:rsidR="00070FC5" w:rsidRPr="00CC73F3" w:rsidRDefault="00070FC5" w:rsidP="00D639F5">
            <w:pPr>
              <w:numPr>
                <w:ilvl w:val="0"/>
                <w:numId w:val="37"/>
              </w:numPr>
              <w:contextualSpacing/>
              <w:rPr>
                <w:rFonts w:eastAsia="Calibri"/>
              </w:rPr>
            </w:pPr>
            <w:r w:rsidRPr="00CC73F3">
              <w:rPr>
                <w:rFonts w:eastAsia="Calibri"/>
              </w:rPr>
              <w:t>picked the first response that came to mind, without much discussion (R)</w:t>
            </w:r>
          </w:p>
          <w:p w:rsidR="00070FC5" w:rsidRPr="00CC73F3" w:rsidRDefault="00070FC5" w:rsidP="00D639F5">
            <w:pPr>
              <w:numPr>
                <w:ilvl w:val="0"/>
                <w:numId w:val="37"/>
              </w:numPr>
              <w:contextualSpacing/>
              <w:rPr>
                <w:rFonts w:eastAsia="Calibri"/>
              </w:rPr>
            </w:pPr>
            <w:proofErr w:type="gramStart"/>
            <w:r w:rsidRPr="00CC73F3">
              <w:rPr>
                <w:rFonts w:eastAsia="Calibri"/>
              </w:rPr>
              <w:t>tried</w:t>
            </w:r>
            <w:proofErr w:type="gramEnd"/>
            <w:r w:rsidRPr="00CC73F3">
              <w:rPr>
                <w:rFonts w:eastAsia="Calibri"/>
              </w:rPr>
              <w:t xml:space="preserve"> to understand what each product was used for before making decisions or ratings.</w:t>
            </w:r>
          </w:p>
          <w:p w:rsidR="00070FC5" w:rsidRPr="00CC73F3" w:rsidRDefault="00070FC5" w:rsidP="00D639F5">
            <w:pPr>
              <w:numPr>
                <w:ilvl w:val="0"/>
                <w:numId w:val="37"/>
              </w:numPr>
              <w:contextualSpacing/>
              <w:rPr>
                <w:rFonts w:eastAsia="Calibri"/>
              </w:rPr>
            </w:pPr>
            <w:proofErr w:type="gramStart"/>
            <w:r w:rsidRPr="00CC73F3">
              <w:rPr>
                <w:rFonts w:eastAsia="Calibri"/>
              </w:rPr>
              <w:t>spent</w:t>
            </w:r>
            <w:proofErr w:type="gramEnd"/>
            <w:r w:rsidRPr="00CC73F3">
              <w:rPr>
                <w:rFonts w:eastAsia="Calibri"/>
              </w:rPr>
              <w:t xml:space="preserve"> a lot of time discussing products we disagreed about initially.</w:t>
            </w:r>
          </w:p>
          <w:p w:rsidR="00070FC5" w:rsidRPr="00CC73F3" w:rsidRDefault="00070FC5" w:rsidP="00D639F5">
            <w:pPr>
              <w:ind w:left="720"/>
              <w:contextualSpacing/>
              <w:rPr>
                <w:rFonts w:eastAsia="Calibri"/>
              </w:rPr>
            </w:pPr>
          </w:p>
        </w:tc>
        <w:tc>
          <w:tcPr>
            <w:tcW w:w="1800" w:type="dxa"/>
            <w:shd w:val="clear" w:color="auto" w:fill="auto"/>
            <w:vAlign w:val="center"/>
          </w:tcPr>
          <w:p w:rsidR="00070FC5" w:rsidRPr="00CC73F3" w:rsidRDefault="00070FC5" w:rsidP="00D639F5">
            <w:pPr>
              <w:jc w:val="center"/>
              <w:rPr>
                <w:rFonts w:eastAsia="Calibri"/>
              </w:rPr>
            </w:pPr>
            <w:r w:rsidRPr="00CC73F3">
              <w:rPr>
                <w:rFonts w:eastAsia="Calibri"/>
              </w:rPr>
              <w:t>Manipulation Check for Study 1 and 2</w:t>
            </w:r>
          </w:p>
        </w:tc>
        <w:tc>
          <w:tcPr>
            <w:tcW w:w="1098" w:type="dxa"/>
            <w:vAlign w:val="center"/>
          </w:tcPr>
          <w:p w:rsidR="00070FC5" w:rsidRPr="00CC73F3" w:rsidRDefault="00070FC5" w:rsidP="00D639F5">
            <w:pPr>
              <w:jc w:val="center"/>
              <w:rPr>
                <w:rFonts w:eastAsia="Calibri"/>
              </w:rPr>
            </w:pPr>
            <w:r w:rsidRPr="00CC73F3">
              <w:rPr>
                <w:rFonts w:eastAsia="Calibri"/>
              </w:rPr>
              <w:t>.75</w:t>
            </w:r>
          </w:p>
        </w:tc>
      </w:tr>
      <w:tr w:rsidR="00070FC5" w:rsidRPr="00CC73F3" w:rsidTr="00D639F5">
        <w:tc>
          <w:tcPr>
            <w:tcW w:w="6678" w:type="dxa"/>
            <w:shd w:val="clear" w:color="auto" w:fill="auto"/>
          </w:tcPr>
          <w:p w:rsidR="00070FC5" w:rsidRPr="00CC73F3" w:rsidRDefault="00070FC5" w:rsidP="00D639F5">
            <w:pPr>
              <w:rPr>
                <w:rFonts w:eastAsia="Calibri"/>
                <w:b/>
              </w:rPr>
            </w:pPr>
            <w:r w:rsidRPr="00CC73F3">
              <w:rPr>
                <w:rFonts w:eastAsia="Calibri"/>
                <w:b/>
              </w:rPr>
              <w:t>Cocreated New Product Concept Novelty</w:t>
            </w:r>
          </w:p>
          <w:p w:rsidR="00070FC5" w:rsidRPr="00CC73F3" w:rsidRDefault="00070FC5" w:rsidP="00D639F5">
            <w:pPr>
              <w:rPr>
                <w:rFonts w:eastAsia="Calibri"/>
              </w:rPr>
            </w:pPr>
            <w:r w:rsidRPr="00CC73F3">
              <w:rPr>
                <w:rFonts w:eastAsia="Calibri"/>
              </w:rPr>
              <w:t>Adopted from Im and Workman (2004)</w:t>
            </w:r>
          </w:p>
          <w:p w:rsidR="00070FC5" w:rsidRPr="00CC73F3" w:rsidRDefault="00070FC5" w:rsidP="00D639F5">
            <w:pPr>
              <w:rPr>
                <w:rFonts w:eastAsia="Calibri"/>
              </w:rPr>
            </w:pPr>
            <w:r w:rsidRPr="00CC73F3">
              <w:rPr>
                <w:rFonts w:eastAsia="Calibri"/>
              </w:rPr>
              <w:t>7-point Likert scale</w:t>
            </w:r>
          </w:p>
          <w:p w:rsidR="00070FC5" w:rsidRPr="00CC73F3" w:rsidRDefault="00070FC5" w:rsidP="00D639F5">
            <w:pPr>
              <w:rPr>
                <w:rFonts w:eastAsia="Calibri"/>
                <w:b/>
              </w:rPr>
            </w:pPr>
          </w:p>
          <w:p w:rsidR="00070FC5" w:rsidRPr="00CC73F3" w:rsidRDefault="00070FC5" w:rsidP="00D639F5">
            <w:pPr>
              <w:rPr>
                <w:rFonts w:eastAsia="Calibri"/>
              </w:rPr>
            </w:pPr>
            <w:r w:rsidRPr="00CC73F3">
              <w:rPr>
                <w:rFonts w:eastAsia="Calibri"/>
              </w:rPr>
              <w:t>Compared to products currently on the market, this new product concept…</w:t>
            </w:r>
          </w:p>
          <w:p w:rsidR="00070FC5" w:rsidRPr="00CC73F3" w:rsidRDefault="00070FC5" w:rsidP="00D639F5">
            <w:pPr>
              <w:numPr>
                <w:ilvl w:val="0"/>
                <w:numId w:val="34"/>
              </w:numPr>
              <w:contextualSpacing/>
              <w:rPr>
                <w:rFonts w:eastAsia="Calibri"/>
              </w:rPr>
            </w:pPr>
            <w:proofErr w:type="gramStart"/>
            <w:r w:rsidRPr="00CC73F3">
              <w:rPr>
                <w:rFonts w:eastAsia="Calibri"/>
              </w:rPr>
              <w:t>is</w:t>
            </w:r>
            <w:proofErr w:type="gramEnd"/>
            <w:r w:rsidRPr="00CC73F3">
              <w:rPr>
                <w:rFonts w:eastAsia="Calibri"/>
              </w:rPr>
              <w:t xml:space="preserve"> really “out of the ordinary.”</w:t>
            </w:r>
          </w:p>
          <w:p w:rsidR="00070FC5" w:rsidRPr="00CC73F3" w:rsidRDefault="00070FC5" w:rsidP="00D639F5">
            <w:pPr>
              <w:numPr>
                <w:ilvl w:val="0"/>
                <w:numId w:val="34"/>
              </w:numPr>
              <w:contextualSpacing/>
              <w:rPr>
                <w:rFonts w:eastAsia="Calibri"/>
              </w:rPr>
            </w:pPr>
            <w:proofErr w:type="gramStart"/>
            <w:r w:rsidRPr="00CC73F3">
              <w:rPr>
                <w:rFonts w:eastAsia="Calibri"/>
              </w:rPr>
              <w:t>can</w:t>
            </w:r>
            <w:proofErr w:type="gramEnd"/>
            <w:r w:rsidRPr="00CC73F3">
              <w:rPr>
                <w:rFonts w:eastAsia="Calibri"/>
              </w:rPr>
              <w:t xml:space="preserve"> be considered as revolutionary.</w:t>
            </w:r>
          </w:p>
          <w:p w:rsidR="00070FC5" w:rsidRPr="00CC73F3" w:rsidRDefault="00070FC5" w:rsidP="00D639F5">
            <w:pPr>
              <w:numPr>
                <w:ilvl w:val="0"/>
                <w:numId w:val="34"/>
              </w:numPr>
              <w:contextualSpacing/>
              <w:rPr>
                <w:rFonts w:eastAsia="Calibri"/>
              </w:rPr>
            </w:pPr>
            <w:proofErr w:type="gramStart"/>
            <w:r w:rsidRPr="00CC73F3">
              <w:rPr>
                <w:rFonts w:eastAsia="Calibri"/>
              </w:rPr>
              <w:t>provides</w:t>
            </w:r>
            <w:proofErr w:type="gramEnd"/>
            <w:r w:rsidRPr="00CC73F3">
              <w:rPr>
                <w:rFonts w:eastAsia="Calibri"/>
              </w:rPr>
              <w:t xml:space="preserve"> radical differences from industry norms.</w:t>
            </w:r>
          </w:p>
          <w:p w:rsidR="00070FC5" w:rsidRPr="00CC73F3" w:rsidRDefault="00070FC5" w:rsidP="00D639F5">
            <w:pPr>
              <w:numPr>
                <w:ilvl w:val="0"/>
                <w:numId w:val="34"/>
              </w:numPr>
              <w:contextualSpacing/>
              <w:rPr>
                <w:rFonts w:eastAsia="Calibri"/>
              </w:rPr>
            </w:pPr>
            <w:proofErr w:type="gramStart"/>
            <w:r w:rsidRPr="00CC73F3">
              <w:rPr>
                <w:rFonts w:eastAsia="Calibri"/>
              </w:rPr>
              <w:t>shows</w:t>
            </w:r>
            <w:proofErr w:type="gramEnd"/>
            <w:r w:rsidRPr="00CC73F3">
              <w:rPr>
                <w:rFonts w:eastAsia="Calibri"/>
              </w:rPr>
              <w:t xml:space="preserve"> an unconventional way of solving problems.</w:t>
            </w:r>
          </w:p>
          <w:p w:rsidR="00070FC5" w:rsidRPr="00CC73F3" w:rsidRDefault="00070FC5" w:rsidP="00D639F5">
            <w:pPr>
              <w:rPr>
                <w:rFonts w:eastAsia="Calibri"/>
                <w:b/>
              </w:rPr>
            </w:pPr>
          </w:p>
          <w:p w:rsidR="00070FC5" w:rsidRPr="00CC73F3" w:rsidRDefault="00070FC5" w:rsidP="00D639F5">
            <w:pPr>
              <w:rPr>
                <w:rFonts w:eastAsia="Calibri"/>
                <w:b/>
              </w:rPr>
            </w:pPr>
          </w:p>
        </w:tc>
        <w:tc>
          <w:tcPr>
            <w:tcW w:w="1800" w:type="dxa"/>
            <w:shd w:val="clear" w:color="auto" w:fill="auto"/>
            <w:vAlign w:val="center"/>
          </w:tcPr>
          <w:p w:rsidR="00070FC5" w:rsidRPr="00CC73F3" w:rsidRDefault="00070FC5" w:rsidP="00D639F5">
            <w:pPr>
              <w:jc w:val="center"/>
              <w:rPr>
                <w:rFonts w:eastAsia="Calibri"/>
              </w:rPr>
            </w:pPr>
            <w:r w:rsidRPr="00CC73F3">
              <w:rPr>
                <w:rFonts w:eastAsia="Calibri"/>
              </w:rPr>
              <w:t>Study 1</w:t>
            </w:r>
          </w:p>
        </w:tc>
        <w:tc>
          <w:tcPr>
            <w:tcW w:w="1098" w:type="dxa"/>
            <w:vAlign w:val="center"/>
          </w:tcPr>
          <w:p w:rsidR="00070FC5" w:rsidRPr="00CC73F3" w:rsidRDefault="00070FC5" w:rsidP="00D639F5">
            <w:pPr>
              <w:jc w:val="center"/>
              <w:rPr>
                <w:rFonts w:eastAsia="Calibri"/>
              </w:rPr>
            </w:pPr>
            <w:r w:rsidRPr="00CC73F3">
              <w:rPr>
                <w:rFonts w:eastAsia="Calibri"/>
              </w:rPr>
              <w:t>.73-.84</w:t>
            </w:r>
          </w:p>
        </w:tc>
      </w:tr>
      <w:tr w:rsidR="00070FC5" w:rsidRPr="00CC73F3" w:rsidTr="00D639F5">
        <w:tc>
          <w:tcPr>
            <w:tcW w:w="6678" w:type="dxa"/>
            <w:shd w:val="clear" w:color="auto" w:fill="auto"/>
          </w:tcPr>
          <w:p w:rsidR="00070FC5" w:rsidRPr="00CC73F3" w:rsidRDefault="00070FC5" w:rsidP="00D639F5">
            <w:pPr>
              <w:rPr>
                <w:rFonts w:eastAsia="Calibri"/>
                <w:b/>
              </w:rPr>
            </w:pPr>
          </w:p>
          <w:p w:rsidR="00070FC5" w:rsidRPr="00CC73F3" w:rsidRDefault="00070FC5" w:rsidP="00D639F5">
            <w:pPr>
              <w:rPr>
                <w:rFonts w:eastAsia="Calibri"/>
                <w:b/>
              </w:rPr>
            </w:pPr>
            <w:r w:rsidRPr="00CC73F3">
              <w:rPr>
                <w:rFonts w:eastAsia="Calibri"/>
                <w:b/>
              </w:rPr>
              <w:t>Cocreated New Product Concept Meaningfulness</w:t>
            </w:r>
          </w:p>
          <w:p w:rsidR="00070FC5" w:rsidRPr="00CC73F3" w:rsidRDefault="00070FC5" w:rsidP="00D639F5">
            <w:pPr>
              <w:rPr>
                <w:rFonts w:eastAsia="Calibri"/>
              </w:rPr>
            </w:pPr>
            <w:r w:rsidRPr="00CC73F3">
              <w:rPr>
                <w:rFonts w:eastAsia="Calibri"/>
              </w:rPr>
              <w:t>Adopted from Im and Workman (2004)</w:t>
            </w:r>
          </w:p>
          <w:p w:rsidR="00070FC5" w:rsidRPr="00CC73F3" w:rsidRDefault="00070FC5" w:rsidP="00D639F5">
            <w:pPr>
              <w:rPr>
                <w:rFonts w:eastAsia="Calibri"/>
              </w:rPr>
            </w:pPr>
            <w:r w:rsidRPr="00CC73F3">
              <w:rPr>
                <w:rFonts w:eastAsia="Calibri"/>
              </w:rPr>
              <w:t>7-point Likert scale</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Compared to products currently on the market, this new product concept…</w:t>
            </w:r>
          </w:p>
          <w:p w:rsidR="00070FC5" w:rsidRPr="00CC73F3" w:rsidRDefault="00070FC5" w:rsidP="00D639F5">
            <w:pPr>
              <w:numPr>
                <w:ilvl w:val="0"/>
                <w:numId w:val="33"/>
              </w:numPr>
              <w:contextualSpacing/>
              <w:rPr>
                <w:rFonts w:eastAsia="Calibri"/>
              </w:rPr>
            </w:pPr>
            <w:proofErr w:type="gramStart"/>
            <w:r w:rsidRPr="00CC73F3">
              <w:rPr>
                <w:rFonts w:eastAsia="Calibri"/>
              </w:rPr>
              <w:t>is</w:t>
            </w:r>
            <w:proofErr w:type="gramEnd"/>
            <w:r w:rsidRPr="00CC73F3">
              <w:rPr>
                <w:rFonts w:eastAsia="Calibri"/>
              </w:rPr>
              <w:t xml:space="preserve"> relevant to customers’ needs and expectations.</w:t>
            </w:r>
          </w:p>
          <w:p w:rsidR="00070FC5" w:rsidRPr="00CC73F3" w:rsidRDefault="00070FC5" w:rsidP="00D639F5">
            <w:pPr>
              <w:numPr>
                <w:ilvl w:val="0"/>
                <w:numId w:val="33"/>
              </w:numPr>
              <w:contextualSpacing/>
              <w:rPr>
                <w:rFonts w:eastAsia="Calibri"/>
              </w:rPr>
            </w:pPr>
            <w:proofErr w:type="gramStart"/>
            <w:r w:rsidRPr="00CC73F3">
              <w:rPr>
                <w:rFonts w:eastAsia="Calibri"/>
              </w:rPr>
              <w:t>is</w:t>
            </w:r>
            <w:proofErr w:type="gramEnd"/>
            <w:r w:rsidRPr="00CC73F3">
              <w:rPr>
                <w:rFonts w:eastAsia="Calibri"/>
              </w:rPr>
              <w:t xml:space="preserve"> considered suitable for customers’ desires.</w:t>
            </w:r>
          </w:p>
          <w:p w:rsidR="00070FC5" w:rsidRPr="00CC73F3" w:rsidRDefault="00070FC5" w:rsidP="00D639F5">
            <w:pPr>
              <w:numPr>
                <w:ilvl w:val="0"/>
                <w:numId w:val="33"/>
              </w:numPr>
              <w:contextualSpacing/>
              <w:rPr>
                <w:rFonts w:eastAsia="Calibri"/>
              </w:rPr>
            </w:pPr>
            <w:proofErr w:type="gramStart"/>
            <w:r w:rsidRPr="00CC73F3">
              <w:rPr>
                <w:rFonts w:eastAsia="Calibri"/>
              </w:rPr>
              <w:t>is</w:t>
            </w:r>
            <w:proofErr w:type="gramEnd"/>
            <w:r w:rsidRPr="00CC73F3">
              <w:rPr>
                <w:rFonts w:eastAsia="Calibri"/>
              </w:rPr>
              <w:t xml:space="preserve"> appropriate for customers’ needs and expectations.</w:t>
            </w:r>
          </w:p>
          <w:p w:rsidR="00070FC5" w:rsidRPr="00CC73F3" w:rsidRDefault="00070FC5" w:rsidP="00D639F5">
            <w:pPr>
              <w:numPr>
                <w:ilvl w:val="0"/>
                <w:numId w:val="33"/>
              </w:numPr>
              <w:contextualSpacing/>
              <w:rPr>
                <w:rFonts w:eastAsia="Calibri"/>
              </w:rPr>
            </w:pPr>
            <w:proofErr w:type="gramStart"/>
            <w:r w:rsidRPr="00CC73F3">
              <w:rPr>
                <w:rFonts w:eastAsia="Calibri"/>
              </w:rPr>
              <w:t>is</w:t>
            </w:r>
            <w:proofErr w:type="gramEnd"/>
            <w:r w:rsidRPr="00CC73F3">
              <w:rPr>
                <w:rFonts w:eastAsia="Calibri"/>
              </w:rPr>
              <w:t xml:space="preserve"> useful for customers.</w:t>
            </w:r>
          </w:p>
          <w:p w:rsidR="00070FC5" w:rsidRPr="00CC73F3" w:rsidRDefault="00070FC5" w:rsidP="00D639F5">
            <w:pPr>
              <w:rPr>
                <w:rFonts w:eastAsia="Calibri"/>
              </w:rPr>
            </w:pPr>
          </w:p>
          <w:p w:rsidR="00070FC5" w:rsidRPr="00CC73F3" w:rsidRDefault="00070FC5" w:rsidP="00D639F5">
            <w:pPr>
              <w:rPr>
                <w:rFonts w:eastAsia="Calibri"/>
              </w:rPr>
            </w:pPr>
          </w:p>
        </w:tc>
        <w:tc>
          <w:tcPr>
            <w:tcW w:w="1800" w:type="dxa"/>
            <w:shd w:val="clear" w:color="auto" w:fill="auto"/>
            <w:vAlign w:val="center"/>
          </w:tcPr>
          <w:p w:rsidR="00070FC5" w:rsidRPr="00CC73F3" w:rsidRDefault="00070FC5" w:rsidP="00D639F5">
            <w:pPr>
              <w:jc w:val="center"/>
              <w:rPr>
                <w:rFonts w:eastAsia="Calibri"/>
              </w:rPr>
            </w:pPr>
            <w:r w:rsidRPr="00CC73F3">
              <w:rPr>
                <w:rFonts w:eastAsia="Calibri"/>
              </w:rPr>
              <w:t>Study 1</w:t>
            </w:r>
          </w:p>
        </w:tc>
        <w:tc>
          <w:tcPr>
            <w:tcW w:w="1098" w:type="dxa"/>
            <w:vAlign w:val="center"/>
          </w:tcPr>
          <w:p w:rsidR="00070FC5" w:rsidRPr="00CC73F3" w:rsidRDefault="00070FC5" w:rsidP="00D639F5">
            <w:pPr>
              <w:jc w:val="center"/>
              <w:rPr>
                <w:rFonts w:eastAsia="Calibri"/>
              </w:rPr>
            </w:pPr>
            <w:r w:rsidRPr="00CC73F3">
              <w:rPr>
                <w:rFonts w:eastAsia="Calibri"/>
              </w:rPr>
              <w:t>.90-.95</w:t>
            </w:r>
          </w:p>
        </w:tc>
      </w:tr>
      <w:tr w:rsidR="00070FC5" w:rsidRPr="00CC73F3" w:rsidTr="00D639F5">
        <w:tc>
          <w:tcPr>
            <w:tcW w:w="6678" w:type="dxa"/>
            <w:shd w:val="clear" w:color="auto" w:fill="auto"/>
          </w:tcPr>
          <w:p w:rsidR="00070FC5" w:rsidRPr="00CC73F3" w:rsidRDefault="00070FC5" w:rsidP="00D639F5">
            <w:pPr>
              <w:rPr>
                <w:rFonts w:eastAsia="Calibri"/>
                <w:b/>
              </w:rPr>
            </w:pPr>
          </w:p>
          <w:p w:rsidR="00070FC5" w:rsidRPr="00CC73F3" w:rsidRDefault="00070FC5" w:rsidP="00D639F5">
            <w:pPr>
              <w:rPr>
                <w:rFonts w:eastAsia="Calibri"/>
                <w:b/>
              </w:rPr>
            </w:pPr>
            <w:r w:rsidRPr="00CC73F3">
              <w:rPr>
                <w:rFonts w:eastAsia="Calibri"/>
                <w:b/>
              </w:rPr>
              <w:t>Cocreated New Product Concept Feasibility</w:t>
            </w:r>
          </w:p>
          <w:p w:rsidR="00070FC5" w:rsidRPr="00CC73F3" w:rsidRDefault="00070FC5" w:rsidP="00D639F5">
            <w:pPr>
              <w:rPr>
                <w:rFonts w:eastAsia="Calibri"/>
              </w:rPr>
            </w:pPr>
            <w:r w:rsidRPr="00CC73F3">
              <w:rPr>
                <w:rFonts w:eastAsia="Calibri"/>
              </w:rPr>
              <w:t>7-point Likert scale</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Compared to products currently on the market, this new product concept…</w:t>
            </w:r>
          </w:p>
          <w:p w:rsidR="00070FC5" w:rsidRPr="00CC73F3" w:rsidRDefault="00070FC5" w:rsidP="00D639F5">
            <w:pPr>
              <w:numPr>
                <w:ilvl w:val="0"/>
                <w:numId w:val="32"/>
              </w:numPr>
              <w:contextualSpacing/>
              <w:rPr>
                <w:rFonts w:eastAsia="Calibri"/>
              </w:rPr>
            </w:pPr>
            <w:r w:rsidRPr="00CC73F3">
              <w:rPr>
                <w:rFonts w:eastAsia="Calibri"/>
              </w:rPr>
              <w:t>would be feasible for a company to make</w:t>
            </w:r>
          </w:p>
          <w:p w:rsidR="00070FC5" w:rsidRPr="00CC73F3" w:rsidRDefault="00070FC5" w:rsidP="00D639F5">
            <w:pPr>
              <w:numPr>
                <w:ilvl w:val="0"/>
                <w:numId w:val="32"/>
              </w:numPr>
              <w:contextualSpacing/>
              <w:rPr>
                <w:rFonts w:eastAsia="Calibri"/>
              </w:rPr>
            </w:pPr>
            <w:r w:rsidRPr="00CC73F3">
              <w:rPr>
                <w:rFonts w:eastAsia="Calibri"/>
              </w:rPr>
              <w:t>could be developed without difficulty</w:t>
            </w:r>
          </w:p>
          <w:p w:rsidR="00070FC5" w:rsidRPr="00CC73F3" w:rsidRDefault="00070FC5" w:rsidP="00D639F5">
            <w:pPr>
              <w:numPr>
                <w:ilvl w:val="0"/>
                <w:numId w:val="32"/>
              </w:numPr>
              <w:contextualSpacing/>
              <w:rPr>
                <w:rFonts w:eastAsia="Calibri"/>
              </w:rPr>
            </w:pPr>
            <w:r w:rsidRPr="00CC73F3">
              <w:rPr>
                <w:rFonts w:eastAsia="Calibri"/>
              </w:rPr>
              <w:t>would be practical to manufacture</w:t>
            </w: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tc>
        <w:tc>
          <w:tcPr>
            <w:tcW w:w="1800" w:type="dxa"/>
            <w:shd w:val="clear" w:color="auto" w:fill="auto"/>
            <w:vAlign w:val="center"/>
          </w:tcPr>
          <w:p w:rsidR="00070FC5" w:rsidRPr="00CC73F3" w:rsidRDefault="00070FC5" w:rsidP="00D639F5">
            <w:pPr>
              <w:jc w:val="center"/>
              <w:rPr>
                <w:rFonts w:eastAsia="Calibri"/>
              </w:rPr>
            </w:pPr>
            <w:r w:rsidRPr="00CC73F3">
              <w:rPr>
                <w:rFonts w:eastAsia="Calibri"/>
              </w:rPr>
              <w:t>Study 1</w:t>
            </w:r>
          </w:p>
        </w:tc>
        <w:tc>
          <w:tcPr>
            <w:tcW w:w="1098" w:type="dxa"/>
            <w:vAlign w:val="center"/>
          </w:tcPr>
          <w:p w:rsidR="00070FC5" w:rsidRPr="00CC73F3" w:rsidRDefault="00070FC5" w:rsidP="00D639F5">
            <w:pPr>
              <w:jc w:val="center"/>
              <w:rPr>
                <w:rFonts w:eastAsia="Calibri"/>
              </w:rPr>
            </w:pPr>
            <w:r w:rsidRPr="00CC73F3">
              <w:rPr>
                <w:rFonts w:eastAsia="Calibri"/>
              </w:rPr>
              <w:t>.68-.83</w:t>
            </w:r>
          </w:p>
        </w:tc>
      </w:tr>
      <w:tr w:rsidR="00070FC5" w:rsidRPr="00CC73F3" w:rsidTr="00D639F5">
        <w:tc>
          <w:tcPr>
            <w:tcW w:w="6678" w:type="dxa"/>
            <w:shd w:val="clear" w:color="auto" w:fill="auto"/>
          </w:tcPr>
          <w:p w:rsidR="00070FC5" w:rsidRPr="00CC73F3" w:rsidRDefault="00070FC5" w:rsidP="00D639F5">
            <w:pPr>
              <w:rPr>
                <w:rFonts w:eastAsia="Calibri"/>
                <w:b/>
              </w:rPr>
            </w:pPr>
            <w:r w:rsidRPr="00CC73F3">
              <w:rPr>
                <w:rFonts w:eastAsia="Calibri"/>
                <w:b/>
              </w:rPr>
              <w:t>Individual Regulatory Focus</w:t>
            </w:r>
          </w:p>
          <w:p w:rsidR="00070FC5" w:rsidRPr="00CC73F3" w:rsidRDefault="00070FC5" w:rsidP="00D639F5">
            <w:pPr>
              <w:rPr>
                <w:rFonts w:eastAsia="Calibri"/>
              </w:rPr>
            </w:pPr>
            <w:r w:rsidRPr="00CC73F3">
              <w:rPr>
                <w:rFonts w:eastAsia="Calibri"/>
              </w:rPr>
              <w:t>7-point Likert scale</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Promotion Focus (5 Measures)</w:t>
            </w:r>
          </w:p>
          <w:p w:rsidR="00070FC5" w:rsidRPr="00CC73F3" w:rsidRDefault="00070FC5" w:rsidP="00D639F5">
            <w:pPr>
              <w:numPr>
                <w:ilvl w:val="0"/>
                <w:numId w:val="29"/>
              </w:numPr>
              <w:contextualSpacing/>
              <w:rPr>
                <w:rFonts w:eastAsia="Calibri"/>
              </w:rPr>
            </w:pPr>
            <w:r w:rsidRPr="00CC73F3">
              <w:rPr>
                <w:rFonts w:eastAsia="Calibri"/>
              </w:rPr>
              <w:t>When it comes to achieving things that are important to me, I find that I don’t perform as well as I would ideally like to do.</w:t>
            </w:r>
          </w:p>
          <w:p w:rsidR="00070FC5" w:rsidRPr="00CC73F3" w:rsidRDefault="00070FC5" w:rsidP="00D639F5">
            <w:pPr>
              <w:numPr>
                <w:ilvl w:val="0"/>
                <w:numId w:val="29"/>
              </w:numPr>
              <w:contextualSpacing/>
              <w:rPr>
                <w:rFonts w:eastAsia="Calibri"/>
              </w:rPr>
            </w:pPr>
            <w:r w:rsidRPr="00CC73F3">
              <w:rPr>
                <w:rFonts w:eastAsia="Calibri"/>
              </w:rPr>
              <w:t>I feel like I have made progress toward being successful in my life.</w:t>
            </w:r>
          </w:p>
          <w:p w:rsidR="00070FC5" w:rsidRPr="00CC73F3" w:rsidRDefault="00070FC5" w:rsidP="00D639F5">
            <w:pPr>
              <w:numPr>
                <w:ilvl w:val="0"/>
                <w:numId w:val="29"/>
              </w:numPr>
              <w:contextualSpacing/>
              <w:rPr>
                <w:rFonts w:eastAsia="Calibri"/>
              </w:rPr>
            </w:pPr>
            <w:r w:rsidRPr="00CC73F3">
              <w:rPr>
                <w:rFonts w:eastAsia="Calibri"/>
              </w:rPr>
              <w:t>When I see an opportunity for something I like, I get excited right away.</w:t>
            </w:r>
          </w:p>
          <w:p w:rsidR="00070FC5" w:rsidRPr="00CC73F3" w:rsidRDefault="00070FC5" w:rsidP="00D639F5">
            <w:pPr>
              <w:numPr>
                <w:ilvl w:val="0"/>
                <w:numId w:val="29"/>
              </w:numPr>
              <w:contextualSpacing/>
              <w:rPr>
                <w:rFonts w:eastAsia="Calibri"/>
              </w:rPr>
            </w:pPr>
            <w:r w:rsidRPr="00CC73F3">
              <w:rPr>
                <w:rFonts w:eastAsia="Calibri"/>
              </w:rPr>
              <w:t>I frequently imagine how I will achieve my hopes and aspirations.</w:t>
            </w:r>
          </w:p>
          <w:p w:rsidR="00070FC5" w:rsidRPr="00CC73F3" w:rsidRDefault="00070FC5" w:rsidP="00D639F5">
            <w:pPr>
              <w:numPr>
                <w:ilvl w:val="0"/>
                <w:numId w:val="29"/>
              </w:numPr>
              <w:contextualSpacing/>
              <w:rPr>
                <w:rFonts w:eastAsia="Calibri"/>
              </w:rPr>
            </w:pPr>
            <w:r w:rsidRPr="00CC73F3">
              <w:rPr>
                <w:rFonts w:eastAsia="Calibri"/>
              </w:rPr>
              <w:t>I see myself as someone who is primarily striving to reach my “ideal self”—to fulfill my hopes, wishes, and aspirations.</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Prevention Focus (5 Measures)</w:t>
            </w:r>
          </w:p>
          <w:p w:rsidR="00070FC5" w:rsidRPr="00CC73F3" w:rsidRDefault="00070FC5" w:rsidP="00D639F5">
            <w:pPr>
              <w:numPr>
                <w:ilvl w:val="0"/>
                <w:numId w:val="30"/>
              </w:numPr>
              <w:contextualSpacing/>
              <w:rPr>
                <w:rFonts w:eastAsia="Calibri"/>
              </w:rPr>
            </w:pPr>
            <w:r w:rsidRPr="00CC73F3">
              <w:rPr>
                <w:rFonts w:eastAsia="Calibri"/>
              </w:rPr>
              <w:t>I usually obeyed rules and regulations that were established by my parents.</w:t>
            </w:r>
          </w:p>
          <w:p w:rsidR="00070FC5" w:rsidRPr="00CC73F3" w:rsidRDefault="00070FC5" w:rsidP="00D639F5">
            <w:pPr>
              <w:numPr>
                <w:ilvl w:val="0"/>
                <w:numId w:val="30"/>
              </w:numPr>
              <w:contextualSpacing/>
              <w:rPr>
                <w:rFonts w:eastAsia="Calibri"/>
              </w:rPr>
            </w:pPr>
            <w:r w:rsidRPr="00CC73F3">
              <w:rPr>
                <w:rFonts w:eastAsia="Calibri"/>
              </w:rPr>
              <w:t>Not being careful enough has gotten me into trouble at times.</w:t>
            </w:r>
          </w:p>
          <w:p w:rsidR="00070FC5" w:rsidRPr="00CC73F3" w:rsidRDefault="00070FC5" w:rsidP="00D639F5">
            <w:pPr>
              <w:numPr>
                <w:ilvl w:val="0"/>
                <w:numId w:val="30"/>
              </w:numPr>
              <w:contextualSpacing/>
              <w:rPr>
                <w:rFonts w:eastAsia="Calibri"/>
              </w:rPr>
            </w:pPr>
            <w:r w:rsidRPr="00CC73F3">
              <w:rPr>
                <w:rFonts w:eastAsia="Calibri"/>
              </w:rPr>
              <w:t>I worry about making mistakes.</w:t>
            </w:r>
          </w:p>
          <w:p w:rsidR="00070FC5" w:rsidRPr="00CC73F3" w:rsidRDefault="00070FC5" w:rsidP="00D639F5">
            <w:pPr>
              <w:numPr>
                <w:ilvl w:val="0"/>
                <w:numId w:val="30"/>
              </w:numPr>
              <w:contextualSpacing/>
              <w:rPr>
                <w:rFonts w:eastAsia="Calibri"/>
              </w:rPr>
            </w:pPr>
            <w:r w:rsidRPr="00CC73F3">
              <w:rPr>
                <w:rFonts w:eastAsia="Calibri"/>
              </w:rPr>
              <w:t>I frequently think about how I can prevent failures in my life.</w:t>
            </w:r>
          </w:p>
          <w:p w:rsidR="00070FC5" w:rsidRPr="00CC73F3" w:rsidRDefault="00070FC5" w:rsidP="00D639F5">
            <w:pPr>
              <w:numPr>
                <w:ilvl w:val="0"/>
                <w:numId w:val="30"/>
              </w:numPr>
              <w:contextualSpacing/>
              <w:rPr>
                <w:rFonts w:eastAsia="Calibri"/>
              </w:rPr>
            </w:pPr>
            <w:r w:rsidRPr="00CC73F3">
              <w:rPr>
                <w:rFonts w:eastAsia="Calibri"/>
              </w:rPr>
              <w:t>I see myself as someone who is primarily striving to become the self I “ought” to be—fulfill my duties, responsibilities and obligations.</w:t>
            </w: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p w:rsidR="00070FC5" w:rsidRPr="00CC73F3" w:rsidRDefault="00070FC5" w:rsidP="00D639F5">
            <w:pPr>
              <w:rPr>
                <w:rFonts w:eastAsia="Calibri"/>
                <w:b/>
              </w:rPr>
            </w:pPr>
          </w:p>
        </w:tc>
        <w:tc>
          <w:tcPr>
            <w:tcW w:w="1800" w:type="dxa"/>
            <w:shd w:val="clear" w:color="auto" w:fill="auto"/>
            <w:vAlign w:val="center"/>
          </w:tcPr>
          <w:p w:rsidR="00070FC5" w:rsidRPr="00CC73F3" w:rsidRDefault="00070FC5" w:rsidP="00D639F5">
            <w:pPr>
              <w:jc w:val="center"/>
              <w:rPr>
                <w:rFonts w:eastAsia="Calibri"/>
              </w:rPr>
            </w:pPr>
            <w:r w:rsidRPr="00CC73F3">
              <w:rPr>
                <w:rFonts w:eastAsia="Calibri"/>
              </w:rPr>
              <w:t>Study 1 and 2</w:t>
            </w:r>
          </w:p>
        </w:tc>
        <w:tc>
          <w:tcPr>
            <w:tcW w:w="1098" w:type="dxa"/>
            <w:vAlign w:val="center"/>
          </w:tcPr>
          <w:p w:rsidR="00070FC5" w:rsidRPr="00CC73F3" w:rsidRDefault="00070FC5" w:rsidP="00D639F5">
            <w:pPr>
              <w:jc w:val="center"/>
              <w:rPr>
                <w:rFonts w:eastAsia="Calibri"/>
              </w:rPr>
            </w:pPr>
            <w:r w:rsidRPr="00CC73F3">
              <w:rPr>
                <w:rFonts w:eastAsia="Calibri"/>
              </w:rPr>
              <w:t>.77</w:t>
            </w:r>
          </w:p>
        </w:tc>
      </w:tr>
      <w:tr w:rsidR="00070FC5" w:rsidRPr="00CC73F3" w:rsidTr="00D639F5">
        <w:tc>
          <w:tcPr>
            <w:tcW w:w="6678" w:type="dxa"/>
            <w:shd w:val="clear" w:color="auto" w:fill="auto"/>
          </w:tcPr>
          <w:p w:rsidR="00070FC5" w:rsidRPr="00CC73F3" w:rsidRDefault="00070FC5" w:rsidP="00D639F5">
            <w:pPr>
              <w:tabs>
                <w:tab w:val="left" w:pos="4215"/>
              </w:tabs>
              <w:rPr>
                <w:rFonts w:eastAsia="Calibri"/>
                <w:b/>
              </w:rPr>
            </w:pPr>
            <w:r w:rsidRPr="00CC73F3">
              <w:rPr>
                <w:rFonts w:eastAsia="Calibri"/>
                <w:b/>
              </w:rPr>
              <w:t>Individual Positive/Negative Affect</w:t>
            </w:r>
            <w:r w:rsidRPr="00CC73F3">
              <w:rPr>
                <w:rFonts w:eastAsia="Calibri"/>
                <w:b/>
              </w:rPr>
              <w:tab/>
            </w:r>
          </w:p>
          <w:p w:rsidR="00070FC5" w:rsidRPr="00CC73F3" w:rsidRDefault="00070FC5" w:rsidP="00D639F5">
            <w:pPr>
              <w:tabs>
                <w:tab w:val="left" w:pos="4215"/>
              </w:tabs>
              <w:rPr>
                <w:rFonts w:eastAsia="Calibri"/>
              </w:rPr>
            </w:pPr>
            <w:r w:rsidRPr="00CC73F3">
              <w:rPr>
                <w:rFonts w:eastAsia="Calibri"/>
              </w:rPr>
              <w:t>Watson et al. (1988) and Thompson (2007)</w:t>
            </w:r>
          </w:p>
          <w:p w:rsidR="00070FC5" w:rsidRPr="00CC73F3" w:rsidRDefault="00070FC5" w:rsidP="00D639F5">
            <w:pPr>
              <w:tabs>
                <w:tab w:val="left" w:pos="4215"/>
              </w:tabs>
              <w:rPr>
                <w:rFonts w:eastAsia="Calibri"/>
              </w:rPr>
            </w:pPr>
            <w:r w:rsidRPr="00CC73F3">
              <w:rPr>
                <w:rFonts w:eastAsia="Calibri"/>
              </w:rPr>
              <w:t>7-point Likert scale</w:t>
            </w:r>
          </w:p>
          <w:p w:rsidR="00070FC5" w:rsidRPr="00CC73F3" w:rsidRDefault="00070FC5" w:rsidP="00D639F5">
            <w:pPr>
              <w:tabs>
                <w:tab w:val="left" w:pos="4215"/>
              </w:tabs>
              <w:rPr>
                <w:rFonts w:eastAsia="Calibri"/>
              </w:rPr>
            </w:pPr>
          </w:p>
          <w:p w:rsidR="00070FC5" w:rsidRPr="00CC73F3" w:rsidRDefault="00070FC5" w:rsidP="00D639F5">
            <w:pPr>
              <w:tabs>
                <w:tab w:val="left" w:pos="4215"/>
              </w:tabs>
              <w:rPr>
                <w:rFonts w:eastAsia="Calibri"/>
              </w:rPr>
            </w:pPr>
            <w:r w:rsidRPr="00CC73F3">
              <w:rPr>
                <w:rFonts w:eastAsia="Calibri"/>
              </w:rPr>
              <w:t>Indicate to what extent you feel (today)…</w:t>
            </w:r>
          </w:p>
          <w:p w:rsidR="00070FC5" w:rsidRPr="00CC73F3" w:rsidRDefault="00070FC5" w:rsidP="00D639F5">
            <w:pPr>
              <w:numPr>
                <w:ilvl w:val="0"/>
                <w:numId w:val="36"/>
              </w:numPr>
              <w:contextualSpacing/>
              <w:rPr>
                <w:rFonts w:eastAsia="Calibri"/>
              </w:rPr>
            </w:pPr>
            <w:r w:rsidRPr="00CC73F3">
              <w:rPr>
                <w:rFonts w:eastAsia="Calibri"/>
              </w:rPr>
              <w:t>upset</w:t>
            </w:r>
          </w:p>
          <w:p w:rsidR="00070FC5" w:rsidRPr="00CC73F3" w:rsidRDefault="00070FC5" w:rsidP="00D639F5">
            <w:pPr>
              <w:numPr>
                <w:ilvl w:val="0"/>
                <w:numId w:val="36"/>
              </w:numPr>
              <w:contextualSpacing/>
              <w:rPr>
                <w:rFonts w:eastAsia="Calibri"/>
              </w:rPr>
            </w:pPr>
            <w:r w:rsidRPr="00CC73F3">
              <w:rPr>
                <w:rFonts w:eastAsia="Calibri"/>
              </w:rPr>
              <w:t>hostile</w:t>
            </w:r>
          </w:p>
          <w:p w:rsidR="00070FC5" w:rsidRPr="00CC73F3" w:rsidRDefault="00070FC5" w:rsidP="00D639F5">
            <w:pPr>
              <w:numPr>
                <w:ilvl w:val="0"/>
                <w:numId w:val="36"/>
              </w:numPr>
              <w:contextualSpacing/>
              <w:rPr>
                <w:rFonts w:eastAsia="Calibri"/>
              </w:rPr>
            </w:pPr>
            <w:r w:rsidRPr="00CC73F3">
              <w:rPr>
                <w:rFonts w:eastAsia="Calibri"/>
              </w:rPr>
              <w:t>alert</w:t>
            </w:r>
          </w:p>
          <w:p w:rsidR="00070FC5" w:rsidRPr="00CC73F3" w:rsidRDefault="00070FC5" w:rsidP="00D639F5">
            <w:pPr>
              <w:numPr>
                <w:ilvl w:val="0"/>
                <w:numId w:val="36"/>
              </w:numPr>
              <w:contextualSpacing/>
              <w:rPr>
                <w:rFonts w:eastAsia="Calibri"/>
              </w:rPr>
            </w:pPr>
            <w:r w:rsidRPr="00CC73F3">
              <w:rPr>
                <w:rFonts w:eastAsia="Calibri"/>
              </w:rPr>
              <w:t>ashamed</w:t>
            </w:r>
          </w:p>
          <w:p w:rsidR="00070FC5" w:rsidRPr="00CC73F3" w:rsidRDefault="00070FC5" w:rsidP="00D639F5">
            <w:pPr>
              <w:numPr>
                <w:ilvl w:val="0"/>
                <w:numId w:val="36"/>
              </w:numPr>
              <w:contextualSpacing/>
              <w:rPr>
                <w:rFonts w:eastAsia="Calibri"/>
              </w:rPr>
            </w:pPr>
            <w:r w:rsidRPr="00CC73F3">
              <w:rPr>
                <w:rFonts w:eastAsia="Calibri"/>
              </w:rPr>
              <w:t>inspired</w:t>
            </w:r>
          </w:p>
          <w:p w:rsidR="00070FC5" w:rsidRPr="00CC73F3" w:rsidRDefault="00070FC5" w:rsidP="00D639F5">
            <w:pPr>
              <w:numPr>
                <w:ilvl w:val="0"/>
                <w:numId w:val="36"/>
              </w:numPr>
              <w:contextualSpacing/>
              <w:rPr>
                <w:rFonts w:eastAsia="Calibri"/>
              </w:rPr>
            </w:pPr>
            <w:r w:rsidRPr="00CC73F3">
              <w:rPr>
                <w:rFonts w:eastAsia="Calibri"/>
              </w:rPr>
              <w:t>nervous</w:t>
            </w:r>
          </w:p>
          <w:p w:rsidR="00070FC5" w:rsidRPr="00CC73F3" w:rsidRDefault="00070FC5" w:rsidP="00D639F5">
            <w:pPr>
              <w:numPr>
                <w:ilvl w:val="0"/>
                <w:numId w:val="36"/>
              </w:numPr>
              <w:contextualSpacing/>
              <w:rPr>
                <w:rFonts w:eastAsia="Calibri"/>
              </w:rPr>
            </w:pPr>
            <w:r w:rsidRPr="00CC73F3">
              <w:rPr>
                <w:rFonts w:eastAsia="Calibri"/>
              </w:rPr>
              <w:t>determined</w:t>
            </w:r>
          </w:p>
          <w:p w:rsidR="00070FC5" w:rsidRPr="00CC73F3" w:rsidRDefault="00070FC5" w:rsidP="00D639F5">
            <w:pPr>
              <w:numPr>
                <w:ilvl w:val="0"/>
                <w:numId w:val="36"/>
              </w:numPr>
              <w:contextualSpacing/>
              <w:rPr>
                <w:rFonts w:eastAsia="Calibri"/>
              </w:rPr>
            </w:pPr>
            <w:r w:rsidRPr="00CC73F3">
              <w:rPr>
                <w:rFonts w:eastAsia="Calibri"/>
              </w:rPr>
              <w:t>attentive</w:t>
            </w:r>
          </w:p>
          <w:p w:rsidR="00070FC5" w:rsidRPr="00CC73F3" w:rsidRDefault="00070FC5" w:rsidP="00D639F5">
            <w:pPr>
              <w:numPr>
                <w:ilvl w:val="0"/>
                <w:numId w:val="36"/>
              </w:numPr>
              <w:contextualSpacing/>
              <w:rPr>
                <w:rFonts w:eastAsia="Calibri"/>
              </w:rPr>
            </w:pPr>
            <w:r w:rsidRPr="00CC73F3">
              <w:rPr>
                <w:rFonts w:eastAsia="Calibri"/>
              </w:rPr>
              <w:t>active</w:t>
            </w:r>
          </w:p>
          <w:p w:rsidR="00070FC5" w:rsidRPr="00CC73F3" w:rsidRDefault="00070FC5" w:rsidP="00D639F5">
            <w:pPr>
              <w:numPr>
                <w:ilvl w:val="0"/>
                <w:numId w:val="36"/>
              </w:numPr>
              <w:contextualSpacing/>
              <w:rPr>
                <w:rFonts w:eastAsia="Calibri"/>
              </w:rPr>
            </w:pPr>
            <w:r w:rsidRPr="00CC73F3">
              <w:rPr>
                <w:rFonts w:eastAsia="Calibri"/>
              </w:rPr>
              <w:t>afraid</w:t>
            </w:r>
          </w:p>
          <w:p w:rsidR="00070FC5" w:rsidRPr="00CC73F3" w:rsidRDefault="00070FC5" w:rsidP="00D639F5">
            <w:pPr>
              <w:tabs>
                <w:tab w:val="left" w:pos="4215"/>
              </w:tabs>
              <w:rPr>
                <w:rFonts w:eastAsia="Calibri"/>
                <w:b/>
              </w:rPr>
            </w:pPr>
          </w:p>
          <w:p w:rsidR="00070FC5" w:rsidRPr="00CC73F3" w:rsidRDefault="00070FC5" w:rsidP="00D639F5">
            <w:pPr>
              <w:tabs>
                <w:tab w:val="left" w:pos="4215"/>
              </w:tabs>
              <w:rPr>
                <w:rFonts w:eastAsia="Calibri"/>
                <w:b/>
              </w:rPr>
            </w:pPr>
          </w:p>
        </w:tc>
        <w:tc>
          <w:tcPr>
            <w:tcW w:w="1800" w:type="dxa"/>
            <w:shd w:val="clear" w:color="auto" w:fill="auto"/>
            <w:vAlign w:val="center"/>
          </w:tcPr>
          <w:p w:rsidR="00070FC5" w:rsidRPr="00CC73F3" w:rsidRDefault="00070FC5" w:rsidP="00D639F5">
            <w:pPr>
              <w:jc w:val="center"/>
              <w:rPr>
                <w:rFonts w:eastAsia="Calibri"/>
              </w:rPr>
            </w:pPr>
            <w:r w:rsidRPr="00CC73F3">
              <w:rPr>
                <w:rFonts w:eastAsia="Calibri"/>
              </w:rPr>
              <w:t>Study 1 and 2</w:t>
            </w:r>
          </w:p>
        </w:tc>
        <w:tc>
          <w:tcPr>
            <w:tcW w:w="1098" w:type="dxa"/>
            <w:vAlign w:val="center"/>
          </w:tcPr>
          <w:p w:rsidR="00070FC5" w:rsidRPr="00CC73F3" w:rsidRDefault="00070FC5" w:rsidP="00D639F5">
            <w:pPr>
              <w:jc w:val="center"/>
              <w:rPr>
                <w:rFonts w:eastAsia="Calibri"/>
              </w:rPr>
            </w:pPr>
            <w:r w:rsidRPr="00CC73F3">
              <w:rPr>
                <w:rFonts w:eastAsia="Calibri"/>
              </w:rPr>
              <w:t>.77</w:t>
            </w:r>
          </w:p>
        </w:tc>
      </w:tr>
      <w:tr w:rsidR="00070FC5" w:rsidRPr="00CC73F3" w:rsidTr="00D639F5">
        <w:tc>
          <w:tcPr>
            <w:tcW w:w="6678" w:type="dxa"/>
            <w:shd w:val="clear" w:color="auto" w:fill="auto"/>
          </w:tcPr>
          <w:p w:rsidR="00070FC5" w:rsidRPr="00CC73F3" w:rsidRDefault="00070FC5" w:rsidP="00D639F5">
            <w:pPr>
              <w:rPr>
                <w:rFonts w:eastAsia="Calibri"/>
                <w:b/>
              </w:rPr>
            </w:pPr>
            <w:r w:rsidRPr="00CC73F3">
              <w:rPr>
                <w:rFonts w:eastAsia="Calibri"/>
                <w:b/>
              </w:rPr>
              <w:t>Willingness to Consider Purchase</w:t>
            </w:r>
          </w:p>
          <w:p w:rsidR="00070FC5" w:rsidRPr="00CC73F3" w:rsidRDefault="00070FC5" w:rsidP="00D639F5">
            <w:pPr>
              <w:rPr>
                <w:rFonts w:eastAsia="Calibri"/>
              </w:rPr>
            </w:pPr>
            <w:r w:rsidRPr="00CC73F3">
              <w:rPr>
                <w:rFonts w:eastAsia="Calibri"/>
              </w:rPr>
              <w:t>Berens, Riel, and Bruggen (2005)</w:t>
            </w:r>
          </w:p>
          <w:p w:rsidR="00070FC5" w:rsidRPr="00CC73F3" w:rsidRDefault="00070FC5" w:rsidP="00D639F5">
            <w:pPr>
              <w:rPr>
                <w:rFonts w:eastAsia="Calibri"/>
                <w:b/>
              </w:rPr>
            </w:pPr>
            <w:r w:rsidRPr="00CC73F3">
              <w:rPr>
                <w:rFonts w:eastAsia="Calibri"/>
              </w:rPr>
              <w:t>7-point Likert scale</w:t>
            </w:r>
            <w:r w:rsidRPr="00CC73F3">
              <w:rPr>
                <w:rFonts w:eastAsia="Calibri"/>
                <w:b/>
              </w:rPr>
              <w:t xml:space="preserve"> </w:t>
            </w:r>
          </w:p>
          <w:p w:rsidR="00070FC5" w:rsidRPr="00CC73F3" w:rsidRDefault="00070FC5" w:rsidP="00D639F5">
            <w:pPr>
              <w:rPr>
                <w:rFonts w:eastAsia="Calibri"/>
                <w:b/>
              </w:rPr>
            </w:pPr>
          </w:p>
          <w:p w:rsidR="00070FC5" w:rsidRPr="00CC73F3" w:rsidRDefault="00070FC5" w:rsidP="00D639F5">
            <w:pPr>
              <w:numPr>
                <w:ilvl w:val="0"/>
                <w:numId w:val="31"/>
              </w:numPr>
              <w:contextualSpacing/>
              <w:rPr>
                <w:rFonts w:eastAsia="Calibri"/>
              </w:rPr>
            </w:pPr>
            <w:r w:rsidRPr="00CC73F3">
              <w:rPr>
                <w:rFonts w:eastAsia="Calibri"/>
              </w:rPr>
              <w:t>If you were planning to buy a product of this type, would you choose this product?</w:t>
            </w:r>
          </w:p>
          <w:p w:rsidR="00070FC5" w:rsidRPr="00CC73F3" w:rsidRDefault="00070FC5" w:rsidP="00D639F5">
            <w:pPr>
              <w:numPr>
                <w:ilvl w:val="0"/>
                <w:numId w:val="31"/>
              </w:numPr>
              <w:contextualSpacing/>
              <w:rPr>
                <w:rFonts w:eastAsia="Calibri"/>
              </w:rPr>
            </w:pPr>
            <w:r w:rsidRPr="00CC73F3">
              <w:rPr>
                <w:rFonts w:eastAsia="Calibri"/>
              </w:rPr>
              <w:t>Would you purchase this product?</w:t>
            </w:r>
          </w:p>
          <w:p w:rsidR="00070FC5" w:rsidRPr="00CC73F3" w:rsidRDefault="00070FC5" w:rsidP="00D639F5">
            <w:pPr>
              <w:numPr>
                <w:ilvl w:val="0"/>
                <w:numId w:val="31"/>
              </w:numPr>
              <w:contextualSpacing/>
              <w:rPr>
                <w:rFonts w:eastAsia="Calibri"/>
              </w:rPr>
            </w:pPr>
            <w:r w:rsidRPr="00CC73F3">
              <w:rPr>
                <w:rFonts w:eastAsia="Calibri"/>
              </w:rPr>
              <w:t>If a friend were looking for a product of this type, would you advise him or her to consider purchasing this product?</w:t>
            </w:r>
          </w:p>
          <w:p w:rsidR="00070FC5" w:rsidRPr="00CC73F3" w:rsidRDefault="00070FC5" w:rsidP="00D639F5">
            <w:pPr>
              <w:rPr>
                <w:rFonts w:eastAsia="Calibri"/>
                <w:b/>
              </w:rPr>
            </w:pPr>
          </w:p>
          <w:p w:rsidR="00070FC5" w:rsidRPr="00CC73F3" w:rsidRDefault="00070FC5" w:rsidP="00D639F5">
            <w:pPr>
              <w:rPr>
                <w:rFonts w:eastAsia="Calibri"/>
                <w:b/>
              </w:rPr>
            </w:pPr>
          </w:p>
        </w:tc>
        <w:tc>
          <w:tcPr>
            <w:tcW w:w="1800" w:type="dxa"/>
            <w:shd w:val="clear" w:color="auto" w:fill="auto"/>
            <w:vAlign w:val="center"/>
          </w:tcPr>
          <w:p w:rsidR="00070FC5" w:rsidRPr="00CC73F3" w:rsidRDefault="00070FC5" w:rsidP="00D639F5">
            <w:pPr>
              <w:jc w:val="center"/>
              <w:rPr>
                <w:rFonts w:eastAsia="Calibri"/>
              </w:rPr>
            </w:pPr>
            <w:r w:rsidRPr="00CC73F3">
              <w:rPr>
                <w:rFonts w:eastAsia="Calibri"/>
              </w:rPr>
              <w:t>Study 3</w:t>
            </w:r>
          </w:p>
        </w:tc>
        <w:tc>
          <w:tcPr>
            <w:tcW w:w="1098" w:type="dxa"/>
            <w:vAlign w:val="center"/>
          </w:tcPr>
          <w:p w:rsidR="00070FC5" w:rsidRPr="00CC73F3" w:rsidRDefault="00070FC5" w:rsidP="00CE4FEF">
            <w:pPr>
              <w:jc w:val="center"/>
              <w:rPr>
                <w:rFonts w:eastAsia="Calibri"/>
              </w:rPr>
            </w:pPr>
            <w:r w:rsidRPr="00CC73F3">
              <w:rPr>
                <w:rFonts w:eastAsia="Calibri"/>
              </w:rPr>
              <w:t>.</w:t>
            </w:r>
            <w:r w:rsidR="00CE4FEF">
              <w:rPr>
                <w:rFonts w:eastAsia="Calibri"/>
              </w:rPr>
              <w:t>81</w:t>
            </w:r>
          </w:p>
        </w:tc>
      </w:tr>
      <w:tr w:rsidR="00070FC5" w:rsidRPr="00CC73F3" w:rsidTr="00D639F5">
        <w:tc>
          <w:tcPr>
            <w:tcW w:w="6678" w:type="dxa"/>
            <w:tcBorders>
              <w:bottom w:val="single" w:sz="18" w:space="0" w:color="auto"/>
            </w:tcBorders>
            <w:shd w:val="clear" w:color="auto" w:fill="auto"/>
          </w:tcPr>
          <w:p w:rsidR="00070FC5" w:rsidRPr="00CC73F3" w:rsidRDefault="00070FC5" w:rsidP="00D639F5">
            <w:pPr>
              <w:rPr>
                <w:rFonts w:eastAsia="Calibri"/>
                <w:b/>
              </w:rPr>
            </w:pPr>
            <w:r w:rsidRPr="00CC73F3">
              <w:rPr>
                <w:rFonts w:eastAsia="Calibri"/>
                <w:b/>
              </w:rPr>
              <w:t>Product Type (Hedonic/Utilitarian)</w:t>
            </w:r>
          </w:p>
          <w:p w:rsidR="00070FC5" w:rsidRPr="00CC73F3" w:rsidRDefault="00070FC5" w:rsidP="00D639F5">
            <w:pPr>
              <w:rPr>
                <w:rFonts w:eastAsia="Calibri"/>
              </w:rPr>
            </w:pPr>
            <w:r w:rsidRPr="00CC73F3">
              <w:rPr>
                <w:rFonts w:eastAsia="Calibri"/>
              </w:rPr>
              <w:t>Wakefield and Inman (2003)</w:t>
            </w:r>
          </w:p>
          <w:p w:rsidR="00070FC5" w:rsidRPr="00CC73F3" w:rsidRDefault="00070FC5" w:rsidP="00D639F5">
            <w:pPr>
              <w:rPr>
                <w:rFonts w:eastAsia="Calibri"/>
              </w:rPr>
            </w:pPr>
            <w:r w:rsidRPr="00CC73F3">
              <w:rPr>
                <w:rFonts w:eastAsia="Calibri"/>
              </w:rPr>
              <w:t>7-point semantic differential scale</w:t>
            </w:r>
          </w:p>
          <w:p w:rsidR="00070FC5" w:rsidRPr="00CC73F3" w:rsidRDefault="00070FC5" w:rsidP="00D639F5">
            <w:pPr>
              <w:rPr>
                <w:rFonts w:eastAsia="Calibri"/>
              </w:rPr>
            </w:pPr>
          </w:p>
          <w:p w:rsidR="00070FC5" w:rsidRPr="00CC73F3" w:rsidRDefault="00070FC5" w:rsidP="00D639F5">
            <w:pPr>
              <w:rPr>
                <w:rFonts w:eastAsia="Calibri"/>
              </w:rPr>
            </w:pPr>
            <w:r w:rsidRPr="00CC73F3">
              <w:rPr>
                <w:rFonts w:eastAsia="Calibri"/>
              </w:rPr>
              <w:t>Think of the situation in which each of the following products would be typically used:</w:t>
            </w:r>
          </w:p>
          <w:p w:rsidR="00070FC5" w:rsidRPr="00CC73F3" w:rsidRDefault="00070FC5" w:rsidP="00D639F5">
            <w:pPr>
              <w:rPr>
                <w:rFonts w:eastAsia="Calibri"/>
              </w:rPr>
            </w:pPr>
            <w:r w:rsidRPr="00CC73F3">
              <w:rPr>
                <w:rFonts w:eastAsia="Calibri"/>
              </w:rPr>
              <w:t>1.</w:t>
            </w:r>
            <w:r w:rsidRPr="00CC73F3">
              <w:rPr>
                <w:rFonts w:eastAsia="Calibri"/>
              </w:rPr>
              <w:tab/>
              <w:t>Practical Purposes/Just for Fun</w:t>
            </w:r>
          </w:p>
          <w:p w:rsidR="00070FC5" w:rsidRPr="00CC73F3" w:rsidRDefault="00070FC5" w:rsidP="00D639F5">
            <w:pPr>
              <w:rPr>
                <w:rFonts w:eastAsia="Calibri"/>
              </w:rPr>
            </w:pPr>
            <w:r w:rsidRPr="00CC73F3">
              <w:rPr>
                <w:rFonts w:eastAsia="Calibri"/>
              </w:rPr>
              <w:t>2.</w:t>
            </w:r>
            <w:r w:rsidRPr="00CC73F3">
              <w:rPr>
                <w:rFonts w:eastAsia="Calibri"/>
              </w:rPr>
              <w:tab/>
              <w:t>Purely Functional/ Pure Enjoyment</w:t>
            </w:r>
          </w:p>
          <w:p w:rsidR="00070FC5" w:rsidRPr="00CC73F3" w:rsidRDefault="00070FC5" w:rsidP="00D639F5">
            <w:pPr>
              <w:rPr>
                <w:rFonts w:eastAsia="Calibri"/>
              </w:rPr>
            </w:pPr>
            <w:r w:rsidRPr="00CC73F3">
              <w:rPr>
                <w:rFonts w:eastAsia="Calibri"/>
              </w:rPr>
              <w:t>3.</w:t>
            </w:r>
            <w:r w:rsidRPr="00CC73F3">
              <w:rPr>
                <w:rFonts w:eastAsia="Calibri"/>
              </w:rPr>
              <w:tab/>
              <w:t>For a Routine need/For Pleasure</w:t>
            </w:r>
          </w:p>
          <w:p w:rsidR="00070FC5" w:rsidRPr="00CC73F3" w:rsidRDefault="00070FC5" w:rsidP="00D639F5">
            <w:pPr>
              <w:rPr>
                <w:rFonts w:eastAsia="Calibri"/>
                <w:b/>
              </w:rPr>
            </w:pPr>
          </w:p>
        </w:tc>
        <w:tc>
          <w:tcPr>
            <w:tcW w:w="1800" w:type="dxa"/>
            <w:tcBorders>
              <w:bottom w:val="single" w:sz="18" w:space="0" w:color="auto"/>
            </w:tcBorders>
            <w:shd w:val="clear" w:color="auto" w:fill="auto"/>
            <w:vAlign w:val="center"/>
          </w:tcPr>
          <w:p w:rsidR="00070FC5" w:rsidRPr="00CC73F3" w:rsidRDefault="00070FC5" w:rsidP="00D639F5">
            <w:pPr>
              <w:jc w:val="center"/>
              <w:rPr>
                <w:rFonts w:eastAsia="Calibri"/>
              </w:rPr>
            </w:pPr>
            <w:r w:rsidRPr="00CC73F3">
              <w:rPr>
                <w:rFonts w:eastAsia="Calibri"/>
              </w:rPr>
              <w:t>Study 3</w:t>
            </w:r>
          </w:p>
        </w:tc>
        <w:tc>
          <w:tcPr>
            <w:tcW w:w="1098" w:type="dxa"/>
            <w:tcBorders>
              <w:bottom w:val="single" w:sz="18" w:space="0" w:color="auto"/>
            </w:tcBorders>
            <w:vAlign w:val="center"/>
          </w:tcPr>
          <w:p w:rsidR="00070FC5" w:rsidRPr="00CC73F3" w:rsidRDefault="00070FC5" w:rsidP="00DA324F">
            <w:pPr>
              <w:jc w:val="center"/>
              <w:rPr>
                <w:rFonts w:eastAsia="Calibri"/>
              </w:rPr>
            </w:pPr>
            <w:r w:rsidRPr="00CC73F3">
              <w:rPr>
                <w:rFonts w:eastAsia="Calibri"/>
              </w:rPr>
              <w:t>.</w:t>
            </w:r>
            <w:r w:rsidR="00DA324F">
              <w:rPr>
                <w:rFonts w:eastAsia="Calibri"/>
              </w:rPr>
              <w:t>80</w:t>
            </w:r>
          </w:p>
        </w:tc>
      </w:tr>
    </w:tbl>
    <w:p w:rsidR="00070FC5" w:rsidRPr="00CC73F3" w:rsidRDefault="00070FC5" w:rsidP="00D639F5">
      <w:pPr>
        <w:pStyle w:val="Heading2"/>
      </w:pPr>
      <w:bookmarkStart w:id="292" w:name="_Toc420572651"/>
      <w:proofErr w:type="gramStart"/>
      <w:r w:rsidRPr="00CC73F3">
        <w:t>Appendix 2.</w:t>
      </w:r>
      <w:proofErr w:type="gramEnd"/>
      <w:r w:rsidRPr="00CC73F3">
        <w:t xml:space="preserve"> Study 1 Product Concepts</w:t>
      </w:r>
      <w:bookmarkEnd w:id="292"/>
    </w:p>
    <w:p w:rsidR="00070FC5" w:rsidRPr="00CC73F3" w:rsidRDefault="007E2E0A" w:rsidP="00D639F5">
      <w:pPr>
        <w:jc w:val="center"/>
        <w:rPr>
          <w:noProof/>
        </w:rPr>
      </w:pPr>
      <w:r>
        <w:rPr>
          <w:noProof/>
        </w:rPr>
        <w:pict>
          <v:shape id="_x0000_i1038" type="#_x0000_t75" style="width:304.5pt;height:258pt;visibility:visible">
            <v:imagedata r:id="rId26" o:title=""/>
          </v:shape>
        </w:pict>
      </w:r>
    </w:p>
    <w:p w:rsidR="00070FC5" w:rsidRPr="00CC73F3" w:rsidRDefault="00070FC5" w:rsidP="00D639F5">
      <w:pPr>
        <w:jc w:val="center"/>
        <w:rPr>
          <w:noProof/>
        </w:rPr>
      </w:pPr>
    </w:p>
    <w:p w:rsidR="00070FC5" w:rsidRPr="00CC73F3" w:rsidRDefault="007E2E0A" w:rsidP="00D639F5">
      <w:pPr>
        <w:jc w:val="center"/>
        <w:rPr>
          <w:noProof/>
        </w:rPr>
      </w:pPr>
      <w:r>
        <w:rPr>
          <w:noProof/>
        </w:rPr>
        <w:pict>
          <v:shape id="Picture 2" o:spid="_x0000_i1039" type="#_x0000_t75" style="width:291pt;height:266.25pt;visibility:visible">
            <v:imagedata r:id="rId27" o:title=""/>
          </v:shape>
        </w:pict>
      </w:r>
    </w:p>
    <w:p w:rsidR="00070FC5" w:rsidRPr="00CC73F3" w:rsidRDefault="007E2E0A" w:rsidP="00D639F5">
      <w:pPr>
        <w:jc w:val="center"/>
      </w:pPr>
      <w:r>
        <w:rPr>
          <w:noProof/>
        </w:rPr>
        <w:pict>
          <v:shape id="Picture 3" o:spid="_x0000_i1040" type="#_x0000_t75" style="width:381pt;height:247.5pt;visibility:visible">
            <v:imagedata r:id="rId28" o:title=""/>
          </v:shape>
        </w:pict>
      </w:r>
    </w:p>
    <w:p w:rsidR="00070FC5" w:rsidRPr="00CC73F3" w:rsidRDefault="00070FC5" w:rsidP="00D639F5"/>
    <w:p w:rsidR="00070FC5" w:rsidRPr="00CC73F3" w:rsidRDefault="007E2E0A" w:rsidP="00D639F5">
      <w:pPr>
        <w:jc w:val="center"/>
        <w:rPr>
          <w:noProof/>
        </w:rPr>
      </w:pPr>
      <w:r>
        <w:rPr>
          <w:noProof/>
        </w:rPr>
        <w:pict>
          <v:shape id="Picture 4" o:spid="_x0000_i1041" type="#_x0000_t75" style="width:345.75pt;height:267.75pt;visibility:visible">
            <v:imagedata r:id="rId29" o:title=""/>
          </v:shape>
        </w:pict>
      </w:r>
    </w:p>
    <w:p w:rsidR="00070FC5" w:rsidRPr="00CC73F3" w:rsidRDefault="00070FC5" w:rsidP="00D639F5">
      <w:pPr>
        <w:jc w:val="center"/>
      </w:pPr>
    </w:p>
    <w:p w:rsidR="00070FC5" w:rsidRPr="00CC73F3" w:rsidRDefault="007E2E0A" w:rsidP="00D639F5">
      <w:pPr>
        <w:pStyle w:val="ListParagraph"/>
        <w:spacing w:line="240" w:lineRule="auto"/>
        <w:ind w:left="0"/>
        <w:jc w:val="center"/>
      </w:pPr>
      <w:r>
        <w:rPr>
          <w:noProof/>
        </w:rPr>
        <w:pict>
          <v:shape id="Picture 5" o:spid="_x0000_i1042" type="#_x0000_t75" style="width:311.25pt;height:283.5pt;visibility:visible">
            <v:imagedata r:id="rId30" o:title=""/>
          </v:shape>
        </w:pict>
      </w:r>
    </w:p>
    <w:p w:rsidR="00070FC5" w:rsidRPr="00CC73F3" w:rsidRDefault="00070FC5" w:rsidP="00D639F5">
      <w:pPr>
        <w:pStyle w:val="Heading2"/>
      </w:pPr>
      <w:r w:rsidRPr="00CC73F3">
        <w:br w:type="page"/>
      </w:r>
      <w:bookmarkStart w:id="293" w:name="_Toc420572652"/>
      <w:proofErr w:type="gramStart"/>
      <w:r w:rsidRPr="00CC73F3">
        <w:t>Appendix 3.</w:t>
      </w:r>
      <w:proofErr w:type="gramEnd"/>
      <w:r w:rsidRPr="00CC73F3">
        <w:t xml:space="preserve"> Study 2 Product Sets</w:t>
      </w:r>
      <w:bookmarkEnd w:id="293"/>
    </w:p>
    <w:p w:rsidR="00070FC5" w:rsidRPr="00CC73F3" w:rsidRDefault="007E2E0A" w:rsidP="00D639F5">
      <w:pPr>
        <w:pStyle w:val="ListParagraph"/>
        <w:spacing w:line="240" w:lineRule="auto"/>
        <w:ind w:left="0"/>
        <w:jc w:val="center"/>
      </w:pPr>
      <w:r>
        <w:rPr>
          <w:noProof/>
        </w:rPr>
        <w:pict>
          <v:shape id="Picture 6" o:spid="_x0000_i1043" type="#_x0000_t75" style="width:282pt;height:176.25pt;visibility:visible">
            <v:imagedata r:id="rId31" o:title=""/>
          </v:shape>
        </w:pict>
      </w:r>
    </w:p>
    <w:p w:rsidR="00070FC5" w:rsidRPr="00CC73F3" w:rsidRDefault="00070FC5" w:rsidP="00D639F5">
      <w:pPr>
        <w:pStyle w:val="ListParagraph"/>
        <w:spacing w:line="240" w:lineRule="auto"/>
        <w:ind w:left="0"/>
      </w:pPr>
    </w:p>
    <w:p w:rsidR="00070FC5" w:rsidRPr="00CC73F3" w:rsidRDefault="007E2E0A" w:rsidP="00D639F5">
      <w:pPr>
        <w:pStyle w:val="ListParagraph"/>
        <w:spacing w:line="240" w:lineRule="auto"/>
        <w:ind w:left="0"/>
        <w:jc w:val="center"/>
      </w:pPr>
      <w:r>
        <w:rPr>
          <w:noProof/>
        </w:rPr>
        <w:pict>
          <v:shape id="Picture 7" o:spid="_x0000_i1044" type="#_x0000_t75" style="width:280.5pt;height:175.5pt;visibility:visible">
            <v:imagedata r:id="rId32" o:title=""/>
          </v:shape>
        </w:pict>
      </w:r>
    </w:p>
    <w:p w:rsidR="00070FC5" w:rsidRPr="00CC73F3" w:rsidRDefault="007E2E0A" w:rsidP="00D639F5">
      <w:pPr>
        <w:pStyle w:val="ListParagraph"/>
        <w:spacing w:line="240" w:lineRule="auto"/>
        <w:ind w:left="0"/>
        <w:jc w:val="center"/>
      </w:pPr>
      <w:r>
        <w:rPr>
          <w:noProof/>
        </w:rPr>
        <w:pict>
          <v:shape id="Picture 8" o:spid="_x0000_i1045" type="#_x0000_t75" style="width:276pt;height:172.5pt;visibility:visible">
            <v:imagedata r:id="rId33" o:title=""/>
          </v:shape>
        </w:pict>
      </w:r>
    </w:p>
    <w:p w:rsidR="00070FC5" w:rsidRPr="00CC73F3" w:rsidRDefault="00070FC5" w:rsidP="00D639F5">
      <w:pPr>
        <w:pStyle w:val="ListParagraph"/>
        <w:spacing w:line="240" w:lineRule="auto"/>
        <w:ind w:left="0"/>
        <w:rPr>
          <w:b/>
        </w:rPr>
      </w:pPr>
    </w:p>
    <w:p w:rsidR="00070FC5" w:rsidRPr="00CC73F3" w:rsidRDefault="00070FC5" w:rsidP="00D639F5">
      <w:pPr>
        <w:pStyle w:val="ListParagraph"/>
        <w:spacing w:line="240" w:lineRule="auto"/>
        <w:ind w:left="0"/>
        <w:rPr>
          <w:b/>
        </w:rPr>
      </w:pPr>
      <w:r w:rsidRPr="00CC73F3">
        <w:rPr>
          <w:b/>
        </w:rPr>
        <w:t>Mobile Phone Accessories Product Set:</w:t>
      </w:r>
    </w:p>
    <w:p w:rsidR="00070FC5" w:rsidRPr="00CC73F3" w:rsidRDefault="007E2E0A" w:rsidP="00D639F5">
      <w:pPr>
        <w:pStyle w:val="ListParagraph"/>
        <w:spacing w:line="240" w:lineRule="auto"/>
        <w:ind w:left="0"/>
        <w:jc w:val="center"/>
      </w:pPr>
      <w:r>
        <w:rPr>
          <w:noProof/>
        </w:rPr>
        <w:pict>
          <v:shape id="Picture 9" o:spid="_x0000_i1046" type="#_x0000_t75" style="width:293.25pt;height:183.75pt;visibility:visible">
            <v:imagedata r:id="rId34" o:title=""/>
          </v:shape>
        </w:pict>
      </w:r>
    </w:p>
    <w:p w:rsidR="00070FC5" w:rsidRPr="00CC73F3" w:rsidRDefault="007E2E0A" w:rsidP="00D639F5">
      <w:pPr>
        <w:pStyle w:val="ListParagraph"/>
        <w:spacing w:line="240" w:lineRule="auto"/>
        <w:ind w:left="0"/>
        <w:jc w:val="center"/>
      </w:pPr>
      <w:r>
        <w:rPr>
          <w:noProof/>
        </w:rPr>
        <w:pict>
          <v:shape id="Picture 10" o:spid="_x0000_i1047" type="#_x0000_t75" style="width:297pt;height:185.25pt;visibility:visible">
            <v:imagedata r:id="rId35" o:title=""/>
          </v:shape>
        </w:pict>
      </w:r>
    </w:p>
    <w:p w:rsidR="00070FC5" w:rsidRPr="00CC73F3" w:rsidRDefault="007E2E0A" w:rsidP="00D639F5">
      <w:pPr>
        <w:pStyle w:val="ListParagraph"/>
        <w:spacing w:line="240" w:lineRule="auto"/>
        <w:ind w:left="0"/>
        <w:jc w:val="center"/>
      </w:pPr>
      <w:r>
        <w:rPr>
          <w:noProof/>
        </w:rPr>
        <w:pict>
          <v:shape id="Picture 11" o:spid="_x0000_i1048" type="#_x0000_t75" style="width:295.5pt;height:184.5pt;visibility:visible">
            <v:imagedata r:id="rId36" o:title=""/>
          </v:shape>
        </w:pict>
      </w:r>
    </w:p>
    <w:p w:rsidR="00070FC5" w:rsidRPr="00CC73F3" w:rsidRDefault="00070FC5" w:rsidP="00D639F5">
      <w:pPr>
        <w:pStyle w:val="ListParagraph"/>
        <w:spacing w:line="240" w:lineRule="auto"/>
        <w:ind w:left="0"/>
        <w:rPr>
          <w:b/>
        </w:rPr>
      </w:pPr>
      <w:r w:rsidRPr="00CC73F3">
        <w:rPr>
          <w:b/>
        </w:rPr>
        <w:t>Cord Organization Product Set:</w:t>
      </w:r>
    </w:p>
    <w:p w:rsidR="00070FC5" w:rsidRPr="00CC73F3" w:rsidRDefault="007E2E0A" w:rsidP="00D639F5">
      <w:pPr>
        <w:pStyle w:val="ListParagraph"/>
        <w:spacing w:line="240" w:lineRule="auto"/>
        <w:ind w:left="0"/>
        <w:jc w:val="center"/>
      </w:pPr>
      <w:r>
        <w:rPr>
          <w:noProof/>
        </w:rPr>
        <w:pict>
          <v:shape id="Picture 20" o:spid="_x0000_i1049" type="#_x0000_t75" style="width:299.25pt;height:186.75pt;visibility:visible">
            <v:imagedata r:id="rId37" o:title=""/>
          </v:shape>
        </w:pict>
      </w:r>
      <w:r>
        <w:rPr>
          <w:noProof/>
        </w:rPr>
        <w:pict>
          <v:shape id="Picture 21" o:spid="_x0000_i1050" type="#_x0000_t75" style="width:293.25pt;height:183.75pt;visibility:visible">
            <v:imagedata r:id="rId38" o:title=""/>
          </v:shape>
        </w:pict>
      </w:r>
      <w:r>
        <w:rPr>
          <w:noProof/>
        </w:rPr>
        <w:pict>
          <v:shape id="Picture 22" o:spid="_x0000_i1051" type="#_x0000_t75" style="width:304.5pt;height:190.5pt;visibility:visible">
            <v:imagedata r:id="rId39" o:title=""/>
          </v:shape>
        </w:pict>
      </w:r>
    </w:p>
    <w:p w:rsidR="00070FC5" w:rsidRPr="00CC73F3" w:rsidRDefault="00070FC5" w:rsidP="00D639F5">
      <w:pPr>
        <w:pStyle w:val="Heading1"/>
      </w:pPr>
      <w:r w:rsidRPr="00CC73F3">
        <w:br w:type="page"/>
      </w:r>
      <w:bookmarkStart w:id="294" w:name="_Toc420572653"/>
      <w:r w:rsidRPr="00CC73F3">
        <w:t>Vita</w:t>
      </w:r>
      <w:bookmarkEnd w:id="294"/>
    </w:p>
    <w:p w:rsidR="00070FC5" w:rsidRDefault="00070FC5" w:rsidP="00D639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rsidRPr="00CC73F3">
        <w:tab/>
        <w:t>Matthew B. Shaner will join the marketing faculty at George Mason University in Fairfax, Virginia, an assistant professor in the fall semester of 2015. Prior to joining the PhD program at the University of Tennessee, Matthew earned a bachelor’s degree in communication management from Harding University (2001) in Searcy, Arkansas and a master’s of business administration degree from Missouri University of Science and Technology (2011) in Rolla, Missouri.  Matthew’s professional experience includes working in corporate communications roles for economic development and higher education organizations, and in public relations and advertising consulting various corporate and non-profit clients.</w:t>
      </w:r>
    </w:p>
    <w:p w:rsidR="00070FC5" w:rsidRDefault="00070FC5" w:rsidP="00D639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p>
    <w:p w:rsidR="00070FC5" w:rsidRDefault="00070FC5" w:rsidP="00D639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p>
    <w:p w:rsidR="00070FC5" w:rsidRPr="00F920F6" w:rsidRDefault="00070FC5" w:rsidP="00D639F5">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pPr>
      <w:r>
        <w:tab/>
      </w:r>
    </w:p>
    <w:p w:rsidR="005D57CF" w:rsidRDefault="005D57CF"/>
    <w:sectPr w:rsidR="005D57CF" w:rsidSect="00D639F5">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52C5" w:rsidRDefault="00F952C5" w:rsidP="00070FC5">
      <w:r>
        <w:separator/>
      </w:r>
    </w:p>
  </w:endnote>
  <w:endnote w:type="continuationSeparator" w:id="0">
    <w:p w:rsidR="00F952C5" w:rsidRDefault="00F952C5" w:rsidP="00070F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E0A" w:rsidRDefault="007E2E0A">
    <w:pPr>
      <w:pStyle w:val="Footer"/>
      <w:jc w:val="center"/>
    </w:pPr>
    <w:r>
      <w:fldChar w:fldCharType="begin"/>
    </w:r>
    <w:r>
      <w:instrText xml:space="preserve"> PAGE   \* MERGEFORMAT </w:instrText>
    </w:r>
    <w:r>
      <w:fldChar w:fldCharType="separate"/>
    </w:r>
    <w:r w:rsidR="001C0800">
      <w:rPr>
        <w:noProof/>
      </w:rPr>
      <w:t>55</w:t>
    </w:r>
    <w:r>
      <w:rPr>
        <w:noProof/>
      </w:rPr>
      <w:fldChar w:fldCharType="end"/>
    </w:r>
  </w:p>
  <w:p w:rsidR="007E2E0A" w:rsidRDefault="007E2E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E0A" w:rsidRDefault="007E2E0A">
    <w:pPr>
      <w:pStyle w:val="Footer"/>
      <w:jc w:val="center"/>
    </w:pPr>
  </w:p>
  <w:p w:rsidR="007E2E0A" w:rsidRDefault="007E2E0A">
    <w:pPr>
      <w:pStyle w:val="Footer"/>
    </w:pPr>
  </w:p>
  <w:p w:rsidR="007E2E0A" w:rsidRDefault="007E2E0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52C5" w:rsidRDefault="00F952C5" w:rsidP="00070FC5">
      <w:r>
        <w:separator/>
      </w:r>
    </w:p>
  </w:footnote>
  <w:footnote w:type="continuationSeparator" w:id="0">
    <w:p w:rsidR="00F952C5" w:rsidRDefault="00F952C5" w:rsidP="00070FC5">
      <w:r>
        <w:continuationSeparator/>
      </w:r>
    </w:p>
  </w:footnote>
  <w:footnote w:id="1">
    <w:p w:rsidR="007E2E0A" w:rsidRDefault="007E2E0A" w:rsidP="00D639F5">
      <w:pPr>
        <w:pStyle w:val="FootnoteText"/>
      </w:pPr>
      <w:r>
        <w:rPr>
          <w:rStyle w:val="FootnoteReference"/>
        </w:rPr>
        <w:footnoteRef/>
      </w:r>
      <w:r>
        <w:t xml:space="preserve"> The codes that indicated a willingness to evaluate a product beyond what was explicitly stated in the product submission were: </w:t>
      </w:r>
      <w:r w:rsidRPr="00E0153B">
        <w:rPr>
          <w:i/>
        </w:rPr>
        <w:t>explore further</w:t>
      </w:r>
      <w:r>
        <w:t xml:space="preserve">, </w:t>
      </w:r>
      <w:r w:rsidRPr="00E0153B">
        <w:rPr>
          <w:i/>
        </w:rPr>
        <w:t>future projects</w:t>
      </w:r>
      <w:r>
        <w:t xml:space="preserve">, </w:t>
      </w:r>
      <w:r w:rsidRPr="00E0153B">
        <w:rPr>
          <w:i/>
        </w:rPr>
        <w:t>multiple uses</w:t>
      </w:r>
      <w:r>
        <w:t xml:space="preserve">, </w:t>
      </w:r>
      <w:r w:rsidRPr="00E21EAA">
        <w:rPr>
          <w:i/>
        </w:rPr>
        <w:t>product growth potential</w:t>
      </w:r>
      <w:r>
        <w:t xml:space="preserve">, and </w:t>
      </w:r>
      <w:r w:rsidRPr="00E0153B">
        <w:rPr>
          <w:i/>
        </w:rPr>
        <w:t>suggested enhancements</w:t>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E0A" w:rsidRDefault="007E2E0A" w:rsidP="00D639F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E2E0A" w:rsidRDefault="007E2E0A" w:rsidP="00D639F5">
    <w:pPr>
      <w:spacing w:line="34" w:lineRule="auto"/>
      <w:ind w:right="36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E0A" w:rsidRDefault="007E2E0A" w:rsidP="00D639F5">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537A2">
      <w:rPr>
        <w:rStyle w:val="PageNumber"/>
        <w:noProof/>
      </w:rPr>
      <w:t>iv</w:t>
    </w:r>
    <w:r>
      <w:rPr>
        <w:rStyle w:val="PageNumber"/>
      </w:rPr>
      <w:fldChar w:fldCharType="end"/>
    </w:r>
  </w:p>
  <w:p w:rsidR="007E2E0A" w:rsidRDefault="007E2E0A" w:rsidP="00D639F5">
    <w:pPr>
      <w:spacing w:line="34" w:lineRule="auto"/>
      <w:ind w:right="36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2E0A" w:rsidRDefault="007E2E0A">
    <w:pPr>
      <w:pStyle w:val="Header"/>
      <w:jc w:val="right"/>
    </w:pPr>
    <w:r>
      <w:fldChar w:fldCharType="begin"/>
    </w:r>
    <w:r>
      <w:instrText xml:space="preserve"> PAGE   \* MERGEFORMAT </w:instrText>
    </w:r>
    <w:r>
      <w:fldChar w:fldCharType="separate"/>
    </w:r>
    <w:r w:rsidR="001C0800">
      <w:rPr>
        <w:noProof/>
      </w:rPr>
      <w:t>126</w:t>
    </w:r>
    <w:r>
      <w:rPr>
        <w:noProof/>
      </w:rPr>
      <w:fldChar w:fldCharType="end"/>
    </w:r>
  </w:p>
  <w:p w:rsidR="007E2E0A" w:rsidRDefault="007E2E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C62B8D"/>
    <w:multiLevelType w:val="hybridMultilevel"/>
    <w:tmpl w:val="D7EAAF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78767B"/>
    <w:multiLevelType w:val="hybridMultilevel"/>
    <w:tmpl w:val="34D40C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3657A4C"/>
    <w:multiLevelType w:val="hybridMultilevel"/>
    <w:tmpl w:val="950A0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227ED1"/>
    <w:multiLevelType w:val="hybridMultilevel"/>
    <w:tmpl w:val="B288A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82821FD"/>
    <w:multiLevelType w:val="hybridMultilevel"/>
    <w:tmpl w:val="4522A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82738D"/>
    <w:multiLevelType w:val="hybridMultilevel"/>
    <w:tmpl w:val="7902A4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B4C0AC4"/>
    <w:multiLevelType w:val="hybridMultilevel"/>
    <w:tmpl w:val="B09E3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6D0D0C"/>
    <w:multiLevelType w:val="hybridMultilevel"/>
    <w:tmpl w:val="93EAF35E"/>
    <w:lvl w:ilvl="0" w:tplc="AC42E46A">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9F4410"/>
    <w:multiLevelType w:val="hybridMultilevel"/>
    <w:tmpl w:val="D50CE6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A15B7"/>
    <w:multiLevelType w:val="hybridMultilevel"/>
    <w:tmpl w:val="74E86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F86B2B"/>
    <w:multiLevelType w:val="hybridMultilevel"/>
    <w:tmpl w:val="6E0C60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B361F36"/>
    <w:multiLevelType w:val="hybridMultilevel"/>
    <w:tmpl w:val="32B25B5A"/>
    <w:lvl w:ilvl="0" w:tplc="6AF6DBC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8158EF"/>
    <w:multiLevelType w:val="hybridMultilevel"/>
    <w:tmpl w:val="2AE851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31172FE"/>
    <w:multiLevelType w:val="hybridMultilevel"/>
    <w:tmpl w:val="92DED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5B65ED9"/>
    <w:multiLevelType w:val="hybridMultilevel"/>
    <w:tmpl w:val="00AC1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6A83640"/>
    <w:multiLevelType w:val="hybridMultilevel"/>
    <w:tmpl w:val="F0603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3E0B76"/>
    <w:multiLevelType w:val="hybridMultilevel"/>
    <w:tmpl w:val="BB68FB20"/>
    <w:lvl w:ilvl="0" w:tplc="AC42E46A">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8916F2D"/>
    <w:multiLevelType w:val="hybridMultilevel"/>
    <w:tmpl w:val="E5688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B103DC6"/>
    <w:multiLevelType w:val="hybridMultilevel"/>
    <w:tmpl w:val="FF367A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D7A4DAF"/>
    <w:multiLevelType w:val="hybridMultilevel"/>
    <w:tmpl w:val="E96800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DCF072E"/>
    <w:multiLevelType w:val="hybridMultilevel"/>
    <w:tmpl w:val="64DA8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FB20764"/>
    <w:multiLevelType w:val="hybridMultilevel"/>
    <w:tmpl w:val="396EBF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10D09B8"/>
    <w:multiLevelType w:val="hybridMultilevel"/>
    <w:tmpl w:val="34B6A9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41D6779"/>
    <w:multiLevelType w:val="hybridMultilevel"/>
    <w:tmpl w:val="D75A4F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4BC454B"/>
    <w:multiLevelType w:val="hybridMultilevel"/>
    <w:tmpl w:val="328C9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D984122"/>
    <w:multiLevelType w:val="hybridMultilevel"/>
    <w:tmpl w:val="E35272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E7719AE"/>
    <w:multiLevelType w:val="hybridMultilevel"/>
    <w:tmpl w:val="B4C8FA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0D8701C"/>
    <w:multiLevelType w:val="hybridMultilevel"/>
    <w:tmpl w:val="7D349AD8"/>
    <w:lvl w:ilvl="0" w:tplc="AC42E46A">
      <w:start w:val="5"/>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4147EF4"/>
    <w:multiLevelType w:val="hybridMultilevel"/>
    <w:tmpl w:val="50DEE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76F3FCB"/>
    <w:multiLevelType w:val="hybridMultilevel"/>
    <w:tmpl w:val="2BFE0F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9F8719D"/>
    <w:multiLevelType w:val="hybridMultilevel"/>
    <w:tmpl w:val="443648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FA3580E"/>
    <w:multiLevelType w:val="hybridMultilevel"/>
    <w:tmpl w:val="9CB2D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513D617E"/>
    <w:multiLevelType w:val="hybridMultilevel"/>
    <w:tmpl w:val="D93C5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72B6012"/>
    <w:multiLevelType w:val="hybridMultilevel"/>
    <w:tmpl w:val="CC207F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79D795A"/>
    <w:multiLevelType w:val="hybridMultilevel"/>
    <w:tmpl w:val="7AC2D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DF70E89"/>
    <w:multiLevelType w:val="hybridMultilevel"/>
    <w:tmpl w:val="9132CE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E077443"/>
    <w:multiLevelType w:val="hybridMultilevel"/>
    <w:tmpl w:val="B2E8F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EF65D7D"/>
    <w:multiLevelType w:val="hybridMultilevel"/>
    <w:tmpl w:val="FF2CB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37255D7"/>
    <w:multiLevelType w:val="hybridMultilevel"/>
    <w:tmpl w:val="A47E2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E44DF5"/>
    <w:multiLevelType w:val="hybridMultilevel"/>
    <w:tmpl w:val="49DE622E"/>
    <w:lvl w:ilvl="0" w:tplc="BBD2D8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6A9408A"/>
    <w:multiLevelType w:val="hybridMultilevel"/>
    <w:tmpl w:val="4CEA2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72952C3"/>
    <w:multiLevelType w:val="hybridMultilevel"/>
    <w:tmpl w:val="06BC9D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7FB4DFB"/>
    <w:multiLevelType w:val="hybridMultilevel"/>
    <w:tmpl w:val="D3667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84579FB"/>
    <w:multiLevelType w:val="hybridMultilevel"/>
    <w:tmpl w:val="CDAE03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93020CB"/>
    <w:multiLevelType w:val="hybridMultilevel"/>
    <w:tmpl w:val="6DF6C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FB375AC"/>
    <w:multiLevelType w:val="hybridMultilevel"/>
    <w:tmpl w:val="350C89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DD5510"/>
    <w:multiLevelType w:val="hybridMultilevel"/>
    <w:tmpl w:val="01E06046"/>
    <w:lvl w:ilvl="0" w:tplc="138E8A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BCC232B"/>
    <w:multiLevelType w:val="hybridMultilevel"/>
    <w:tmpl w:val="D3ECB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4"/>
  </w:num>
  <w:num w:numId="3">
    <w:abstractNumId w:val="36"/>
  </w:num>
  <w:num w:numId="4">
    <w:abstractNumId w:val="30"/>
  </w:num>
  <w:num w:numId="5">
    <w:abstractNumId w:val="47"/>
  </w:num>
  <w:num w:numId="6">
    <w:abstractNumId w:val="20"/>
  </w:num>
  <w:num w:numId="7">
    <w:abstractNumId w:val="25"/>
  </w:num>
  <w:num w:numId="8">
    <w:abstractNumId w:val="17"/>
  </w:num>
  <w:num w:numId="9">
    <w:abstractNumId w:val="4"/>
  </w:num>
  <w:num w:numId="10">
    <w:abstractNumId w:val="1"/>
  </w:num>
  <w:num w:numId="11">
    <w:abstractNumId w:val="34"/>
  </w:num>
  <w:num w:numId="12">
    <w:abstractNumId w:val="22"/>
  </w:num>
  <w:num w:numId="13">
    <w:abstractNumId w:val="12"/>
  </w:num>
  <w:num w:numId="14">
    <w:abstractNumId w:val="42"/>
  </w:num>
  <w:num w:numId="15">
    <w:abstractNumId w:val="31"/>
  </w:num>
  <w:num w:numId="16">
    <w:abstractNumId w:val="14"/>
  </w:num>
  <w:num w:numId="17">
    <w:abstractNumId w:val="45"/>
  </w:num>
  <w:num w:numId="18">
    <w:abstractNumId w:val="8"/>
  </w:num>
  <w:num w:numId="19">
    <w:abstractNumId w:val="5"/>
  </w:num>
  <w:num w:numId="20">
    <w:abstractNumId w:val="15"/>
  </w:num>
  <w:num w:numId="21">
    <w:abstractNumId w:val="29"/>
  </w:num>
  <w:num w:numId="22">
    <w:abstractNumId w:val="32"/>
  </w:num>
  <w:num w:numId="23">
    <w:abstractNumId w:val="38"/>
  </w:num>
  <w:num w:numId="24">
    <w:abstractNumId w:val="44"/>
  </w:num>
  <w:num w:numId="25">
    <w:abstractNumId w:val="0"/>
  </w:num>
  <w:num w:numId="26">
    <w:abstractNumId w:val="28"/>
  </w:num>
  <w:num w:numId="27">
    <w:abstractNumId w:val="9"/>
  </w:num>
  <w:num w:numId="28">
    <w:abstractNumId w:val="43"/>
  </w:num>
  <w:num w:numId="29">
    <w:abstractNumId w:val="21"/>
  </w:num>
  <w:num w:numId="30">
    <w:abstractNumId w:val="2"/>
  </w:num>
  <w:num w:numId="31">
    <w:abstractNumId w:val="39"/>
  </w:num>
  <w:num w:numId="32">
    <w:abstractNumId w:val="33"/>
  </w:num>
  <w:num w:numId="33">
    <w:abstractNumId w:val="41"/>
  </w:num>
  <w:num w:numId="34">
    <w:abstractNumId w:val="10"/>
  </w:num>
  <w:num w:numId="35">
    <w:abstractNumId w:val="19"/>
  </w:num>
  <w:num w:numId="36">
    <w:abstractNumId w:val="23"/>
  </w:num>
  <w:num w:numId="37">
    <w:abstractNumId w:val="26"/>
  </w:num>
  <w:num w:numId="38">
    <w:abstractNumId w:val="7"/>
  </w:num>
  <w:num w:numId="39">
    <w:abstractNumId w:val="16"/>
  </w:num>
  <w:num w:numId="40">
    <w:abstractNumId w:val="18"/>
  </w:num>
  <w:num w:numId="41">
    <w:abstractNumId w:val="6"/>
  </w:num>
  <w:num w:numId="42">
    <w:abstractNumId w:val="46"/>
  </w:num>
  <w:num w:numId="43">
    <w:abstractNumId w:val="3"/>
  </w:num>
  <w:num w:numId="44">
    <w:abstractNumId w:val="37"/>
  </w:num>
  <w:num w:numId="45">
    <w:abstractNumId w:val="40"/>
  </w:num>
  <w:num w:numId="46">
    <w:abstractNumId w:val="35"/>
  </w:num>
  <w:num w:numId="47">
    <w:abstractNumId w:val="27"/>
  </w:num>
  <w:num w:numId="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wNzeyNDEwtDQzNLUwtTBW0lEKTi0uzszPAykwqgUA126SiCwAAAA="/>
    <w:docVar w:name="EN.InstantFormat" w:val="&lt;ENInstantFormat&gt;&lt;Enabled&gt;1&lt;/Enabled&gt;&lt;ScanUnformatted&gt;1&lt;/ScanUnformatted&gt;&lt;ScanChanges&gt;1&lt;/ScanChanges&gt;&lt;Suspended&gt;1&lt;/Suspended&gt;&lt;/ENInstantFormat&gt;"/>
  </w:docVars>
  <w:rsids>
    <w:rsidRoot w:val="00070FC5"/>
    <w:rsid w:val="00070FC5"/>
    <w:rsid w:val="001007A8"/>
    <w:rsid w:val="00117A2D"/>
    <w:rsid w:val="001C0800"/>
    <w:rsid w:val="00257A03"/>
    <w:rsid w:val="00390584"/>
    <w:rsid w:val="00412FD5"/>
    <w:rsid w:val="004D2A95"/>
    <w:rsid w:val="004F5819"/>
    <w:rsid w:val="005D57CF"/>
    <w:rsid w:val="006537A2"/>
    <w:rsid w:val="006B0B0D"/>
    <w:rsid w:val="00755AD2"/>
    <w:rsid w:val="007E2E0A"/>
    <w:rsid w:val="00AF06BE"/>
    <w:rsid w:val="00B01459"/>
    <w:rsid w:val="00B57736"/>
    <w:rsid w:val="00B76C99"/>
    <w:rsid w:val="00CC73F3"/>
    <w:rsid w:val="00CE4FEF"/>
    <w:rsid w:val="00D43E0C"/>
    <w:rsid w:val="00D62280"/>
    <w:rsid w:val="00D639F5"/>
    <w:rsid w:val="00DA324F"/>
    <w:rsid w:val="00F952C5"/>
    <w:rsid w:val="00FA2F82"/>
    <w:rsid w:val="00FC26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F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070FC5"/>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qFormat/>
    <w:rsid w:val="00070FC5"/>
    <w:pPr>
      <w:keepNext/>
      <w:spacing w:line="480" w:lineRule="auto"/>
      <w:outlineLvl w:val="1"/>
    </w:pPr>
    <w:rPr>
      <w:rFonts w:eastAsia="Calibri" w:cs="Arial"/>
      <w:bCs/>
      <w:i/>
      <w:iCs/>
      <w:szCs w:val="28"/>
    </w:rPr>
  </w:style>
  <w:style w:type="paragraph" w:styleId="Heading3">
    <w:name w:val="heading 3"/>
    <w:basedOn w:val="Normal"/>
    <w:next w:val="Normal"/>
    <w:link w:val="Heading3Char"/>
    <w:autoRedefine/>
    <w:qFormat/>
    <w:rsid w:val="00070FC5"/>
    <w:pPr>
      <w:keepNext/>
      <w:spacing w:line="480" w:lineRule="auto"/>
      <w:outlineLvl w:val="2"/>
    </w:pPr>
    <w:rPr>
      <w:rFonts w:eastAsia="Calibri"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70FC5"/>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070FC5"/>
    <w:rPr>
      <w:rFonts w:ascii="Times New Roman" w:eastAsia="Calibri" w:hAnsi="Times New Roman" w:cs="Arial"/>
      <w:bCs/>
      <w:i/>
      <w:iCs/>
      <w:sz w:val="24"/>
      <w:szCs w:val="28"/>
    </w:rPr>
  </w:style>
  <w:style w:type="character" w:customStyle="1" w:styleId="Heading3Char">
    <w:name w:val="Heading 3 Char"/>
    <w:basedOn w:val="DefaultParagraphFont"/>
    <w:link w:val="Heading3"/>
    <w:rsid w:val="00070FC5"/>
    <w:rPr>
      <w:rFonts w:ascii="Times New Roman" w:eastAsia="Calibri" w:hAnsi="Times New Roman" w:cs="Arial"/>
      <w:bCs/>
      <w:i/>
      <w:sz w:val="24"/>
      <w:szCs w:val="26"/>
    </w:rPr>
  </w:style>
  <w:style w:type="paragraph" w:styleId="Footer">
    <w:name w:val="footer"/>
    <w:basedOn w:val="Normal"/>
    <w:link w:val="FooterChar"/>
    <w:uiPriority w:val="99"/>
    <w:rsid w:val="00070FC5"/>
    <w:pPr>
      <w:tabs>
        <w:tab w:val="center" w:pos="4320"/>
        <w:tab w:val="right" w:pos="8640"/>
      </w:tabs>
    </w:pPr>
  </w:style>
  <w:style w:type="character" w:customStyle="1" w:styleId="FooterChar">
    <w:name w:val="Footer Char"/>
    <w:link w:val="Footer"/>
    <w:uiPriority w:val="99"/>
    <w:rsid w:val="00070FC5"/>
    <w:rPr>
      <w:rFonts w:ascii="Times New Roman" w:eastAsia="Times New Roman" w:hAnsi="Times New Roman" w:cs="Times New Roman"/>
      <w:sz w:val="24"/>
      <w:szCs w:val="24"/>
    </w:rPr>
  </w:style>
  <w:style w:type="paragraph" w:styleId="Header">
    <w:name w:val="header"/>
    <w:basedOn w:val="Normal"/>
    <w:link w:val="HeaderChar"/>
    <w:uiPriority w:val="99"/>
    <w:rsid w:val="00070FC5"/>
    <w:pPr>
      <w:tabs>
        <w:tab w:val="center" w:pos="4320"/>
        <w:tab w:val="right" w:pos="8640"/>
      </w:tabs>
    </w:pPr>
  </w:style>
  <w:style w:type="character" w:customStyle="1" w:styleId="HeaderChar">
    <w:name w:val="Header Char"/>
    <w:link w:val="Header"/>
    <w:uiPriority w:val="99"/>
    <w:rsid w:val="00070FC5"/>
    <w:rPr>
      <w:rFonts w:ascii="Times New Roman" w:eastAsia="Times New Roman" w:hAnsi="Times New Roman" w:cs="Times New Roman"/>
      <w:sz w:val="24"/>
      <w:szCs w:val="24"/>
    </w:rPr>
  </w:style>
  <w:style w:type="paragraph" w:customStyle="1" w:styleId="Level1">
    <w:name w:val="Level 1"/>
    <w:rsid w:val="00070FC5"/>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070FC5"/>
    <w:rPr>
      <w:noProof/>
      <w:color w:val="0000FF"/>
      <w:u w:val="single"/>
    </w:rPr>
  </w:style>
  <w:style w:type="character" w:customStyle="1" w:styleId="QuickFormat2">
    <w:name w:val="QuickFormat2"/>
    <w:rsid w:val="00070FC5"/>
    <w:rPr>
      <w:rFonts w:ascii="Arial" w:hAnsi="Arial" w:cs="Arial"/>
    </w:rPr>
  </w:style>
  <w:style w:type="character" w:customStyle="1" w:styleId="QuickFormat3">
    <w:name w:val="QuickFormat3"/>
    <w:rsid w:val="00070FC5"/>
    <w:rPr>
      <w:rFonts w:ascii="Arial" w:hAnsi="Arial" w:cs="Arial"/>
      <w:b/>
      <w:bCs/>
      <w:i/>
      <w:iCs/>
    </w:rPr>
  </w:style>
  <w:style w:type="paragraph" w:styleId="Title">
    <w:name w:val="Title"/>
    <w:basedOn w:val="Normal"/>
    <w:link w:val="TitleChar"/>
    <w:qFormat/>
    <w:rsid w:val="00070FC5"/>
    <w:pPr>
      <w:autoSpaceDE w:val="0"/>
      <w:autoSpaceDN w:val="0"/>
      <w:adjustRightInd w:val="0"/>
      <w:jc w:val="center"/>
    </w:pPr>
    <w:rPr>
      <w:sz w:val="28"/>
      <w:szCs w:val="28"/>
    </w:rPr>
  </w:style>
  <w:style w:type="character" w:customStyle="1" w:styleId="TitleChar">
    <w:name w:val="Title Char"/>
    <w:basedOn w:val="DefaultParagraphFont"/>
    <w:link w:val="Title"/>
    <w:rsid w:val="00070FC5"/>
    <w:rPr>
      <w:rFonts w:ascii="Times New Roman" w:eastAsia="Times New Roman" w:hAnsi="Times New Roman" w:cs="Times New Roman"/>
      <w:sz w:val="28"/>
      <w:szCs w:val="28"/>
    </w:rPr>
  </w:style>
  <w:style w:type="paragraph" w:styleId="BodyText">
    <w:name w:val="Body Text"/>
    <w:basedOn w:val="Normal"/>
    <w:link w:val="BodyTextChar"/>
    <w:rsid w:val="00070FC5"/>
    <w:pPr>
      <w:autoSpaceDE w:val="0"/>
      <w:autoSpaceDN w:val="0"/>
      <w:adjustRightInd w:val="0"/>
    </w:pPr>
    <w:rPr>
      <w:sz w:val="22"/>
      <w:szCs w:val="22"/>
    </w:rPr>
  </w:style>
  <w:style w:type="character" w:customStyle="1" w:styleId="BodyTextChar">
    <w:name w:val="Body Text Char"/>
    <w:basedOn w:val="DefaultParagraphFont"/>
    <w:link w:val="BodyText"/>
    <w:rsid w:val="00070FC5"/>
    <w:rPr>
      <w:rFonts w:ascii="Times New Roman" w:eastAsia="Times New Roman" w:hAnsi="Times New Roman" w:cs="Times New Roman"/>
    </w:rPr>
  </w:style>
  <w:style w:type="paragraph" w:styleId="Subtitle">
    <w:name w:val="Subtitle"/>
    <w:basedOn w:val="Normal"/>
    <w:link w:val="SubtitleChar"/>
    <w:qFormat/>
    <w:rsid w:val="00070FC5"/>
    <w:pPr>
      <w:autoSpaceDE w:val="0"/>
      <w:autoSpaceDN w:val="0"/>
      <w:adjustRightInd w:val="0"/>
    </w:pPr>
    <w:rPr>
      <w:b/>
      <w:bCs/>
    </w:rPr>
  </w:style>
  <w:style w:type="character" w:customStyle="1" w:styleId="SubtitleChar">
    <w:name w:val="Subtitle Char"/>
    <w:basedOn w:val="DefaultParagraphFont"/>
    <w:link w:val="Subtitle"/>
    <w:rsid w:val="00070FC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070FC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070FC5"/>
    <w:rPr>
      <w:rFonts w:ascii="Times New Roman" w:eastAsia="Times New Roman" w:hAnsi="Times New Roman" w:cs="Times New Roman"/>
      <w:sz w:val="32"/>
      <w:szCs w:val="32"/>
    </w:rPr>
  </w:style>
  <w:style w:type="paragraph" w:customStyle="1" w:styleId="QuickFormat6">
    <w:name w:val="QuickFormat6"/>
    <w:rsid w:val="00070FC5"/>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rsid w:val="00070FC5"/>
  </w:style>
  <w:style w:type="paragraph" w:styleId="BodyText2">
    <w:name w:val="Body Text 2"/>
    <w:basedOn w:val="Normal"/>
    <w:link w:val="BodyText2Char"/>
    <w:rsid w:val="00070FC5"/>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character" w:customStyle="1" w:styleId="BodyText2Char">
    <w:name w:val="Body Text 2 Char"/>
    <w:basedOn w:val="DefaultParagraphFont"/>
    <w:link w:val="BodyText2"/>
    <w:rsid w:val="00070FC5"/>
    <w:rPr>
      <w:rFonts w:ascii="Arial" w:eastAsia="Times New Roman" w:hAnsi="Arial" w:cs="Arial"/>
      <w:noProof/>
      <w:sz w:val="24"/>
      <w:szCs w:val="24"/>
    </w:rPr>
  </w:style>
  <w:style w:type="paragraph" w:styleId="BodyTextIndent2">
    <w:name w:val="Body Text Indent 2"/>
    <w:basedOn w:val="Normal"/>
    <w:link w:val="BodyTextIndent2Char"/>
    <w:rsid w:val="00070FC5"/>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character" w:customStyle="1" w:styleId="BodyTextIndent2Char">
    <w:name w:val="Body Text Indent 2 Char"/>
    <w:basedOn w:val="DefaultParagraphFont"/>
    <w:link w:val="BodyTextIndent2"/>
    <w:rsid w:val="00070FC5"/>
    <w:rPr>
      <w:rFonts w:ascii="Arial" w:eastAsia="Times New Roman" w:hAnsi="Arial" w:cs="Arial"/>
      <w:sz w:val="17"/>
      <w:szCs w:val="17"/>
    </w:rPr>
  </w:style>
  <w:style w:type="paragraph" w:styleId="BodyTextIndent3">
    <w:name w:val="Body Text Indent 3"/>
    <w:basedOn w:val="Normal"/>
    <w:link w:val="BodyTextIndent3Char"/>
    <w:rsid w:val="00070FC5"/>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070FC5"/>
    <w:rPr>
      <w:rFonts w:ascii="Arial" w:eastAsia="Times New Roman" w:hAnsi="Arial" w:cs="Arial"/>
      <w:sz w:val="20"/>
      <w:szCs w:val="24"/>
    </w:rPr>
  </w:style>
  <w:style w:type="paragraph" w:styleId="BlockText">
    <w:name w:val="Block Text"/>
    <w:basedOn w:val="Normal"/>
    <w:rsid w:val="00070FC5"/>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070FC5"/>
    <w:pPr>
      <w:keepNext/>
      <w:spacing w:after="120"/>
      <w:jc w:val="center"/>
    </w:pPr>
    <w:rPr>
      <w:bCs/>
      <w:i/>
      <w:szCs w:val="20"/>
    </w:rPr>
  </w:style>
  <w:style w:type="paragraph" w:styleId="TableofFigures">
    <w:name w:val="table of figures"/>
    <w:basedOn w:val="Normal"/>
    <w:next w:val="Normal"/>
    <w:uiPriority w:val="99"/>
    <w:rsid w:val="00070FC5"/>
    <w:pPr>
      <w:ind w:left="480" w:hanging="480"/>
    </w:pPr>
  </w:style>
  <w:style w:type="character" w:styleId="Hyperlink">
    <w:name w:val="Hyperlink"/>
    <w:uiPriority w:val="99"/>
    <w:rsid w:val="00070FC5"/>
    <w:rPr>
      <w:color w:val="0000FF"/>
      <w:u w:val="single"/>
    </w:rPr>
  </w:style>
  <w:style w:type="paragraph" w:styleId="TOC1">
    <w:name w:val="toc 1"/>
    <w:basedOn w:val="Normal"/>
    <w:next w:val="Normal"/>
    <w:autoRedefine/>
    <w:uiPriority w:val="39"/>
    <w:rsid w:val="00412FD5"/>
    <w:pPr>
      <w:tabs>
        <w:tab w:val="right" w:leader="dot" w:pos="9360"/>
      </w:tabs>
    </w:pPr>
    <w:rPr>
      <w:b/>
      <w:noProof/>
    </w:rPr>
  </w:style>
  <w:style w:type="paragraph" w:styleId="TOC2">
    <w:name w:val="toc 2"/>
    <w:basedOn w:val="Normal"/>
    <w:next w:val="Normal"/>
    <w:autoRedefine/>
    <w:uiPriority w:val="39"/>
    <w:rsid w:val="00070FC5"/>
    <w:pPr>
      <w:ind w:left="240"/>
    </w:pPr>
  </w:style>
  <w:style w:type="paragraph" w:styleId="TOC3">
    <w:name w:val="toc 3"/>
    <w:basedOn w:val="Normal"/>
    <w:next w:val="Normal"/>
    <w:autoRedefine/>
    <w:uiPriority w:val="39"/>
    <w:rsid w:val="00070FC5"/>
    <w:pPr>
      <w:ind w:left="480"/>
    </w:pPr>
  </w:style>
  <w:style w:type="paragraph" w:styleId="TOC4">
    <w:name w:val="toc 4"/>
    <w:basedOn w:val="Normal"/>
    <w:next w:val="Normal"/>
    <w:autoRedefine/>
    <w:uiPriority w:val="39"/>
    <w:rsid w:val="00070FC5"/>
    <w:pPr>
      <w:ind w:left="720"/>
    </w:pPr>
  </w:style>
  <w:style w:type="paragraph" w:styleId="TOC5">
    <w:name w:val="toc 5"/>
    <w:basedOn w:val="Normal"/>
    <w:next w:val="Normal"/>
    <w:autoRedefine/>
    <w:uiPriority w:val="39"/>
    <w:rsid w:val="00070FC5"/>
    <w:pPr>
      <w:ind w:left="960"/>
    </w:pPr>
  </w:style>
  <w:style w:type="paragraph" w:styleId="TOC6">
    <w:name w:val="toc 6"/>
    <w:basedOn w:val="Normal"/>
    <w:next w:val="Normal"/>
    <w:autoRedefine/>
    <w:uiPriority w:val="39"/>
    <w:rsid w:val="00070FC5"/>
    <w:pPr>
      <w:ind w:left="1200"/>
    </w:pPr>
  </w:style>
  <w:style w:type="paragraph" w:styleId="TOC7">
    <w:name w:val="toc 7"/>
    <w:basedOn w:val="Normal"/>
    <w:next w:val="Normal"/>
    <w:autoRedefine/>
    <w:uiPriority w:val="39"/>
    <w:rsid w:val="00070FC5"/>
    <w:pPr>
      <w:ind w:left="1440"/>
    </w:pPr>
  </w:style>
  <w:style w:type="paragraph" w:styleId="TOC8">
    <w:name w:val="toc 8"/>
    <w:basedOn w:val="Normal"/>
    <w:next w:val="Normal"/>
    <w:autoRedefine/>
    <w:uiPriority w:val="39"/>
    <w:rsid w:val="00070FC5"/>
    <w:pPr>
      <w:ind w:left="1680"/>
    </w:pPr>
  </w:style>
  <w:style w:type="paragraph" w:styleId="TOC9">
    <w:name w:val="toc 9"/>
    <w:basedOn w:val="Normal"/>
    <w:next w:val="Normal"/>
    <w:autoRedefine/>
    <w:uiPriority w:val="39"/>
    <w:rsid w:val="00070FC5"/>
    <w:pPr>
      <w:ind w:left="1920"/>
    </w:pPr>
  </w:style>
  <w:style w:type="paragraph" w:customStyle="1" w:styleId="thesistext">
    <w:name w:val="thesis text"/>
    <w:basedOn w:val="Normal"/>
    <w:autoRedefine/>
    <w:rsid w:val="00070FC5"/>
    <w:pPr>
      <w:spacing w:after="240"/>
      <w:ind w:firstLine="540"/>
    </w:pPr>
    <w:rPr>
      <w:lang w:eastAsia="es-ES"/>
    </w:rPr>
  </w:style>
  <w:style w:type="paragraph" w:customStyle="1" w:styleId="StyleCaptionCentered">
    <w:name w:val="Style Caption + Centered"/>
    <w:basedOn w:val="Caption"/>
    <w:autoRedefine/>
    <w:rsid w:val="00070FC5"/>
    <w:pPr>
      <w:spacing w:line="480" w:lineRule="auto"/>
    </w:pPr>
    <w:rPr>
      <w:b/>
      <w:i w:val="0"/>
    </w:rPr>
  </w:style>
  <w:style w:type="paragraph" w:styleId="ListParagraph">
    <w:name w:val="List Paragraph"/>
    <w:basedOn w:val="Normal"/>
    <w:uiPriority w:val="34"/>
    <w:qFormat/>
    <w:rsid w:val="00070FC5"/>
    <w:pPr>
      <w:spacing w:line="480" w:lineRule="auto"/>
      <w:ind w:left="720"/>
      <w:contextualSpacing/>
    </w:pPr>
    <w:rPr>
      <w:rFonts w:eastAsia="Calibri"/>
      <w:szCs w:val="22"/>
    </w:rPr>
  </w:style>
  <w:style w:type="table" w:styleId="TableGrid">
    <w:name w:val="Table Grid"/>
    <w:basedOn w:val="TableNormal"/>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70FC5"/>
  </w:style>
  <w:style w:type="paragraph" w:styleId="BalloonText">
    <w:name w:val="Balloon Text"/>
    <w:basedOn w:val="Normal"/>
    <w:link w:val="BalloonTextChar"/>
    <w:uiPriority w:val="99"/>
    <w:unhideWhenUsed/>
    <w:rsid w:val="00070FC5"/>
    <w:rPr>
      <w:rFonts w:ascii="Tahoma" w:eastAsia="Calibri" w:hAnsi="Tahoma" w:cs="Tahoma"/>
      <w:sz w:val="16"/>
      <w:szCs w:val="16"/>
    </w:rPr>
  </w:style>
  <w:style w:type="character" w:customStyle="1" w:styleId="BalloonTextChar">
    <w:name w:val="Balloon Text Char"/>
    <w:link w:val="BalloonText"/>
    <w:uiPriority w:val="99"/>
    <w:rsid w:val="00070FC5"/>
    <w:rPr>
      <w:rFonts w:ascii="Tahoma" w:eastAsia="Calibri" w:hAnsi="Tahoma" w:cs="Tahoma"/>
      <w:sz w:val="16"/>
      <w:szCs w:val="16"/>
    </w:rPr>
  </w:style>
  <w:style w:type="numbering" w:customStyle="1" w:styleId="NoList11">
    <w:name w:val="No List11"/>
    <w:next w:val="NoList"/>
    <w:uiPriority w:val="99"/>
    <w:semiHidden/>
    <w:unhideWhenUsed/>
    <w:rsid w:val="00070FC5"/>
  </w:style>
  <w:style w:type="table" w:customStyle="1" w:styleId="TableGrid1">
    <w:name w:val="Table Grid1"/>
    <w:basedOn w:val="TableNormal"/>
    <w:next w:val="TableGrid"/>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70FC5"/>
  </w:style>
  <w:style w:type="table" w:customStyle="1" w:styleId="TableGrid4">
    <w:name w:val="Table Grid4"/>
    <w:basedOn w:val="TableNormal"/>
    <w:next w:val="TableGrid"/>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70FC5"/>
    <w:rPr>
      <w:sz w:val="20"/>
      <w:szCs w:val="20"/>
    </w:rPr>
  </w:style>
  <w:style w:type="character" w:customStyle="1" w:styleId="FootnoteTextChar">
    <w:name w:val="Footnote Text Char"/>
    <w:basedOn w:val="DefaultParagraphFont"/>
    <w:link w:val="FootnoteText"/>
    <w:rsid w:val="00070FC5"/>
    <w:rPr>
      <w:rFonts w:ascii="Times New Roman" w:eastAsia="Times New Roman" w:hAnsi="Times New Roman" w:cs="Times New Roman"/>
      <w:sz w:val="20"/>
      <w:szCs w:val="20"/>
    </w:rPr>
  </w:style>
  <w:style w:type="character" w:styleId="FootnoteReference">
    <w:name w:val="footnote reference"/>
    <w:rsid w:val="00070FC5"/>
    <w:rPr>
      <w:vertAlign w:val="superscript"/>
    </w:rPr>
  </w:style>
  <w:style w:type="paragraph" w:customStyle="1" w:styleId="Citations">
    <w:name w:val="Citations"/>
    <w:basedOn w:val="Heading1"/>
    <w:link w:val="CitationsChar"/>
    <w:qFormat/>
    <w:rsid w:val="00070FC5"/>
    <w:pPr>
      <w:spacing w:line="240" w:lineRule="auto"/>
      <w:ind w:left="720" w:hanging="720"/>
      <w:jc w:val="left"/>
    </w:pPr>
    <w:rPr>
      <w:b w:val="0"/>
    </w:rPr>
  </w:style>
  <w:style w:type="character" w:customStyle="1" w:styleId="CitationsChar">
    <w:name w:val="Citations Char"/>
    <w:link w:val="Citations"/>
    <w:rsid w:val="00070FC5"/>
    <w:rPr>
      <w:rFonts w:ascii="Times New Roman" w:eastAsia="Times New Roman" w:hAnsi="Times New Roman" w:cs="Times New Roman"/>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0" w:unhideWhenUsed="0" w:qFormat="1"/>
    <w:lsdException w:name="Default Paragraph Font" w:uiPriority="0"/>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0FC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autoRedefine/>
    <w:qFormat/>
    <w:rsid w:val="00070FC5"/>
    <w:pPr>
      <w:autoSpaceDE w:val="0"/>
      <w:autoSpaceDN w:val="0"/>
      <w:adjustRightInd w:val="0"/>
      <w:spacing w:line="480" w:lineRule="auto"/>
      <w:jc w:val="center"/>
      <w:outlineLvl w:val="0"/>
    </w:pPr>
    <w:rPr>
      <w:b/>
      <w:bCs/>
    </w:rPr>
  </w:style>
  <w:style w:type="paragraph" w:styleId="Heading2">
    <w:name w:val="heading 2"/>
    <w:basedOn w:val="Normal"/>
    <w:next w:val="Normal"/>
    <w:link w:val="Heading2Char"/>
    <w:autoRedefine/>
    <w:qFormat/>
    <w:rsid w:val="00070FC5"/>
    <w:pPr>
      <w:keepNext/>
      <w:spacing w:line="480" w:lineRule="auto"/>
      <w:outlineLvl w:val="1"/>
    </w:pPr>
    <w:rPr>
      <w:rFonts w:eastAsia="Calibri" w:cs="Arial"/>
      <w:bCs/>
      <w:i/>
      <w:iCs/>
      <w:szCs w:val="28"/>
    </w:rPr>
  </w:style>
  <w:style w:type="paragraph" w:styleId="Heading3">
    <w:name w:val="heading 3"/>
    <w:basedOn w:val="Normal"/>
    <w:next w:val="Normal"/>
    <w:link w:val="Heading3Char"/>
    <w:autoRedefine/>
    <w:qFormat/>
    <w:rsid w:val="00070FC5"/>
    <w:pPr>
      <w:keepNext/>
      <w:spacing w:line="480" w:lineRule="auto"/>
      <w:outlineLvl w:val="2"/>
    </w:pPr>
    <w:rPr>
      <w:rFonts w:eastAsia="Calibri" w:cs="Arial"/>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070FC5"/>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070FC5"/>
    <w:rPr>
      <w:rFonts w:ascii="Times New Roman" w:eastAsia="Calibri" w:hAnsi="Times New Roman" w:cs="Arial"/>
      <w:bCs/>
      <w:i/>
      <w:iCs/>
      <w:sz w:val="24"/>
      <w:szCs w:val="28"/>
    </w:rPr>
  </w:style>
  <w:style w:type="character" w:customStyle="1" w:styleId="Heading3Char">
    <w:name w:val="Heading 3 Char"/>
    <w:basedOn w:val="DefaultParagraphFont"/>
    <w:link w:val="Heading3"/>
    <w:rsid w:val="00070FC5"/>
    <w:rPr>
      <w:rFonts w:ascii="Times New Roman" w:eastAsia="Calibri" w:hAnsi="Times New Roman" w:cs="Arial"/>
      <w:bCs/>
      <w:i/>
      <w:sz w:val="24"/>
      <w:szCs w:val="26"/>
    </w:rPr>
  </w:style>
  <w:style w:type="paragraph" w:styleId="Footer">
    <w:name w:val="footer"/>
    <w:basedOn w:val="Normal"/>
    <w:link w:val="FooterChar"/>
    <w:uiPriority w:val="99"/>
    <w:rsid w:val="00070FC5"/>
    <w:pPr>
      <w:tabs>
        <w:tab w:val="center" w:pos="4320"/>
        <w:tab w:val="right" w:pos="8640"/>
      </w:tabs>
    </w:pPr>
  </w:style>
  <w:style w:type="character" w:customStyle="1" w:styleId="FooterChar">
    <w:name w:val="Footer Char"/>
    <w:link w:val="Footer"/>
    <w:uiPriority w:val="99"/>
    <w:rsid w:val="00070FC5"/>
    <w:rPr>
      <w:rFonts w:ascii="Times New Roman" w:eastAsia="Times New Roman" w:hAnsi="Times New Roman" w:cs="Times New Roman"/>
      <w:sz w:val="24"/>
      <w:szCs w:val="24"/>
    </w:rPr>
  </w:style>
  <w:style w:type="paragraph" w:styleId="Header">
    <w:name w:val="header"/>
    <w:basedOn w:val="Normal"/>
    <w:link w:val="HeaderChar"/>
    <w:uiPriority w:val="99"/>
    <w:rsid w:val="00070FC5"/>
    <w:pPr>
      <w:tabs>
        <w:tab w:val="center" w:pos="4320"/>
        <w:tab w:val="right" w:pos="8640"/>
      </w:tabs>
    </w:pPr>
  </w:style>
  <w:style w:type="character" w:customStyle="1" w:styleId="HeaderChar">
    <w:name w:val="Header Char"/>
    <w:link w:val="Header"/>
    <w:uiPriority w:val="99"/>
    <w:rsid w:val="00070FC5"/>
    <w:rPr>
      <w:rFonts w:ascii="Times New Roman" w:eastAsia="Times New Roman" w:hAnsi="Times New Roman" w:cs="Times New Roman"/>
      <w:sz w:val="24"/>
      <w:szCs w:val="24"/>
    </w:rPr>
  </w:style>
  <w:style w:type="paragraph" w:customStyle="1" w:styleId="Level1">
    <w:name w:val="Level 1"/>
    <w:rsid w:val="00070FC5"/>
    <w:pPr>
      <w:autoSpaceDE w:val="0"/>
      <w:autoSpaceDN w:val="0"/>
      <w:adjustRightInd w:val="0"/>
      <w:spacing w:after="0" w:line="240" w:lineRule="auto"/>
      <w:ind w:left="720"/>
    </w:pPr>
    <w:rPr>
      <w:rFonts w:ascii="Times New Roman" w:eastAsia="Times New Roman" w:hAnsi="Times New Roman" w:cs="Times New Roman"/>
      <w:sz w:val="24"/>
      <w:szCs w:val="24"/>
    </w:rPr>
  </w:style>
  <w:style w:type="character" w:customStyle="1" w:styleId="SYSHYPERTEXT">
    <w:name w:val="SYS_HYPERTEXT"/>
    <w:rsid w:val="00070FC5"/>
    <w:rPr>
      <w:noProof/>
      <w:color w:val="0000FF"/>
      <w:u w:val="single"/>
    </w:rPr>
  </w:style>
  <w:style w:type="character" w:customStyle="1" w:styleId="QuickFormat2">
    <w:name w:val="QuickFormat2"/>
    <w:rsid w:val="00070FC5"/>
    <w:rPr>
      <w:rFonts w:ascii="Arial" w:hAnsi="Arial" w:cs="Arial"/>
    </w:rPr>
  </w:style>
  <w:style w:type="character" w:customStyle="1" w:styleId="QuickFormat3">
    <w:name w:val="QuickFormat3"/>
    <w:rsid w:val="00070FC5"/>
    <w:rPr>
      <w:rFonts w:ascii="Arial" w:hAnsi="Arial" w:cs="Arial"/>
      <w:b/>
      <w:bCs/>
      <w:i/>
      <w:iCs/>
    </w:rPr>
  </w:style>
  <w:style w:type="paragraph" w:styleId="Title">
    <w:name w:val="Title"/>
    <w:basedOn w:val="Normal"/>
    <w:link w:val="TitleChar"/>
    <w:qFormat/>
    <w:rsid w:val="00070FC5"/>
    <w:pPr>
      <w:autoSpaceDE w:val="0"/>
      <w:autoSpaceDN w:val="0"/>
      <w:adjustRightInd w:val="0"/>
      <w:jc w:val="center"/>
    </w:pPr>
    <w:rPr>
      <w:sz w:val="28"/>
      <w:szCs w:val="28"/>
    </w:rPr>
  </w:style>
  <w:style w:type="character" w:customStyle="1" w:styleId="TitleChar">
    <w:name w:val="Title Char"/>
    <w:basedOn w:val="DefaultParagraphFont"/>
    <w:link w:val="Title"/>
    <w:rsid w:val="00070FC5"/>
    <w:rPr>
      <w:rFonts w:ascii="Times New Roman" w:eastAsia="Times New Roman" w:hAnsi="Times New Roman" w:cs="Times New Roman"/>
      <w:sz w:val="28"/>
      <w:szCs w:val="28"/>
    </w:rPr>
  </w:style>
  <w:style w:type="paragraph" w:styleId="BodyText">
    <w:name w:val="Body Text"/>
    <w:basedOn w:val="Normal"/>
    <w:link w:val="BodyTextChar"/>
    <w:rsid w:val="00070FC5"/>
    <w:pPr>
      <w:autoSpaceDE w:val="0"/>
      <w:autoSpaceDN w:val="0"/>
      <w:adjustRightInd w:val="0"/>
    </w:pPr>
    <w:rPr>
      <w:sz w:val="22"/>
      <w:szCs w:val="22"/>
    </w:rPr>
  </w:style>
  <w:style w:type="character" w:customStyle="1" w:styleId="BodyTextChar">
    <w:name w:val="Body Text Char"/>
    <w:basedOn w:val="DefaultParagraphFont"/>
    <w:link w:val="BodyText"/>
    <w:rsid w:val="00070FC5"/>
    <w:rPr>
      <w:rFonts w:ascii="Times New Roman" w:eastAsia="Times New Roman" w:hAnsi="Times New Roman" w:cs="Times New Roman"/>
    </w:rPr>
  </w:style>
  <w:style w:type="paragraph" w:styleId="Subtitle">
    <w:name w:val="Subtitle"/>
    <w:basedOn w:val="Normal"/>
    <w:link w:val="SubtitleChar"/>
    <w:qFormat/>
    <w:rsid w:val="00070FC5"/>
    <w:pPr>
      <w:autoSpaceDE w:val="0"/>
      <w:autoSpaceDN w:val="0"/>
      <w:adjustRightInd w:val="0"/>
    </w:pPr>
    <w:rPr>
      <w:b/>
      <w:bCs/>
    </w:rPr>
  </w:style>
  <w:style w:type="character" w:customStyle="1" w:styleId="SubtitleChar">
    <w:name w:val="Subtitle Char"/>
    <w:basedOn w:val="DefaultParagraphFont"/>
    <w:link w:val="Subtitle"/>
    <w:rsid w:val="00070FC5"/>
    <w:rPr>
      <w:rFonts w:ascii="Times New Roman" w:eastAsia="Times New Roman" w:hAnsi="Times New Roman" w:cs="Times New Roman"/>
      <w:b/>
      <w:bCs/>
      <w:sz w:val="24"/>
      <w:szCs w:val="24"/>
    </w:rPr>
  </w:style>
  <w:style w:type="paragraph" w:styleId="BodyTextIndent">
    <w:name w:val="Body Text Indent"/>
    <w:basedOn w:val="Normal"/>
    <w:link w:val="BodyTextIndentChar"/>
    <w:rsid w:val="00070FC5"/>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character" w:customStyle="1" w:styleId="BodyTextIndentChar">
    <w:name w:val="Body Text Indent Char"/>
    <w:basedOn w:val="DefaultParagraphFont"/>
    <w:link w:val="BodyTextIndent"/>
    <w:rsid w:val="00070FC5"/>
    <w:rPr>
      <w:rFonts w:ascii="Times New Roman" w:eastAsia="Times New Roman" w:hAnsi="Times New Roman" w:cs="Times New Roman"/>
      <w:sz w:val="32"/>
      <w:szCs w:val="32"/>
    </w:rPr>
  </w:style>
  <w:style w:type="paragraph" w:customStyle="1" w:styleId="QuickFormat6">
    <w:name w:val="QuickFormat6"/>
    <w:rsid w:val="00070FC5"/>
    <w:pPr>
      <w:autoSpaceDE w:val="0"/>
      <w:autoSpaceDN w:val="0"/>
      <w:adjustRightInd w:val="0"/>
      <w:spacing w:after="0" w:line="240" w:lineRule="auto"/>
    </w:pPr>
    <w:rPr>
      <w:rFonts w:ascii="Arial" w:eastAsia="Times New Roman" w:hAnsi="Arial" w:cs="Arial"/>
      <w:sz w:val="24"/>
      <w:szCs w:val="24"/>
    </w:rPr>
  </w:style>
  <w:style w:type="character" w:styleId="PageNumber">
    <w:name w:val="page number"/>
    <w:basedOn w:val="DefaultParagraphFont"/>
    <w:rsid w:val="00070FC5"/>
  </w:style>
  <w:style w:type="paragraph" w:styleId="BodyText2">
    <w:name w:val="Body Text 2"/>
    <w:basedOn w:val="Normal"/>
    <w:link w:val="BodyText2Char"/>
    <w:rsid w:val="00070FC5"/>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rFonts w:ascii="Arial" w:hAnsi="Arial" w:cs="Arial"/>
      <w:noProof/>
    </w:rPr>
  </w:style>
  <w:style w:type="character" w:customStyle="1" w:styleId="BodyText2Char">
    <w:name w:val="Body Text 2 Char"/>
    <w:basedOn w:val="DefaultParagraphFont"/>
    <w:link w:val="BodyText2"/>
    <w:rsid w:val="00070FC5"/>
    <w:rPr>
      <w:rFonts w:ascii="Arial" w:eastAsia="Times New Roman" w:hAnsi="Arial" w:cs="Arial"/>
      <w:noProof/>
      <w:sz w:val="24"/>
      <w:szCs w:val="24"/>
    </w:rPr>
  </w:style>
  <w:style w:type="paragraph" w:styleId="BodyTextIndent2">
    <w:name w:val="Body Text Indent 2"/>
    <w:basedOn w:val="Normal"/>
    <w:link w:val="BodyTextIndent2Char"/>
    <w:rsid w:val="00070FC5"/>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rFonts w:ascii="Arial" w:hAnsi="Arial" w:cs="Arial"/>
      <w:sz w:val="17"/>
      <w:szCs w:val="17"/>
    </w:rPr>
  </w:style>
  <w:style w:type="character" w:customStyle="1" w:styleId="BodyTextIndent2Char">
    <w:name w:val="Body Text Indent 2 Char"/>
    <w:basedOn w:val="DefaultParagraphFont"/>
    <w:link w:val="BodyTextIndent2"/>
    <w:rsid w:val="00070FC5"/>
    <w:rPr>
      <w:rFonts w:ascii="Arial" w:eastAsia="Times New Roman" w:hAnsi="Arial" w:cs="Arial"/>
      <w:sz w:val="17"/>
      <w:szCs w:val="17"/>
    </w:rPr>
  </w:style>
  <w:style w:type="paragraph" w:styleId="BodyTextIndent3">
    <w:name w:val="Body Text Indent 3"/>
    <w:basedOn w:val="Normal"/>
    <w:link w:val="BodyTextIndent3Char"/>
    <w:rsid w:val="00070FC5"/>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rFonts w:ascii="Arial" w:hAnsi="Arial" w:cs="Arial"/>
      <w:sz w:val="20"/>
    </w:rPr>
  </w:style>
  <w:style w:type="character" w:customStyle="1" w:styleId="BodyTextIndent3Char">
    <w:name w:val="Body Text Indent 3 Char"/>
    <w:basedOn w:val="DefaultParagraphFont"/>
    <w:link w:val="BodyTextIndent3"/>
    <w:rsid w:val="00070FC5"/>
    <w:rPr>
      <w:rFonts w:ascii="Arial" w:eastAsia="Times New Roman" w:hAnsi="Arial" w:cs="Arial"/>
      <w:sz w:val="20"/>
      <w:szCs w:val="24"/>
    </w:rPr>
  </w:style>
  <w:style w:type="paragraph" w:styleId="BlockText">
    <w:name w:val="Block Text"/>
    <w:basedOn w:val="Normal"/>
    <w:rsid w:val="00070FC5"/>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paragraph" w:styleId="Caption">
    <w:name w:val="caption"/>
    <w:basedOn w:val="Normal"/>
    <w:next w:val="Normal"/>
    <w:autoRedefine/>
    <w:qFormat/>
    <w:rsid w:val="00070FC5"/>
    <w:pPr>
      <w:keepNext/>
      <w:spacing w:after="120"/>
      <w:jc w:val="center"/>
    </w:pPr>
    <w:rPr>
      <w:bCs/>
      <w:i/>
      <w:szCs w:val="20"/>
    </w:rPr>
  </w:style>
  <w:style w:type="paragraph" w:styleId="TableofFigures">
    <w:name w:val="table of figures"/>
    <w:basedOn w:val="Normal"/>
    <w:next w:val="Normal"/>
    <w:uiPriority w:val="99"/>
    <w:rsid w:val="00070FC5"/>
    <w:pPr>
      <w:ind w:left="480" w:hanging="480"/>
    </w:pPr>
  </w:style>
  <w:style w:type="character" w:styleId="Hyperlink">
    <w:name w:val="Hyperlink"/>
    <w:uiPriority w:val="99"/>
    <w:rsid w:val="00070FC5"/>
    <w:rPr>
      <w:color w:val="0000FF"/>
      <w:u w:val="single"/>
    </w:rPr>
  </w:style>
  <w:style w:type="paragraph" w:styleId="TOC1">
    <w:name w:val="toc 1"/>
    <w:basedOn w:val="Normal"/>
    <w:next w:val="Normal"/>
    <w:autoRedefine/>
    <w:uiPriority w:val="39"/>
    <w:rsid w:val="00412FD5"/>
    <w:pPr>
      <w:tabs>
        <w:tab w:val="right" w:leader="dot" w:pos="9360"/>
      </w:tabs>
    </w:pPr>
    <w:rPr>
      <w:b/>
      <w:noProof/>
    </w:rPr>
  </w:style>
  <w:style w:type="paragraph" w:styleId="TOC2">
    <w:name w:val="toc 2"/>
    <w:basedOn w:val="Normal"/>
    <w:next w:val="Normal"/>
    <w:autoRedefine/>
    <w:uiPriority w:val="39"/>
    <w:rsid w:val="00070FC5"/>
    <w:pPr>
      <w:ind w:left="240"/>
    </w:pPr>
  </w:style>
  <w:style w:type="paragraph" w:styleId="TOC3">
    <w:name w:val="toc 3"/>
    <w:basedOn w:val="Normal"/>
    <w:next w:val="Normal"/>
    <w:autoRedefine/>
    <w:uiPriority w:val="39"/>
    <w:rsid w:val="00070FC5"/>
    <w:pPr>
      <w:ind w:left="480"/>
    </w:pPr>
  </w:style>
  <w:style w:type="paragraph" w:styleId="TOC4">
    <w:name w:val="toc 4"/>
    <w:basedOn w:val="Normal"/>
    <w:next w:val="Normal"/>
    <w:autoRedefine/>
    <w:uiPriority w:val="39"/>
    <w:rsid w:val="00070FC5"/>
    <w:pPr>
      <w:ind w:left="720"/>
    </w:pPr>
  </w:style>
  <w:style w:type="paragraph" w:styleId="TOC5">
    <w:name w:val="toc 5"/>
    <w:basedOn w:val="Normal"/>
    <w:next w:val="Normal"/>
    <w:autoRedefine/>
    <w:uiPriority w:val="39"/>
    <w:rsid w:val="00070FC5"/>
    <w:pPr>
      <w:ind w:left="960"/>
    </w:pPr>
  </w:style>
  <w:style w:type="paragraph" w:styleId="TOC6">
    <w:name w:val="toc 6"/>
    <w:basedOn w:val="Normal"/>
    <w:next w:val="Normal"/>
    <w:autoRedefine/>
    <w:uiPriority w:val="39"/>
    <w:rsid w:val="00070FC5"/>
    <w:pPr>
      <w:ind w:left="1200"/>
    </w:pPr>
  </w:style>
  <w:style w:type="paragraph" w:styleId="TOC7">
    <w:name w:val="toc 7"/>
    <w:basedOn w:val="Normal"/>
    <w:next w:val="Normal"/>
    <w:autoRedefine/>
    <w:uiPriority w:val="39"/>
    <w:rsid w:val="00070FC5"/>
    <w:pPr>
      <w:ind w:left="1440"/>
    </w:pPr>
  </w:style>
  <w:style w:type="paragraph" w:styleId="TOC8">
    <w:name w:val="toc 8"/>
    <w:basedOn w:val="Normal"/>
    <w:next w:val="Normal"/>
    <w:autoRedefine/>
    <w:uiPriority w:val="39"/>
    <w:rsid w:val="00070FC5"/>
    <w:pPr>
      <w:ind w:left="1680"/>
    </w:pPr>
  </w:style>
  <w:style w:type="paragraph" w:styleId="TOC9">
    <w:name w:val="toc 9"/>
    <w:basedOn w:val="Normal"/>
    <w:next w:val="Normal"/>
    <w:autoRedefine/>
    <w:uiPriority w:val="39"/>
    <w:rsid w:val="00070FC5"/>
    <w:pPr>
      <w:ind w:left="1920"/>
    </w:pPr>
  </w:style>
  <w:style w:type="paragraph" w:customStyle="1" w:styleId="thesistext">
    <w:name w:val="thesis text"/>
    <w:basedOn w:val="Normal"/>
    <w:autoRedefine/>
    <w:rsid w:val="00070FC5"/>
    <w:pPr>
      <w:spacing w:after="240"/>
      <w:ind w:firstLine="540"/>
    </w:pPr>
    <w:rPr>
      <w:lang w:eastAsia="es-ES"/>
    </w:rPr>
  </w:style>
  <w:style w:type="paragraph" w:customStyle="1" w:styleId="StyleCaptionCentered">
    <w:name w:val="Style Caption + Centered"/>
    <w:basedOn w:val="Caption"/>
    <w:autoRedefine/>
    <w:rsid w:val="00070FC5"/>
    <w:pPr>
      <w:spacing w:line="480" w:lineRule="auto"/>
    </w:pPr>
    <w:rPr>
      <w:b/>
      <w:i w:val="0"/>
    </w:rPr>
  </w:style>
  <w:style w:type="paragraph" w:styleId="ListParagraph">
    <w:name w:val="List Paragraph"/>
    <w:basedOn w:val="Normal"/>
    <w:uiPriority w:val="34"/>
    <w:qFormat/>
    <w:rsid w:val="00070FC5"/>
    <w:pPr>
      <w:spacing w:line="480" w:lineRule="auto"/>
      <w:ind w:left="720"/>
      <w:contextualSpacing/>
    </w:pPr>
    <w:rPr>
      <w:rFonts w:eastAsia="Calibri"/>
      <w:szCs w:val="22"/>
    </w:rPr>
  </w:style>
  <w:style w:type="table" w:styleId="TableGrid">
    <w:name w:val="Table Grid"/>
    <w:basedOn w:val="TableNormal"/>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070FC5"/>
  </w:style>
  <w:style w:type="paragraph" w:styleId="BalloonText">
    <w:name w:val="Balloon Text"/>
    <w:basedOn w:val="Normal"/>
    <w:link w:val="BalloonTextChar"/>
    <w:uiPriority w:val="99"/>
    <w:unhideWhenUsed/>
    <w:rsid w:val="00070FC5"/>
    <w:rPr>
      <w:rFonts w:ascii="Tahoma" w:eastAsia="Calibri" w:hAnsi="Tahoma" w:cs="Tahoma"/>
      <w:sz w:val="16"/>
      <w:szCs w:val="16"/>
    </w:rPr>
  </w:style>
  <w:style w:type="character" w:customStyle="1" w:styleId="BalloonTextChar">
    <w:name w:val="Balloon Text Char"/>
    <w:link w:val="BalloonText"/>
    <w:uiPriority w:val="99"/>
    <w:rsid w:val="00070FC5"/>
    <w:rPr>
      <w:rFonts w:ascii="Tahoma" w:eastAsia="Calibri" w:hAnsi="Tahoma" w:cs="Tahoma"/>
      <w:sz w:val="16"/>
      <w:szCs w:val="16"/>
    </w:rPr>
  </w:style>
  <w:style w:type="numbering" w:customStyle="1" w:styleId="NoList11">
    <w:name w:val="No List11"/>
    <w:next w:val="NoList"/>
    <w:uiPriority w:val="99"/>
    <w:semiHidden/>
    <w:unhideWhenUsed/>
    <w:rsid w:val="00070FC5"/>
  </w:style>
  <w:style w:type="table" w:customStyle="1" w:styleId="TableGrid1">
    <w:name w:val="Table Grid1"/>
    <w:basedOn w:val="TableNormal"/>
    <w:next w:val="TableGrid"/>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070FC5"/>
  </w:style>
  <w:style w:type="table" w:customStyle="1" w:styleId="TableGrid4">
    <w:name w:val="Table Grid4"/>
    <w:basedOn w:val="TableNormal"/>
    <w:next w:val="TableGrid"/>
    <w:uiPriority w:val="59"/>
    <w:rsid w:val="00070FC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70FC5"/>
    <w:rPr>
      <w:sz w:val="20"/>
      <w:szCs w:val="20"/>
    </w:rPr>
  </w:style>
  <w:style w:type="character" w:customStyle="1" w:styleId="FootnoteTextChar">
    <w:name w:val="Footnote Text Char"/>
    <w:basedOn w:val="DefaultParagraphFont"/>
    <w:link w:val="FootnoteText"/>
    <w:rsid w:val="00070FC5"/>
    <w:rPr>
      <w:rFonts w:ascii="Times New Roman" w:eastAsia="Times New Roman" w:hAnsi="Times New Roman" w:cs="Times New Roman"/>
      <w:sz w:val="20"/>
      <w:szCs w:val="20"/>
    </w:rPr>
  </w:style>
  <w:style w:type="character" w:styleId="FootnoteReference">
    <w:name w:val="footnote reference"/>
    <w:rsid w:val="00070FC5"/>
    <w:rPr>
      <w:vertAlign w:val="superscript"/>
    </w:rPr>
  </w:style>
  <w:style w:type="paragraph" w:customStyle="1" w:styleId="Citations">
    <w:name w:val="Citations"/>
    <w:basedOn w:val="Heading1"/>
    <w:link w:val="CitationsChar"/>
    <w:qFormat/>
    <w:rsid w:val="00070FC5"/>
    <w:pPr>
      <w:spacing w:line="240" w:lineRule="auto"/>
      <w:ind w:left="720" w:hanging="720"/>
      <w:jc w:val="left"/>
    </w:pPr>
    <w:rPr>
      <w:b w:val="0"/>
    </w:rPr>
  </w:style>
  <w:style w:type="character" w:customStyle="1" w:styleId="CitationsChar">
    <w:name w:val="Citations Char"/>
    <w:link w:val="Citations"/>
    <w:rsid w:val="00070FC5"/>
    <w:rPr>
      <w:rFonts w:ascii="Times New Roman" w:eastAsia="Times New Roman" w:hAnsi="Times New Roman" w:cs="Times New Roman"/>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2.xm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24.jpeg"/><Relationship Id="rId3" Type="http://schemas.microsoft.com/office/2007/relationships/stylesWithEffects" Target="stylesWithEffects.xml"/><Relationship Id="rId21" Type="http://schemas.openxmlformats.org/officeDocument/2006/relationships/image" Target="media/image9.png"/><Relationship Id="rId34" Type="http://schemas.openxmlformats.org/officeDocument/2006/relationships/image" Target="media/image19.jpeg"/><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hyperlink" Target="http://www.wired.com/insights/2014/01/crowdsourcing-2014-great-power-comes-great-responsibility" TargetMode="External"/><Relationship Id="rId33" Type="http://schemas.openxmlformats.org/officeDocument/2006/relationships/image" Target="media/image18.jpeg"/><Relationship Id="rId38" Type="http://schemas.openxmlformats.org/officeDocument/2006/relationships/image" Target="media/image23.jpeg"/><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eader" Target="header3.xml"/><Relationship Id="rId29" Type="http://schemas.openxmlformats.org/officeDocument/2006/relationships/image" Target="media/image14.pn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msi.org/research/2014-2016-research-priorities/tier-2-developing-and-organizing-for-marketing-excellence/" TargetMode="External"/><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www.ideaconnection.com/ideasites/dell-ideastorm-00045.html" TargetMode="External"/><Relationship Id="rId28" Type="http://schemas.openxmlformats.org/officeDocument/2006/relationships/image" Target="media/image13.png"/><Relationship Id="rId36" Type="http://schemas.openxmlformats.org/officeDocument/2006/relationships/image" Target="media/image21.jpeg"/><Relationship Id="rId10" Type="http://schemas.openxmlformats.org/officeDocument/2006/relationships/image" Target="media/image1.png"/><Relationship Id="rId19" Type="http://schemas.openxmlformats.org/officeDocument/2006/relationships/image" Target="media/image8.png"/><Relationship Id="rId31" Type="http://schemas.openxmlformats.org/officeDocument/2006/relationships/image" Target="media/image16.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wmf"/><Relationship Id="rId22" Type="http://schemas.openxmlformats.org/officeDocument/2006/relationships/image" Target="media/image10.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217</Pages>
  <Words>51893</Words>
  <Characters>295796</Characters>
  <Application>Microsoft Office Word</Application>
  <DocSecurity>0</DocSecurity>
  <Lines>2464</Lines>
  <Paragraphs>693</Paragraphs>
  <ScaleCrop>false</ScaleCrop>
  <HeadingPairs>
    <vt:vector size="4" baseType="variant">
      <vt:variant>
        <vt:lpstr>Title</vt:lpstr>
      </vt:variant>
      <vt:variant>
        <vt:i4>1</vt:i4>
      </vt:variant>
      <vt:variant>
        <vt:lpstr>Headings</vt:lpstr>
      </vt:variant>
      <vt:variant>
        <vt:i4>29</vt:i4>
      </vt:variant>
    </vt:vector>
  </HeadingPairs>
  <TitlesOfParts>
    <vt:vector size="30" baseType="lpstr">
      <vt:lpstr/>
      <vt:lpstr>Chapter 1 Introduction</vt:lpstr>
      <vt:lpstr>    Cocreation of Innovation in Business Practice</vt:lpstr>
      <vt:lpstr>    Customer Cocreation as an Extension of the Open Innovation Paradigm</vt:lpstr>
      <vt:lpstr>    Managerial Challenges in Customer Cocreation of Innovation</vt:lpstr>
      <vt:lpstr>    </vt:lpstr>
      <vt:lpstr>    Quality and Volume of Customer Ideas</vt:lpstr>
      <vt:lpstr>    Team Cognitive Limitations</vt:lpstr>
      <vt:lpstr>    Research Questions</vt:lpstr>
      <vt:lpstr>    Contribution to Theory</vt:lpstr>
      <vt:lpstr>    Contribution to Practice</vt:lpstr>
      <vt:lpstr>    Theoretical Background</vt:lpstr>
      <vt:lpstr>        </vt:lpstr>
      <vt:lpstr>        Group Cognition and Decision-Making in Innovation Teams.</vt:lpstr>
      <vt:lpstr>        Regulatory Focus in Innovation Teams.</vt:lpstr>
      <vt:lpstr>        Reflexivity in Innovation Teams.</vt:lpstr>
      <vt:lpstr>    Dissertation Organization</vt:lpstr>
      <vt:lpstr>        </vt:lpstr>
      <vt:lpstr>Chapter 2  Literature Review</vt:lpstr>
      <vt:lpstr>    Defining Cocreation in a New Product Development Context</vt:lpstr>
      <vt:lpstr>    Literature Review</vt:lpstr>
      <vt:lpstr>        Ability of Customers to Contribute to the Cocreation of Innovation</vt:lpstr>
      <vt:lpstr>        </vt:lpstr>
      <vt:lpstr>        Customer Motivations for Participating in the Cocreation of Innovation</vt:lpstr>
      <vt:lpstr>        Cocreated New Product Effectiveness and Efficiency</vt:lpstr>
      <vt:lpstr>        Cocreation of Innovation and Customer Metrics</vt:lpstr>
      <vt:lpstr>        Cocreation and Brand Management</vt:lpstr>
      <vt:lpstr>        Practical Challenges Associated with Cocreation</vt:lpstr>
      <vt:lpstr>    Cognitive Theories in Innovation and New Product Development</vt:lpstr>
      <vt:lpstr>    Regulatory Focus Theory</vt:lpstr>
    </vt:vector>
  </TitlesOfParts>
  <Company>Microsoft</Company>
  <LinksUpToDate>false</LinksUpToDate>
  <CharactersWithSpaces>346996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dc:creator>
  <cp:lastModifiedBy>Matt</cp:lastModifiedBy>
  <cp:revision>3</cp:revision>
  <dcterms:created xsi:type="dcterms:W3CDTF">2015-06-02T16:21:00Z</dcterms:created>
  <dcterms:modified xsi:type="dcterms:W3CDTF">2015-06-02T16:29:00Z</dcterms:modified>
</cp:coreProperties>
</file>